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8E784" w14:textId="77777777" w:rsidR="00F81865" w:rsidRPr="006532A5" w:rsidRDefault="00F81865" w:rsidP="00F81865">
      <w:pPr>
        <w:pStyle w:val="Default"/>
        <w:rPr>
          <w:b/>
          <w:bCs/>
          <w:color w:val="C00000"/>
          <w:sz w:val="22"/>
          <w:szCs w:val="22"/>
        </w:rPr>
      </w:pPr>
      <w:r w:rsidRPr="006532A5">
        <w:rPr>
          <w:b/>
          <w:bCs/>
          <w:color w:val="C00000"/>
          <w:sz w:val="22"/>
          <w:szCs w:val="22"/>
        </w:rPr>
        <w:t>Module 1 – Contributions to the generation of new ideas, tools, methodologies or knowledge</w:t>
      </w:r>
    </w:p>
    <w:p w14:paraId="67A99CCB" w14:textId="77777777" w:rsidR="00F81865" w:rsidRPr="006532A5" w:rsidRDefault="00F81865" w:rsidP="00F81865">
      <w:pPr>
        <w:pStyle w:val="Default"/>
        <w:rPr>
          <w:b/>
          <w:bCs/>
          <w:color w:val="C00000"/>
          <w:sz w:val="22"/>
          <w:szCs w:val="22"/>
        </w:rPr>
      </w:pPr>
    </w:p>
    <w:p w14:paraId="3AC46F60" w14:textId="60532399" w:rsidR="00F81865" w:rsidRPr="006532A5" w:rsidRDefault="00F81865" w:rsidP="00F81865">
      <w:pPr>
        <w:pStyle w:val="Heading3"/>
        <w:spacing w:before="0" w:after="225"/>
        <w:rPr>
          <w:rFonts w:ascii="Roboto" w:eastAsia="Times New Roman" w:hAnsi="Roboto" w:cs="Times New Roman"/>
          <w:b/>
          <w:bCs/>
          <w:color w:val="C00000"/>
          <w:kern w:val="0"/>
          <w:sz w:val="27"/>
          <w:szCs w:val="27"/>
          <w:lang w:eastAsia="en-GB"/>
          <w14:ligatures w14:val="none"/>
        </w:rPr>
      </w:pPr>
      <w:r w:rsidRPr="006532A5">
        <w:rPr>
          <w:b/>
          <w:bCs/>
          <w:color w:val="C00000"/>
          <w:sz w:val="22"/>
          <w:szCs w:val="22"/>
        </w:rPr>
        <w:t xml:space="preserve">Key criteria: </w:t>
      </w:r>
    </w:p>
    <w:p w14:paraId="1CF18647" w14:textId="77777777" w:rsidR="00F81865" w:rsidRPr="00F81865" w:rsidRDefault="00F81865" w:rsidP="00F81865">
      <w:pPr>
        <w:spacing w:after="300" w:line="240" w:lineRule="auto"/>
        <w:rPr>
          <w:rFonts w:ascii="Roboto" w:eastAsia="Times New Roman" w:hAnsi="Roboto" w:cs="Times New Roman"/>
          <w:color w:val="C00000"/>
          <w:kern w:val="0"/>
          <w:lang w:eastAsia="en-GB"/>
          <w14:ligatures w14:val="none"/>
        </w:rPr>
      </w:pPr>
      <w:r w:rsidRPr="00F81865">
        <w:rPr>
          <w:rFonts w:ascii="Roboto" w:eastAsia="Times New Roman" w:hAnsi="Roboto" w:cs="Times New Roman"/>
          <w:color w:val="C00000"/>
          <w:kern w:val="0"/>
          <w:lang w:eastAsia="en-GB"/>
          <w14:ligatures w14:val="none"/>
        </w:rPr>
        <w:t>Explain your contributions to the generation of new ideas, tools, methodologies or knowledge. For example, you could include:</w:t>
      </w:r>
    </w:p>
    <w:p w14:paraId="78B90172" w14:textId="77777777" w:rsidR="00F81865" w:rsidRPr="00F81865" w:rsidRDefault="00F81865" w:rsidP="00F81865">
      <w:pPr>
        <w:numPr>
          <w:ilvl w:val="0"/>
          <w:numId w:val="1"/>
        </w:numPr>
        <w:spacing w:before="100" w:beforeAutospacing="1" w:after="75" w:line="240" w:lineRule="auto"/>
        <w:rPr>
          <w:rFonts w:ascii="Roboto" w:eastAsia="Times New Roman" w:hAnsi="Roboto" w:cs="Times New Roman"/>
          <w:color w:val="C00000"/>
          <w:kern w:val="0"/>
          <w:lang w:eastAsia="en-GB"/>
          <w14:ligatures w14:val="none"/>
        </w:rPr>
      </w:pPr>
      <w:r w:rsidRPr="00F81865">
        <w:rPr>
          <w:rFonts w:ascii="Roboto" w:eastAsia="Times New Roman" w:hAnsi="Roboto" w:cs="Times New Roman"/>
          <w:color w:val="C00000"/>
          <w:kern w:val="0"/>
          <w:lang w:eastAsia="en-GB"/>
          <w14:ligatures w14:val="none"/>
        </w:rPr>
        <w:t>how you communicated your ideas and results</w:t>
      </w:r>
    </w:p>
    <w:p w14:paraId="6C796055" w14:textId="77777777" w:rsidR="00F81865" w:rsidRPr="00F81865" w:rsidRDefault="00F81865" w:rsidP="00F81865">
      <w:pPr>
        <w:numPr>
          <w:ilvl w:val="0"/>
          <w:numId w:val="1"/>
        </w:numPr>
        <w:spacing w:before="100" w:beforeAutospacing="1" w:after="75" w:line="240" w:lineRule="auto"/>
        <w:rPr>
          <w:rFonts w:ascii="Roboto" w:eastAsia="Times New Roman" w:hAnsi="Roboto" w:cs="Times New Roman"/>
          <w:color w:val="C00000"/>
          <w:kern w:val="0"/>
          <w:lang w:eastAsia="en-GB"/>
          <w14:ligatures w14:val="none"/>
        </w:rPr>
      </w:pPr>
      <w:r w:rsidRPr="00F81865">
        <w:rPr>
          <w:rFonts w:ascii="Roboto" w:eastAsia="Times New Roman" w:hAnsi="Roboto" w:cs="Times New Roman"/>
          <w:color w:val="C00000"/>
          <w:kern w:val="0"/>
          <w:lang w:eastAsia="en-GB"/>
          <w14:ligatures w14:val="none"/>
        </w:rPr>
        <w:t>key outputs, such as data sets, software, research and policy publications</w:t>
      </w:r>
    </w:p>
    <w:p w14:paraId="077188B4" w14:textId="77777777" w:rsidR="00F81865" w:rsidRPr="00F81865" w:rsidRDefault="00F81865" w:rsidP="00F81865">
      <w:pPr>
        <w:numPr>
          <w:ilvl w:val="0"/>
          <w:numId w:val="1"/>
        </w:numPr>
        <w:spacing w:before="100" w:beforeAutospacing="1" w:after="75" w:line="240" w:lineRule="auto"/>
        <w:rPr>
          <w:rFonts w:ascii="Roboto" w:eastAsia="Times New Roman" w:hAnsi="Roboto" w:cs="Times New Roman"/>
          <w:color w:val="C00000"/>
          <w:kern w:val="0"/>
          <w:lang w:eastAsia="en-GB"/>
          <w14:ligatures w14:val="none"/>
        </w:rPr>
      </w:pPr>
      <w:r w:rsidRPr="00F81865">
        <w:rPr>
          <w:rFonts w:ascii="Roboto" w:eastAsia="Times New Roman" w:hAnsi="Roboto" w:cs="Times New Roman"/>
          <w:color w:val="C00000"/>
          <w:kern w:val="0"/>
          <w:lang w:eastAsia="en-GB"/>
          <w14:ligatures w14:val="none"/>
        </w:rPr>
        <w:t>skills acquired from past research projects</w:t>
      </w:r>
    </w:p>
    <w:p w14:paraId="6828A560" w14:textId="2996238E" w:rsidR="00F81865" w:rsidRPr="00B00CB0" w:rsidRDefault="00F81865" w:rsidP="00F81865">
      <w:pPr>
        <w:pStyle w:val="Default"/>
        <w:rPr>
          <w:b/>
          <w:bCs/>
          <w:sz w:val="22"/>
          <w:szCs w:val="22"/>
        </w:rPr>
      </w:pPr>
    </w:p>
    <w:p w14:paraId="7D62C796" w14:textId="77777777" w:rsidR="004B0054" w:rsidRDefault="004B0054"/>
    <w:p w14:paraId="38B7BAF0" w14:textId="331AC4E6" w:rsidR="00F81865" w:rsidRPr="00F81865" w:rsidRDefault="00F81865" w:rsidP="00F81865">
      <w:r w:rsidRPr="00F81865">
        <w:t xml:space="preserve">The project lead has </w:t>
      </w:r>
      <w:r>
        <w:t xml:space="preserve">an </w:t>
      </w:r>
      <w:r w:rsidRPr="00F81865">
        <w:t>established track record developing novel methodological contributions</w:t>
      </w:r>
      <w:r>
        <w:t xml:space="preserve"> in the </w:t>
      </w:r>
      <w:r w:rsidRPr="00F81865">
        <w:t>appl</w:t>
      </w:r>
      <w:r>
        <w:t>ication of</w:t>
      </w:r>
      <w:r w:rsidRPr="00F81865">
        <w:t xml:space="preserve"> advanced mathematical frameworks to complex real-world systems. This </w:t>
      </w:r>
      <w:r>
        <w:t xml:space="preserve">specific </w:t>
      </w:r>
      <w:r w:rsidRPr="00F81865">
        <w:t xml:space="preserve">research builds directly upon preliminary work demonstrating </w:t>
      </w:r>
      <w:r>
        <w:t xml:space="preserve">the feasibility of a </w:t>
      </w:r>
      <w:r w:rsidRPr="00F81865">
        <w:t xml:space="preserve">multi-scale approach </w:t>
      </w:r>
      <w:r>
        <w:t>in topological data analysis</w:t>
      </w:r>
      <w:r w:rsidRPr="00F81865">
        <w:t>.</w:t>
      </w:r>
    </w:p>
    <w:p w14:paraId="2B186F99" w14:textId="68FCBB31" w:rsidR="00F81865" w:rsidRPr="00F81865" w:rsidRDefault="00F81865" w:rsidP="00F81865">
      <w:r w:rsidRPr="00F81865">
        <w:t>Recent innovations directly address this proposal's technical challenges. GPS-aware clustering frameworks resolved critical H0 artefacts in spatial topological data analysis, enabling robust pattern detection in variable-density point clouds—essential for dynamic football formations. This led to adaptive filtration methods enabling consistent H1 detection across multiple spatial scales, establishing three validated topological scales (individual: 3m, tactical: 12m, team: 30m) with validation rates exceeding 95%. Closed cycle identification algorithms transform abstract topological features into interpretable spatial patterns, while temporal persistence landscape methods extend static analysis into the time domain—directly addressing Objectives 2 and 3.</w:t>
      </w:r>
    </w:p>
    <w:p w14:paraId="7738B95F" w14:textId="7B055C53" w:rsidR="00F81865" w:rsidRPr="00F81865" w:rsidRDefault="00F81865" w:rsidP="00F81865">
      <w:r w:rsidRPr="00F81865">
        <w:t xml:space="preserve">Preliminary validation demonstrates capacity for rigorous research. Single-match analysis detected 523 distinct H1 loops across </w:t>
      </w:r>
      <w:proofErr w:type="gramStart"/>
      <w:r w:rsidRPr="00F81865">
        <w:t>149 time</w:t>
      </w:r>
      <w:proofErr w:type="gramEnd"/>
      <w:r w:rsidRPr="00F81865">
        <w:t xml:space="preserve"> windows with statistical reliability exceeding 95%, establishing proof-of-concept. Preliminary evidence of performance correlations (r=0.68, p&lt;0.001) between topological features and attacking effectiveness suggests these signatures could quantitatively predict system performance—requiring multi-match validation that this grant will provide.</w:t>
      </w:r>
    </w:p>
    <w:p w14:paraId="562C5923" w14:textId="77777777" w:rsidR="00F81865" w:rsidRPr="00F81865" w:rsidRDefault="00F81865" w:rsidP="00F81865">
      <w:r w:rsidRPr="00F81865">
        <w:t>The analysis framework has been implemented in Python and MATLAB, integrating with established TDA libraries (</w:t>
      </w:r>
      <w:proofErr w:type="spellStart"/>
      <w:r w:rsidRPr="00F81865">
        <w:t>ripser</w:t>
      </w:r>
      <w:proofErr w:type="spellEnd"/>
      <w:r w:rsidRPr="00F81865">
        <w:t xml:space="preserve">, GUDHI, </w:t>
      </w:r>
      <w:proofErr w:type="spellStart"/>
      <w:r w:rsidRPr="00F81865">
        <w:t>giotto-tda</w:t>
      </w:r>
      <w:proofErr w:type="spellEnd"/>
      <w:r w:rsidRPr="00F81865">
        <w:t xml:space="preserve">) while adding novel multi-scale functionality. Computational efficiency enables real-time analysis (&lt;2s per frame), demonstrating industry feasibility. Two manuscripts are in development: a methodology paper targeting the Journal of Applied and Computational Topology (60% complete, submission Month 2), and an application paper targeting PLOS ONE (outline prepared, submission Month 4). The Research Associate will bring complementary expertise in statistical analysis, computational implementation, and large-scale data processing, </w:t>
      </w:r>
      <w:r w:rsidRPr="00F81865">
        <w:lastRenderedPageBreak/>
        <w:t>with recruitment targeting candidates with strong backgrounds in applied mathematics, computational topology, or sports analytics.</w:t>
      </w:r>
    </w:p>
    <w:p w14:paraId="35024338" w14:textId="77777777" w:rsidR="00F81865" w:rsidRDefault="00F81865"/>
    <w:p w14:paraId="65A14875" w14:textId="77777777" w:rsidR="002D0657" w:rsidRDefault="002D0657"/>
    <w:p w14:paraId="225A614B" w14:textId="77777777" w:rsidR="002D0657" w:rsidRPr="002D0657" w:rsidRDefault="002D0657" w:rsidP="002D0657">
      <w:r w:rsidRPr="002D0657">
        <w:rPr>
          <w:b/>
          <w:bCs/>
        </w:rPr>
        <w:t>Contributions to New Ideas, Tools, and Methodologies</w:t>
      </w:r>
    </w:p>
    <w:p w14:paraId="00534661" w14:textId="7C7869FC" w:rsidR="002D0657" w:rsidRPr="002D0657" w:rsidRDefault="002D0657" w:rsidP="002D0657">
      <w:r w:rsidRPr="002D0657">
        <w:t xml:space="preserve">This research advances the application of topological data analysis (TDA) to complex, real-world systems by introducing a multi-scale approach for detecting spatial and temporal patterns. The work develops new methodologies that overcome limitations in existing techniques, enabling reliable identification of structural features across individual, tactical, and team levels. These innovations allow dynamic systems—such as football formations—to be </w:t>
      </w:r>
      <w:r w:rsidRPr="002D0657">
        <w:t>analysed</w:t>
      </w:r>
      <w:r w:rsidRPr="002D0657">
        <w:t xml:space="preserve"> in ways that were previously impractical, opening opportunities for predictive performance </w:t>
      </w:r>
      <w:r w:rsidRPr="002D0657">
        <w:t>modelling</w:t>
      </w:r>
      <w:r w:rsidRPr="002D0657">
        <w:t>.</w:t>
      </w:r>
    </w:p>
    <w:p w14:paraId="15BF9955" w14:textId="51E851C0" w:rsidR="002D0657" w:rsidRPr="002D0657" w:rsidRDefault="002D0657" w:rsidP="002D0657">
      <w:r w:rsidRPr="002D0657">
        <w:t>The project delivers a computational framework implemented in widely used programming environments, integrating established TDA libraries with novel multi-scale functionality. Designed for efficiency, the framework supports real-time analysis, making it suitable for both research and industry applications. These tools provide a foundation for future studies in sports analytics and other domains where spatial-temporal complexity is critical.</w:t>
      </w:r>
    </w:p>
    <w:p w14:paraId="726A1E28" w14:textId="7CA75EFA" w:rsidR="002D0657" w:rsidRPr="002D0657" w:rsidRDefault="002D0657" w:rsidP="002D0657">
      <w:r w:rsidRPr="002D0657">
        <w:t xml:space="preserve">Key outputs include two manuscripts in preparation: one detailing the methodological advances for submission to a leading computational topology journal, and another presenting applied </w:t>
      </w:r>
      <w:r w:rsidRPr="002D0657">
        <w:t>finding</w:t>
      </w:r>
      <w:r w:rsidRPr="002D0657">
        <w:t xml:space="preserve"> for a broad scientific audience. The work will also generate open-source software and curated datasets to support reproducibility and community engagement.</w:t>
      </w:r>
    </w:p>
    <w:p w14:paraId="6C13C94A" w14:textId="3DED4121" w:rsidR="002D0657" w:rsidRPr="002D0657" w:rsidRDefault="002D0657" w:rsidP="002D0657">
      <w:r w:rsidRPr="002D0657">
        <w:t xml:space="preserve">Through this research, the team has strengthened expertise in advanced mathematical </w:t>
      </w:r>
      <w:r w:rsidRPr="002D0657">
        <w:t>modelling</w:t>
      </w:r>
      <w:r w:rsidRPr="002D0657">
        <w:t>, computational implementation, and large-scale data processing. These skills, combined with a commitment to open dissemination, ensure that the project contributes not only new knowledge but also practical tools for the wider research community.</w:t>
      </w:r>
    </w:p>
    <w:p w14:paraId="7FE89466" w14:textId="77777777" w:rsidR="00C23807" w:rsidRDefault="00C23807" w:rsidP="00C23807">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Contributions to the Generation of New Ideas, Tools, and Methodologies</w:t>
      </w:r>
    </w:p>
    <w:p w14:paraId="18921B0C" w14:textId="77777777" w:rsidR="00C23807" w:rsidRDefault="00C23807" w:rsidP="00C23807">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New ideas and methodologies:</w:t>
      </w:r>
      <w:r>
        <w:rPr>
          <w:rFonts w:ascii="Segoe UI" w:hAnsi="Segoe UI" w:cs="Segoe UI"/>
          <w:color w:val="000000"/>
          <w:sz w:val="21"/>
          <w:szCs w:val="21"/>
        </w:rPr>
        <w:br/>
        <w:t>This research introduces a multi-scale approach to topological data analysis (TDA), enabling the detection of spatial and temporal patterns in complex systems. These innovations overcome limitations in existing techniques and allow dynamic systems—such as football formations—to be analysed in ways that were previously impractical, opening opportunities for predictive performance modelling.</w:t>
      </w:r>
    </w:p>
    <w:p w14:paraId="382456EE" w14:textId="77777777" w:rsidR="00C23807" w:rsidRDefault="00C23807" w:rsidP="00C23807">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lastRenderedPageBreak/>
        <w:t>Tools and key outputs:</w:t>
      </w:r>
      <w:r>
        <w:rPr>
          <w:rFonts w:ascii="Segoe UI" w:hAnsi="Segoe UI" w:cs="Segoe UI"/>
          <w:color w:val="000000"/>
          <w:sz w:val="21"/>
          <w:szCs w:val="21"/>
        </w:rPr>
        <w:br/>
        <w:t xml:space="preserve">The project delivers a computational framework implemented in widely used programming environments, integrating established TDA libraries with novel multi-scale functionality. Designed for efficiency, the framework supports real-time analysis, making it suitable for both research and industry applications. Key outputs include two manuscripts in preparation—one detailing methodological </w:t>
      </w:r>
      <w:proofErr w:type="gramStart"/>
      <w:r>
        <w:rPr>
          <w:rFonts w:ascii="Segoe UI" w:hAnsi="Segoe UI" w:cs="Segoe UI"/>
          <w:color w:val="000000"/>
          <w:sz w:val="21"/>
          <w:szCs w:val="21"/>
        </w:rPr>
        <w:t>advances</w:t>
      </w:r>
      <w:proofErr w:type="gramEnd"/>
      <w:r>
        <w:rPr>
          <w:rFonts w:ascii="Segoe UI" w:hAnsi="Segoe UI" w:cs="Segoe UI"/>
          <w:color w:val="000000"/>
          <w:sz w:val="21"/>
          <w:szCs w:val="21"/>
        </w:rPr>
        <w:t xml:space="preserve"> for a leading computational topology journal and another presenting applied </w:t>
      </w:r>
      <w:proofErr w:type="gramStart"/>
      <w:r>
        <w:rPr>
          <w:rFonts w:ascii="Segoe UI" w:hAnsi="Segoe UI" w:cs="Segoe UI"/>
          <w:color w:val="000000"/>
          <w:sz w:val="21"/>
          <w:szCs w:val="21"/>
        </w:rPr>
        <w:t>findings</w:t>
      </w:r>
      <w:proofErr w:type="gramEnd"/>
      <w:r>
        <w:rPr>
          <w:rFonts w:ascii="Segoe UI" w:hAnsi="Segoe UI" w:cs="Segoe UI"/>
          <w:color w:val="000000"/>
          <w:sz w:val="21"/>
          <w:szCs w:val="21"/>
        </w:rPr>
        <w:t xml:space="preserve"> for a broad scientific audience. The work will also generate open-source software and curated datasets to support reproducibility and community engagement.</w:t>
      </w:r>
    </w:p>
    <w:p w14:paraId="6527AB72" w14:textId="77777777" w:rsidR="00C23807" w:rsidRDefault="00C23807" w:rsidP="00C23807">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Communication of ideas and results:</w:t>
      </w:r>
      <w:r>
        <w:rPr>
          <w:rFonts w:ascii="Segoe UI" w:hAnsi="Segoe UI" w:cs="Segoe UI"/>
          <w:color w:val="000000"/>
          <w:sz w:val="21"/>
          <w:szCs w:val="21"/>
        </w:rPr>
        <w:br/>
        <w:t>Ideas and results are communicated through planned publications, conference presentations, and open-source releases, ensuring accessibility for both academic and applied communities.</w:t>
      </w:r>
    </w:p>
    <w:p w14:paraId="3DE91D17" w14:textId="77777777" w:rsidR="00C23807" w:rsidRDefault="00C23807" w:rsidP="00C23807">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Skills acquired:</w:t>
      </w:r>
      <w:r>
        <w:rPr>
          <w:rFonts w:ascii="Segoe UI" w:hAnsi="Segoe UI" w:cs="Segoe UI"/>
          <w:color w:val="000000"/>
          <w:sz w:val="21"/>
          <w:szCs w:val="21"/>
        </w:rPr>
        <w:br/>
        <w:t>Through this research, the team has strengthened expertise in advanced mathematical modelling, computational implementation, and large-scale data processing. These skills, combined with a commitment to open dissemination, ensure that the project contributes not only new knowledge but also practical tools for the wider research community.</w:t>
      </w:r>
    </w:p>
    <w:p w14:paraId="0F115148" w14:textId="6D8FADEB" w:rsidR="00803090" w:rsidRDefault="00803090">
      <w:r>
        <w:br w:type="page"/>
      </w:r>
    </w:p>
    <w:p w14:paraId="2F70CC52" w14:textId="77777777" w:rsidR="00C23807" w:rsidRDefault="00C23807"/>
    <w:p w14:paraId="106612CF" w14:textId="77777777" w:rsidR="00803090" w:rsidRPr="00B00CB0" w:rsidRDefault="00803090" w:rsidP="00803090">
      <w:pPr>
        <w:pStyle w:val="Default"/>
        <w:rPr>
          <w:b/>
          <w:sz w:val="22"/>
        </w:rPr>
      </w:pPr>
      <w:r w:rsidRPr="00B00CB0">
        <w:rPr>
          <w:b/>
          <w:sz w:val="22"/>
        </w:rPr>
        <w:t xml:space="preserve">Module 2 – The development of others and maintenance of effective working relationships </w:t>
      </w:r>
    </w:p>
    <w:p w14:paraId="03F19C46" w14:textId="77777777" w:rsidR="00803090" w:rsidRDefault="00803090" w:rsidP="00803090"/>
    <w:p w14:paraId="59EA7B45" w14:textId="77777777" w:rsidR="00803090" w:rsidRPr="006532A5" w:rsidRDefault="00803090" w:rsidP="00803090">
      <w:pPr>
        <w:pStyle w:val="Heading3"/>
        <w:spacing w:before="0" w:after="225"/>
        <w:rPr>
          <w:rFonts w:ascii="Roboto" w:eastAsia="Times New Roman" w:hAnsi="Roboto" w:cs="Times New Roman"/>
          <w:b/>
          <w:bCs/>
          <w:color w:val="C00000"/>
          <w:kern w:val="0"/>
          <w:sz w:val="27"/>
          <w:szCs w:val="27"/>
          <w:lang w:eastAsia="en-GB"/>
          <w14:ligatures w14:val="none"/>
        </w:rPr>
      </w:pPr>
      <w:r w:rsidRPr="006532A5">
        <w:rPr>
          <w:b/>
          <w:bCs/>
          <w:color w:val="C00000"/>
          <w:sz w:val="22"/>
          <w:szCs w:val="22"/>
        </w:rPr>
        <w:t xml:space="preserve">Key criteria: </w:t>
      </w:r>
    </w:p>
    <w:p w14:paraId="32F2BB60" w14:textId="77777777" w:rsidR="00803090" w:rsidRPr="00803090" w:rsidRDefault="00803090" w:rsidP="00803090">
      <w:pPr>
        <w:spacing w:after="300" w:line="240" w:lineRule="auto"/>
        <w:rPr>
          <w:rFonts w:ascii="Roboto" w:eastAsia="Times New Roman" w:hAnsi="Roboto" w:cs="Times New Roman"/>
          <w:color w:val="505050"/>
          <w:kern w:val="0"/>
          <w:lang w:eastAsia="en-GB"/>
          <w14:ligatures w14:val="none"/>
        </w:rPr>
      </w:pPr>
      <w:r w:rsidRPr="00803090">
        <w:rPr>
          <w:rFonts w:ascii="Roboto" w:eastAsia="Times New Roman" w:hAnsi="Roboto" w:cs="Times New Roman"/>
          <w:color w:val="505050"/>
          <w:kern w:val="0"/>
          <w:lang w:eastAsia="en-GB"/>
          <w14:ligatures w14:val="none"/>
        </w:rPr>
        <w:t>Explain your contributions to the development of others and maintenance of effective working relationships. For example, you could include:</w:t>
      </w:r>
    </w:p>
    <w:p w14:paraId="250B11A4" w14:textId="77777777" w:rsidR="00803090" w:rsidRPr="00803090" w:rsidRDefault="00803090" w:rsidP="00803090">
      <w:pPr>
        <w:numPr>
          <w:ilvl w:val="0"/>
          <w:numId w:val="2"/>
        </w:numPr>
        <w:spacing w:before="100" w:beforeAutospacing="1" w:after="75" w:line="240" w:lineRule="auto"/>
        <w:rPr>
          <w:rFonts w:ascii="Roboto" w:eastAsia="Times New Roman" w:hAnsi="Roboto" w:cs="Times New Roman"/>
          <w:color w:val="505050"/>
          <w:kern w:val="0"/>
          <w:lang w:eastAsia="en-GB"/>
          <w14:ligatures w14:val="none"/>
        </w:rPr>
      </w:pPr>
      <w:r w:rsidRPr="00803090">
        <w:rPr>
          <w:rFonts w:ascii="Roboto" w:eastAsia="Times New Roman" w:hAnsi="Roboto" w:cs="Times New Roman"/>
          <w:color w:val="505050"/>
          <w:kern w:val="0"/>
          <w:lang w:eastAsia="en-GB"/>
          <w14:ligatures w14:val="none"/>
        </w:rPr>
        <w:t>expertise you provided that was critical to the team’s success</w:t>
      </w:r>
    </w:p>
    <w:p w14:paraId="34B08A29" w14:textId="77777777" w:rsidR="00803090" w:rsidRPr="00803090" w:rsidRDefault="00803090" w:rsidP="00803090">
      <w:pPr>
        <w:numPr>
          <w:ilvl w:val="0"/>
          <w:numId w:val="2"/>
        </w:numPr>
        <w:spacing w:before="100" w:beforeAutospacing="1" w:after="75" w:line="240" w:lineRule="auto"/>
        <w:rPr>
          <w:rFonts w:ascii="Roboto" w:eastAsia="Times New Roman" w:hAnsi="Roboto" w:cs="Times New Roman"/>
          <w:color w:val="505050"/>
          <w:kern w:val="0"/>
          <w:lang w:eastAsia="en-GB"/>
          <w14:ligatures w14:val="none"/>
        </w:rPr>
      </w:pPr>
      <w:r w:rsidRPr="00803090">
        <w:rPr>
          <w:rFonts w:ascii="Roboto" w:eastAsia="Times New Roman" w:hAnsi="Roboto" w:cs="Times New Roman"/>
          <w:color w:val="505050"/>
          <w:kern w:val="0"/>
          <w:lang w:eastAsia="en-GB"/>
          <w14:ligatures w14:val="none"/>
        </w:rPr>
        <w:t>teaching activities, workshops and mentoring</w:t>
      </w:r>
    </w:p>
    <w:p w14:paraId="73B1089B" w14:textId="77777777" w:rsidR="00803090" w:rsidRPr="00803090" w:rsidRDefault="00803090" w:rsidP="00803090">
      <w:pPr>
        <w:numPr>
          <w:ilvl w:val="0"/>
          <w:numId w:val="2"/>
        </w:numPr>
        <w:spacing w:before="100" w:beforeAutospacing="1" w:after="75" w:line="240" w:lineRule="auto"/>
        <w:rPr>
          <w:rFonts w:ascii="Roboto" w:eastAsia="Times New Roman" w:hAnsi="Roboto" w:cs="Times New Roman"/>
          <w:color w:val="505050"/>
          <w:kern w:val="0"/>
          <w:lang w:eastAsia="en-GB"/>
          <w14:ligatures w14:val="none"/>
        </w:rPr>
      </w:pPr>
      <w:r w:rsidRPr="00803090">
        <w:rPr>
          <w:rFonts w:ascii="Roboto" w:eastAsia="Times New Roman" w:hAnsi="Roboto" w:cs="Times New Roman"/>
          <w:color w:val="505050"/>
          <w:kern w:val="0"/>
          <w:lang w:eastAsia="en-GB"/>
          <w14:ligatures w14:val="none"/>
        </w:rPr>
        <w:t>your leadership in shaping the direction of a team</w:t>
      </w:r>
    </w:p>
    <w:p w14:paraId="41EEB2B1" w14:textId="77777777" w:rsidR="00803090" w:rsidRDefault="00803090" w:rsidP="00803090"/>
    <w:p w14:paraId="4D05A3D8" w14:textId="767BBC3E" w:rsidR="00803090" w:rsidRPr="00803090" w:rsidRDefault="00803090" w:rsidP="00803090">
      <w:r w:rsidRPr="00803090">
        <w:t>The project lead has established a collaborative approach prioritising professional development while maintaining productive relationships with industry partners and academic collaborators. This project provides structured opportunities for developing the Research Associate's career while delivering high-quality research outputs.</w:t>
      </w:r>
    </w:p>
    <w:p w14:paraId="6C6B77EC" w14:textId="77777777" w:rsidR="00803090" w:rsidRPr="00803090" w:rsidRDefault="00803090" w:rsidP="00803090"/>
    <w:p w14:paraId="71E48C7F" w14:textId="77777777" w:rsidR="00803090" w:rsidRPr="00803090" w:rsidRDefault="00803090" w:rsidP="00803090">
      <w:r w:rsidRPr="00803090">
        <w:t>The Research Associate development plan encompasses technical training, professional development, and career progression support. Technical training includes advanced TDA methods, statistical analysis techniques, and scientific programming best practices. Professional development includes academic writing workshops, presentation skills training, and grant preparation experience. Career progression support is built into the project design: the RA will receive co-authorship on both planned publications, opportunities for conference presentations (SIAM Dynamical Systems or Applied Topology), and networking opportunities through industry partnerships. The supervision structure ensures regular support: weekly supervision meetings, monthly progress reviews, and access to a peer support network, balancing autonomy with support.</w:t>
      </w:r>
    </w:p>
    <w:p w14:paraId="67EED666" w14:textId="77777777" w:rsidR="00803090" w:rsidRPr="00803090" w:rsidRDefault="00803090" w:rsidP="00803090"/>
    <w:p w14:paraId="50A40768" w14:textId="77777777" w:rsidR="00803090" w:rsidRPr="00803090" w:rsidRDefault="00803090" w:rsidP="00803090">
      <w:r w:rsidRPr="00803090">
        <w:t>Industry partnerships demonstrate capacity to maintain effective working relationships across diverse sectors. Established relationships with Championship football clubs provide data access and domain expertise, with clear communication channels ensuring mutual benefit. The partnership with Genius Sports (UK) for enhanced GPS data access involves ongoing technical collaboration, while the alternative pathway through Borussia Dortmund (Germany) demonstrates international relationship-building capabilities.</w:t>
      </w:r>
    </w:p>
    <w:p w14:paraId="3FBD0064" w14:textId="77777777" w:rsidR="00803090" w:rsidRPr="00803090" w:rsidRDefault="00803090" w:rsidP="00803090"/>
    <w:p w14:paraId="50C4CD7A" w14:textId="77777777" w:rsidR="00803090" w:rsidRDefault="00803090" w:rsidP="00803090">
      <w:r w:rsidRPr="00803090">
        <w:lastRenderedPageBreak/>
        <w:t>Collaborative research extends beyond industry to include sports science researchers providing tactical interpretation expertise, computational topology researchers contributing methodological insights, and cross-disciplinary engagement with researchers in swarm robotics, crowd dynamics, and biological systems. Knowledge transfer activities ensure TDA methods become accessible to non-specialists through comprehensive documentation, visualisation tools, and planned open-source code release.</w:t>
      </w:r>
    </w:p>
    <w:p w14:paraId="4060D90A" w14:textId="77777777" w:rsidR="00660783" w:rsidRDefault="00660783" w:rsidP="00803090"/>
    <w:p w14:paraId="5EAB8761" w14:textId="77777777" w:rsidR="00660783" w:rsidRDefault="00660783" w:rsidP="00660783">
      <w:pPr>
        <w:pStyle w:val="NormalWeb"/>
        <w:spacing w:line="300" w:lineRule="atLeast"/>
        <w:rPr>
          <w:rFonts w:ascii="Segoe UI" w:hAnsi="Segoe UI" w:cs="Segoe UI"/>
          <w:color w:val="000000"/>
          <w:sz w:val="21"/>
          <w:szCs w:val="21"/>
        </w:rPr>
      </w:pPr>
      <w:r>
        <w:rPr>
          <w:rFonts w:ascii="Segoe UI" w:hAnsi="Segoe UI" w:cs="Segoe UI"/>
          <w:color w:val="000000"/>
          <w:sz w:val="21"/>
          <w:szCs w:val="21"/>
        </w:rPr>
        <w:t>The project lead has adopted a collaborative approach that prioritises professional development and strong partnerships. A structured plan supports the Research Associate’s growth through technical training in advanced analytical methods and programming, alongside workshops on academic writing, presentation skills, and grant preparation. Regular supervision meetings and progress reviews provide guidance while encouraging independence.</w:t>
      </w:r>
    </w:p>
    <w:p w14:paraId="75756E4D" w14:textId="77777777" w:rsidR="00660783" w:rsidRDefault="00660783" w:rsidP="00660783">
      <w:pPr>
        <w:pStyle w:val="NormalWeb"/>
        <w:spacing w:line="300" w:lineRule="atLeast"/>
        <w:rPr>
          <w:rFonts w:ascii="Segoe UI" w:hAnsi="Segoe UI" w:cs="Segoe UI"/>
          <w:color w:val="000000"/>
          <w:sz w:val="21"/>
          <w:szCs w:val="21"/>
        </w:rPr>
      </w:pPr>
      <w:r>
        <w:rPr>
          <w:rFonts w:ascii="Segoe UI" w:hAnsi="Segoe UI" w:cs="Segoe UI"/>
          <w:color w:val="000000"/>
          <w:sz w:val="21"/>
          <w:szCs w:val="21"/>
        </w:rPr>
        <w:t>Career progression is embedded within the project design. The Research Associate will contribute as a co-author on planned publications, present at relevant conferences, and engage with professional networks through industry collaborations. These opportunities aim to build confidence, visibility, and long-term career prospects.</w:t>
      </w:r>
    </w:p>
    <w:p w14:paraId="3515668D" w14:textId="77777777" w:rsidR="00660783" w:rsidRDefault="00660783" w:rsidP="00660783">
      <w:pPr>
        <w:pStyle w:val="NormalWeb"/>
        <w:spacing w:line="300" w:lineRule="atLeast"/>
        <w:rPr>
          <w:rFonts w:ascii="Segoe UI" w:hAnsi="Segoe UI" w:cs="Segoe UI"/>
          <w:color w:val="000000"/>
          <w:sz w:val="21"/>
          <w:szCs w:val="21"/>
        </w:rPr>
      </w:pPr>
      <w:r>
        <w:rPr>
          <w:rFonts w:ascii="Segoe UI" w:hAnsi="Segoe UI" w:cs="Segoe UI"/>
          <w:color w:val="000000"/>
          <w:sz w:val="21"/>
          <w:szCs w:val="21"/>
        </w:rPr>
        <w:t>Maintaining effective working relationships is central to the project’s success. Established partnerships with industry and academic collaborators provide access to data, domain expertise, and technical resources. Clear communication channels and shared objectives ensure mutual benefit and sustained engagement. The project lead also fosters cross-disciplinary collaboration, creating links between computational research and applied fields such as sports science and data analytics.</w:t>
      </w:r>
    </w:p>
    <w:p w14:paraId="110BFC54" w14:textId="77777777" w:rsidR="00660783" w:rsidRDefault="00660783" w:rsidP="00660783">
      <w:pPr>
        <w:pStyle w:val="NormalWeb"/>
        <w:spacing w:line="300" w:lineRule="atLeast"/>
        <w:rPr>
          <w:rFonts w:ascii="Segoe UI" w:hAnsi="Segoe UI" w:cs="Segoe UI"/>
          <w:color w:val="000000"/>
          <w:sz w:val="21"/>
          <w:szCs w:val="21"/>
        </w:rPr>
      </w:pPr>
      <w:r>
        <w:rPr>
          <w:rFonts w:ascii="Segoe UI" w:hAnsi="Segoe UI" w:cs="Segoe UI"/>
          <w:color w:val="000000"/>
          <w:sz w:val="21"/>
          <w:szCs w:val="21"/>
        </w:rPr>
        <w:t>Through this approach, the project not only delivers high-quality research outputs but also invests in developing talent and strengthening collaborative networks—contributing to both individual growth and the wider research community.</w:t>
      </w:r>
    </w:p>
    <w:p w14:paraId="0F20301F"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Contributions to the Development of Others and Effective Working Relationships</w:t>
      </w:r>
    </w:p>
    <w:p w14:paraId="60E2D45A"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Expertise critical to the team’s success:</w:t>
      </w:r>
      <w:r>
        <w:rPr>
          <w:rFonts w:ascii="Segoe UI" w:hAnsi="Segoe UI" w:cs="Segoe UI"/>
          <w:color w:val="000000"/>
          <w:sz w:val="21"/>
          <w:szCs w:val="21"/>
        </w:rPr>
        <w:br/>
        <w:t>The project lead provides specialist knowledge in advanced analytical methods and computational modelling, ensuring the team can deliver high-quality research outputs. This expertise underpins the design of the analytical framework and guides methodological decisions throughout the project.</w:t>
      </w:r>
    </w:p>
    <w:p w14:paraId="78F95849"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Teaching activities, workshops, and mentoring:</w:t>
      </w:r>
      <w:r>
        <w:rPr>
          <w:rFonts w:ascii="Segoe UI" w:hAnsi="Segoe UI" w:cs="Segoe UI"/>
          <w:color w:val="000000"/>
          <w:sz w:val="21"/>
          <w:szCs w:val="21"/>
        </w:rPr>
        <w:br/>
        <w:t>A structured development plan supports the Research Associate’s growth through technical training in advanced data analysis and programming, complemented by workshops on academic writing, presentation skills, and grant preparation. Regular supervision meetings and monthly progress reviews provide consistent guidance while encouraging independence and confidence.</w:t>
      </w:r>
    </w:p>
    <w:p w14:paraId="10BCCF53"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lastRenderedPageBreak/>
        <w:t>Leadership in shaping the direction of the team:</w:t>
      </w:r>
      <w:r>
        <w:rPr>
          <w:rFonts w:ascii="Segoe UI" w:hAnsi="Segoe UI" w:cs="Segoe UI"/>
          <w:color w:val="000000"/>
          <w:sz w:val="21"/>
          <w:szCs w:val="21"/>
        </w:rPr>
        <w:br/>
        <w:t>The project lead sets the strategic direction by embedding career progression opportunities within the project design. The Research Associate will contribute as a co-author on planned publications, present at conferences, and engage with professional networks through industry collaborations. These initiatives build visibility and long-term career prospects.</w:t>
      </w:r>
    </w:p>
    <w:p w14:paraId="366A5EB9"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Maintaining effective working relationships:</w:t>
      </w:r>
      <w:r>
        <w:rPr>
          <w:rFonts w:ascii="Segoe UI" w:hAnsi="Segoe UI" w:cs="Segoe UI"/>
          <w:color w:val="000000"/>
          <w:sz w:val="21"/>
          <w:szCs w:val="21"/>
        </w:rPr>
        <w:br/>
        <w:t>Strong partnerships with industry and academic collaborators provide access to data, domain expertise, and technical resources. Clear communication channels and shared objectives ensure mutual benefit and sustained engagement. Cross-disciplinary collaboration is actively fostered, linking computational research with applied fields such as sports science and data analytics.</w:t>
      </w:r>
    </w:p>
    <w:p w14:paraId="29C0A232" w14:textId="77777777" w:rsidR="00FF2F03" w:rsidRDefault="00FF2F03" w:rsidP="00FF2F03">
      <w:pPr>
        <w:pStyle w:val="NormalWeb"/>
        <w:spacing w:line="300" w:lineRule="atLeast"/>
        <w:rPr>
          <w:rFonts w:ascii="Segoe UI" w:hAnsi="Segoe UI" w:cs="Segoe UI"/>
          <w:color w:val="000000"/>
          <w:sz w:val="21"/>
          <w:szCs w:val="21"/>
        </w:rPr>
      </w:pPr>
      <w:r>
        <w:rPr>
          <w:rFonts w:ascii="Segoe UI" w:hAnsi="Segoe UI" w:cs="Segoe UI"/>
          <w:color w:val="000000"/>
          <w:sz w:val="21"/>
          <w:szCs w:val="21"/>
        </w:rPr>
        <w:t>Through this approach, the project not only delivers research excellence but also invests in developing talent and strengthening collaborative networks—contributing to both individual growth and the wider research community.</w:t>
      </w:r>
    </w:p>
    <w:p w14:paraId="343E2DED" w14:textId="77777777" w:rsidR="00FF2F03" w:rsidRDefault="00FF2F03" w:rsidP="00660783">
      <w:pPr>
        <w:pStyle w:val="NormalWeb"/>
        <w:spacing w:line="300" w:lineRule="atLeast"/>
        <w:rPr>
          <w:rFonts w:ascii="Segoe UI" w:hAnsi="Segoe UI" w:cs="Segoe UI"/>
          <w:color w:val="000000"/>
          <w:sz w:val="21"/>
          <w:szCs w:val="21"/>
        </w:rPr>
      </w:pPr>
    </w:p>
    <w:p w14:paraId="25538CA0" w14:textId="77777777" w:rsidR="00FF2F03" w:rsidRDefault="00FF2F03" w:rsidP="00660783">
      <w:pPr>
        <w:pStyle w:val="NormalWeb"/>
        <w:spacing w:line="300" w:lineRule="atLeast"/>
        <w:rPr>
          <w:rFonts w:ascii="Segoe UI" w:hAnsi="Segoe UI" w:cs="Segoe UI"/>
          <w:color w:val="000000"/>
          <w:sz w:val="21"/>
          <w:szCs w:val="21"/>
        </w:rPr>
      </w:pPr>
    </w:p>
    <w:p w14:paraId="00834F65" w14:textId="0D1A875E" w:rsidR="00660783" w:rsidRDefault="00660783">
      <w:r>
        <w:br w:type="page"/>
      </w:r>
    </w:p>
    <w:p w14:paraId="101AF45F" w14:textId="77777777" w:rsidR="00660783" w:rsidRPr="00B00CB0" w:rsidRDefault="00660783" w:rsidP="00660783">
      <w:pPr>
        <w:pStyle w:val="Default"/>
        <w:rPr>
          <w:b/>
          <w:sz w:val="22"/>
        </w:rPr>
      </w:pPr>
      <w:r w:rsidRPr="00B00CB0">
        <w:rPr>
          <w:b/>
          <w:sz w:val="22"/>
        </w:rPr>
        <w:lastRenderedPageBreak/>
        <w:t xml:space="preserve">Module 3 – Contributions to the wider research and innovation community </w:t>
      </w:r>
    </w:p>
    <w:p w14:paraId="3824EA6D" w14:textId="77777777" w:rsidR="00660783" w:rsidRPr="00660783" w:rsidRDefault="00660783" w:rsidP="00660783">
      <w:pPr>
        <w:spacing w:after="300" w:line="240" w:lineRule="auto"/>
        <w:rPr>
          <w:rFonts w:ascii="Roboto" w:eastAsia="Times New Roman" w:hAnsi="Roboto" w:cs="Times New Roman"/>
          <w:color w:val="505050"/>
          <w:kern w:val="0"/>
          <w:lang w:eastAsia="en-GB"/>
          <w14:ligatures w14:val="none"/>
        </w:rPr>
      </w:pPr>
      <w:r w:rsidRPr="00660783">
        <w:rPr>
          <w:rFonts w:ascii="Roboto" w:eastAsia="Times New Roman" w:hAnsi="Roboto" w:cs="Times New Roman"/>
          <w:color w:val="505050"/>
          <w:kern w:val="0"/>
          <w:lang w:eastAsia="en-GB"/>
          <w14:ligatures w14:val="none"/>
        </w:rPr>
        <w:t>Explain your contributions to the wider research and innovation community. Examples of what you could include are:</w:t>
      </w:r>
    </w:p>
    <w:p w14:paraId="7B422BAA" w14:textId="77777777" w:rsidR="00660783" w:rsidRPr="00660783" w:rsidRDefault="00660783" w:rsidP="00660783">
      <w:pPr>
        <w:numPr>
          <w:ilvl w:val="0"/>
          <w:numId w:val="3"/>
        </w:numPr>
        <w:spacing w:before="100" w:beforeAutospacing="1" w:after="75" w:line="240" w:lineRule="auto"/>
        <w:rPr>
          <w:rFonts w:ascii="Roboto" w:eastAsia="Times New Roman" w:hAnsi="Roboto" w:cs="Times New Roman"/>
          <w:color w:val="505050"/>
          <w:kern w:val="0"/>
          <w:lang w:eastAsia="en-GB"/>
          <w14:ligatures w14:val="none"/>
        </w:rPr>
      </w:pPr>
      <w:r w:rsidRPr="00660783">
        <w:rPr>
          <w:rFonts w:ascii="Roboto" w:eastAsia="Times New Roman" w:hAnsi="Roboto" w:cs="Times New Roman"/>
          <w:color w:val="505050"/>
          <w:kern w:val="0"/>
          <w:lang w:eastAsia="en-GB"/>
          <w14:ligatures w14:val="none"/>
        </w:rPr>
        <w:t>positions of responsibility</w:t>
      </w:r>
    </w:p>
    <w:p w14:paraId="34921152" w14:textId="77777777" w:rsidR="00660783" w:rsidRPr="00660783" w:rsidRDefault="00660783" w:rsidP="00660783">
      <w:pPr>
        <w:numPr>
          <w:ilvl w:val="0"/>
          <w:numId w:val="3"/>
        </w:numPr>
        <w:spacing w:before="100" w:beforeAutospacing="1" w:after="75" w:line="240" w:lineRule="auto"/>
        <w:rPr>
          <w:rFonts w:ascii="Roboto" w:eastAsia="Times New Roman" w:hAnsi="Roboto" w:cs="Times New Roman"/>
          <w:color w:val="505050"/>
          <w:kern w:val="0"/>
          <w:lang w:eastAsia="en-GB"/>
          <w14:ligatures w14:val="none"/>
        </w:rPr>
      </w:pPr>
      <w:r w:rsidRPr="00660783">
        <w:rPr>
          <w:rFonts w:ascii="Roboto" w:eastAsia="Times New Roman" w:hAnsi="Roboto" w:cs="Times New Roman"/>
          <w:color w:val="505050"/>
          <w:kern w:val="0"/>
          <w:lang w:eastAsia="en-GB"/>
          <w14:ligatures w14:val="none"/>
        </w:rPr>
        <w:t>commitments such as reviewing, editing and committee work</w:t>
      </w:r>
    </w:p>
    <w:p w14:paraId="62AF344E" w14:textId="77777777" w:rsidR="00660783" w:rsidRPr="00660783" w:rsidRDefault="00660783" w:rsidP="00660783">
      <w:pPr>
        <w:numPr>
          <w:ilvl w:val="0"/>
          <w:numId w:val="3"/>
        </w:numPr>
        <w:spacing w:before="100" w:beforeAutospacing="1" w:after="75" w:line="240" w:lineRule="auto"/>
        <w:rPr>
          <w:rFonts w:ascii="Roboto" w:eastAsia="Times New Roman" w:hAnsi="Roboto" w:cs="Times New Roman"/>
          <w:color w:val="505050"/>
          <w:kern w:val="0"/>
          <w:lang w:eastAsia="en-GB"/>
          <w14:ligatures w14:val="none"/>
        </w:rPr>
      </w:pPr>
      <w:r w:rsidRPr="00660783">
        <w:rPr>
          <w:rFonts w:ascii="Roboto" w:eastAsia="Times New Roman" w:hAnsi="Roboto" w:cs="Times New Roman"/>
          <w:color w:val="505050"/>
          <w:kern w:val="0"/>
          <w:lang w:eastAsia="en-GB"/>
          <w14:ligatures w14:val="none"/>
        </w:rPr>
        <w:t>your strategic leadership in influencing a research agenda</w:t>
      </w:r>
    </w:p>
    <w:p w14:paraId="0B09C017" w14:textId="77777777" w:rsidR="00660783" w:rsidRDefault="00660783" w:rsidP="00660783"/>
    <w:p w14:paraId="5747BBDA" w14:textId="68CFE825" w:rsidR="00660783" w:rsidRPr="00660783" w:rsidRDefault="00660783" w:rsidP="00660783">
      <w:r w:rsidRPr="00660783">
        <w:t>This research makes fundamental contributions to computational topology, advancing theoretical understanding while creating practical tools. The multi-scale persistent homology framework represents a novel application area opening new research directions, with adaptive filtration methods and temporal analysis techniques providing reusable methodological contributions.</w:t>
      </w:r>
    </w:p>
    <w:p w14:paraId="75FE7E85" w14:textId="77777777" w:rsidR="00660783" w:rsidRPr="00660783" w:rsidRDefault="00660783" w:rsidP="00660783"/>
    <w:p w14:paraId="3F48BCD6" w14:textId="77777777" w:rsidR="00660783" w:rsidRPr="00660783" w:rsidRDefault="00660783" w:rsidP="00660783">
      <w:r w:rsidRPr="00660783">
        <w:t>Academic contributions will be disseminated through publications in top-tier journals (targeting SIAM Journal on Applied Mathematics, Journal of Applied and Computational Topology, PLOS ONE) and conference presentations at leading venues (SIAM Dynamical Systems, Applied Topology meetings), facilitating direct engagement with researchers working on related problems and enabling knowledge exchange.</w:t>
      </w:r>
    </w:p>
    <w:p w14:paraId="648135A2" w14:textId="77777777" w:rsidR="00660783" w:rsidRPr="00660783" w:rsidRDefault="00660783" w:rsidP="00660783"/>
    <w:p w14:paraId="4BF3642A" w14:textId="77777777" w:rsidR="00660783" w:rsidRPr="00660783" w:rsidRDefault="00660783" w:rsidP="00660783">
      <w:r w:rsidRPr="00660783">
        <w:t>The open-source software release represents a significant contribution to the TDA ecosystem. By making the multi-scale analysis framework publicly available with comprehensive documentation, this research enables other researchers to apply these methods to their own domains—swarm robotics, crowd dynamics, biological systems, or other multi-agent applications. The code will integrate with established TDA libraries (</w:t>
      </w:r>
      <w:proofErr w:type="spellStart"/>
      <w:r w:rsidRPr="00660783">
        <w:t>ripser</w:t>
      </w:r>
      <w:proofErr w:type="spellEnd"/>
      <w:r w:rsidRPr="00660783">
        <w:t>, GUDHI) while adding novel functionality.</w:t>
      </w:r>
    </w:p>
    <w:p w14:paraId="535670B4" w14:textId="77777777" w:rsidR="00660783" w:rsidRPr="00660783" w:rsidRDefault="00660783" w:rsidP="00660783"/>
    <w:p w14:paraId="362E943D" w14:textId="77777777" w:rsidR="00660783" w:rsidRPr="00660783" w:rsidRDefault="00660783" w:rsidP="00660783">
      <w:r w:rsidRPr="00660783">
        <w:t>The research addresses fundamental theoretical questions extending beyond the immediate application domain. Questions about persistence diagram stability under competitive interactions, mathematical properties enabling natural scale separation, and the basis for correlations between topological features and system performance have implications for computational topology more broadly.</w:t>
      </w:r>
    </w:p>
    <w:p w14:paraId="33F9C2C0" w14:textId="77777777" w:rsidR="00660783" w:rsidRPr="00660783" w:rsidRDefault="00660783" w:rsidP="00660783"/>
    <w:p w14:paraId="0FB10A62" w14:textId="77777777" w:rsidR="00660783" w:rsidRPr="00660783" w:rsidRDefault="00660783" w:rsidP="00660783">
      <w:r w:rsidRPr="00660783">
        <w:t xml:space="preserve">Cross-disciplinary impact is inherent in the mathematical framework. The methods developed for football analytics are directly applicable to swarm robotics, crowd dynamics, biological systems, and social networks. By demonstrating the framework's utility in a well-structured, data-rich domain, this research provides a template for </w:t>
      </w:r>
      <w:r w:rsidRPr="00660783">
        <w:lastRenderedPageBreak/>
        <w:t>applications across diverse fields. Industry contributions demonstrate the pathway from fundamental research to practical application, showing how mathematical methods can create economic value while encouraging industry engagement with academic research. Public engagement activities make complex mathematics accessible through familiar domains, benefiting public understanding of mathematics and inspiring future researchers.</w:t>
      </w:r>
    </w:p>
    <w:p w14:paraId="4DC7CE7B" w14:textId="77777777" w:rsidR="00660783" w:rsidRPr="00803090" w:rsidRDefault="00660783" w:rsidP="00803090"/>
    <w:p w14:paraId="531D1AE1"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Contributions to the Wider Research and Innovation Community</w:t>
      </w:r>
    </w:p>
    <w:p w14:paraId="1E9D1304" w14:textId="77777777" w:rsidR="00FF2F03" w:rsidRDefault="00FF2F03" w:rsidP="00FF2F03">
      <w:pPr>
        <w:pStyle w:val="NormalWeb"/>
        <w:spacing w:line="300" w:lineRule="atLeast"/>
        <w:rPr>
          <w:rFonts w:ascii="Segoe UI" w:hAnsi="Segoe UI" w:cs="Segoe UI"/>
          <w:color w:val="000000"/>
          <w:sz w:val="21"/>
          <w:szCs w:val="21"/>
        </w:rPr>
      </w:pPr>
      <w:r>
        <w:rPr>
          <w:rFonts w:ascii="Segoe UI" w:hAnsi="Segoe UI" w:cs="Segoe UI"/>
          <w:color w:val="000000"/>
          <w:sz w:val="21"/>
          <w:szCs w:val="21"/>
        </w:rPr>
        <w:t>The project lead plays an active role in shaping the research agenda within computational topology and applied analytics. By introducing a multi-scale framework for topological data analysis, this work opens new directions for studying complex systems and sets a benchmark for integrating advanced mathematical methods into real-world applications. These contributions influence priorities in both theoretical research and practical domains such as sports analytics, robotics, and biological systems.</w:t>
      </w:r>
    </w:p>
    <w:p w14:paraId="0AEF3BCD" w14:textId="77777777" w:rsidR="00FF2F03" w:rsidRDefault="00FF2F03" w:rsidP="00FF2F03">
      <w:pPr>
        <w:pStyle w:val="NormalWeb"/>
        <w:spacing w:line="300" w:lineRule="atLeast"/>
        <w:rPr>
          <w:rFonts w:ascii="Segoe UI" w:hAnsi="Segoe UI" w:cs="Segoe UI"/>
          <w:color w:val="000000"/>
          <w:sz w:val="21"/>
          <w:szCs w:val="21"/>
        </w:rPr>
      </w:pPr>
      <w:r>
        <w:rPr>
          <w:rFonts w:ascii="Segoe UI" w:hAnsi="Segoe UI" w:cs="Segoe UI"/>
          <w:color w:val="000000"/>
          <w:sz w:val="21"/>
          <w:szCs w:val="21"/>
        </w:rPr>
        <w:t>In addition to research leadership, the project lead holds positions of responsibility that support the wider academic community. This includes serving as a reviewer for leading journals in applied mathematics and computational topology, contributing to conference programme committees, and advising on methodological standards for emerging applications of TDA. These commitments ensure rigorous peer review and help maintain high-quality scholarly outputs across the field.</w:t>
      </w:r>
    </w:p>
    <w:p w14:paraId="16D5D58E" w14:textId="77777777" w:rsidR="00FF2F03" w:rsidRDefault="00FF2F03" w:rsidP="00FF2F03">
      <w:pPr>
        <w:pStyle w:val="NormalWeb"/>
        <w:spacing w:line="300" w:lineRule="atLeast"/>
        <w:rPr>
          <w:rFonts w:ascii="Segoe UI" w:hAnsi="Segoe UI" w:cs="Segoe UI"/>
          <w:color w:val="000000"/>
          <w:sz w:val="21"/>
          <w:szCs w:val="21"/>
        </w:rPr>
      </w:pPr>
      <w:r>
        <w:rPr>
          <w:rFonts w:ascii="Segoe UI" w:hAnsi="Segoe UI" w:cs="Segoe UI"/>
          <w:color w:val="000000"/>
          <w:sz w:val="21"/>
          <w:szCs w:val="21"/>
        </w:rPr>
        <w:t>Strategic leadership is demonstrated through initiatives that promote openness and collaboration. The planned release of open-source software and curated datasets will enable other researchers to adopt and extend these methods, fostering cross-disciplinary engagement. Public engagement activities further broaden impact by making complex mathematical concepts accessible through familiar contexts, inspiring future researchers and strengthening links between academia and industry.</w:t>
      </w:r>
    </w:p>
    <w:p w14:paraId="246E7743" w14:textId="77777777" w:rsidR="00FF2F03" w:rsidRDefault="00FF2F03" w:rsidP="00FF2F03">
      <w:pPr>
        <w:pStyle w:val="NormalWeb"/>
        <w:spacing w:line="300" w:lineRule="atLeast"/>
        <w:rPr>
          <w:rFonts w:ascii="Segoe UI" w:hAnsi="Segoe UI" w:cs="Segoe UI"/>
          <w:color w:val="000000"/>
          <w:sz w:val="21"/>
          <w:szCs w:val="21"/>
        </w:rPr>
      </w:pPr>
      <w:r>
        <w:rPr>
          <w:rFonts w:ascii="Segoe UI" w:hAnsi="Segoe UI" w:cs="Segoe UI"/>
          <w:color w:val="000000"/>
          <w:sz w:val="21"/>
          <w:szCs w:val="21"/>
        </w:rPr>
        <w:t>Through these combined efforts—research innovation, professional service, and community leadership—the project lead contributes to advancing knowledge, shaping research priorities, and supporting the development of a vibrant, collaborative research ecosystem.</w:t>
      </w:r>
    </w:p>
    <w:p w14:paraId="281B0E6F"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Contributions to the Wider Research and Innovation Community</w:t>
      </w:r>
    </w:p>
    <w:p w14:paraId="3105850D"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Strategic leadership in influencing a research agenda:</w:t>
      </w:r>
      <w:r>
        <w:rPr>
          <w:rFonts w:ascii="Segoe UI" w:hAnsi="Segoe UI" w:cs="Segoe UI"/>
          <w:color w:val="000000"/>
          <w:sz w:val="21"/>
          <w:szCs w:val="21"/>
        </w:rPr>
        <w:br/>
        <w:t>The project lead plays an active role in shaping the research agenda within computational topology and applied analytics. By introducing a multi-scale framework for topological data analysis, this work opens new directions for studying complex systems and sets a benchmark for integrating advanced mathematical methods into real-world applications. These contributions influence priorities in both theoretical research and practical domains such as sports analytics, robotics, and biological systems.</w:t>
      </w:r>
    </w:p>
    <w:p w14:paraId="3BCE1D90"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lastRenderedPageBreak/>
        <w:t>Positions of responsibility:</w:t>
      </w:r>
      <w:r>
        <w:rPr>
          <w:rFonts w:ascii="Segoe UI" w:hAnsi="Segoe UI" w:cs="Segoe UI"/>
          <w:color w:val="000000"/>
          <w:sz w:val="21"/>
          <w:szCs w:val="21"/>
        </w:rPr>
        <w:br/>
        <w:t>The project lead holds roles that support the wider academic community, including serving as a reviewer for leading journals in applied mathematics and computational topology and contributing to conference programme committees. These responsibilities ensure rigorous peer review and help maintain high-quality scholarly outputs across the field.</w:t>
      </w:r>
    </w:p>
    <w:p w14:paraId="6D50EEFB"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Commitments such as reviewing, editing, and committee work:</w:t>
      </w:r>
      <w:r>
        <w:rPr>
          <w:rFonts w:ascii="Segoe UI" w:hAnsi="Segoe UI" w:cs="Segoe UI"/>
          <w:color w:val="000000"/>
          <w:sz w:val="21"/>
          <w:szCs w:val="21"/>
        </w:rPr>
        <w:br/>
        <w:t>Beyond reviewing, the project lead advises on methodological standards for emerging applications of TDA and participates in initiatives that promote best practice and collaboration within the research community.</w:t>
      </w:r>
    </w:p>
    <w:p w14:paraId="54ED12EF"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Broader impact and openness:</w:t>
      </w:r>
      <w:r>
        <w:rPr>
          <w:rFonts w:ascii="Segoe UI" w:hAnsi="Segoe UI" w:cs="Segoe UI"/>
          <w:color w:val="000000"/>
          <w:sz w:val="21"/>
          <w:szCs w:val="21"/>
        </w:rPr>
        <w:br/>
        <w:t>Strategic leadership is further demonstrated through initiatives that promote openness and collaboration. The planned release of open-source software and curated datasets will enable other researchers to adopt and extend these methods, fostering cross-disciplinary engagement. Public engagement activities broaden impact by making complex mathematical concepts accessible through familiar contexts, inspiring future researchers and strengthening links between academia and industry.</w:t>
      </w:r>
    </w:p>
    <w:p w14:paraId="3C100110" w14:textId="2330F6E6" w:rsidR="00FF2F03" w:rsidRDefault="00FF2F03">
      <w:r>
        <w:br w:type="page"/>
      </w:r>
    </w:p>
    <w:p w14:paraId="1779E61E" w14:textId="77777777" w:rsidR="00FF2F03" w:rsidRPr="00FF2F03" w:rsidRDefault="00FF2F03" w:rsidP="00FF2F03">
      <w:pPr>
        <w:rPr>
          <w:b/>
        </w:rPr>
      </w:pPr>
      <w:r w:rsidRPr="00FF2F03">
        <w:rPr>
          <w:b/>
        </w:rPr>
        <w:lastRenderedPageBreak/>
        <w:t>Module 4 – Contributions to broader research/innovation-users and audiences and towards wider societal benefit</w:t>
      </w:r>
    </w:p>
    <w:p w14:paraId="080BBE23" w14:textId="77777777" w:rsidR="00FF2F03" w:rsidRPr="00FF2F03" w:rsidRDefault="00FF2F03" w:rsidP="00FF2F03">
      <w:pPr>
        <w:spacing w:after="300" w:line="240" w:lineRule="auto"/>
        <w:rPr>
          <w:rFonts w:ascii="Roboto" w:eastAsia="Times New Roman" w:hAnsi="Roboto" w:cs="Times New Roman"/>
          <w:color w:val="505050"/>
          <w:kern w:val="0"/>
          <w:lang w:eastAsia="en-GB"/>
          <w14:ligatures w14:val="none"/>
        </w:rPr>
      </w:pPr>
      <w:r w:rsidRPr="00FF2F03">
        <w:rPr>
          <w:rFonts w:ascii="Roboto" w:eastAsia="Times New Roman" w:hAnsi="Roboto" w:cs="Times New Roman"/>
          <w:color w:val="505050"/>
          <w:kern w:val="0"/>
          <w:lang w:eastAsia="en-GB"/>
          <w14:ligatures w14:val="none"/>
        </w:rPr>
        <w:t>Explain your contributions to broader research or innovation users and audiences and towards wider societal benefit. Examples of what you could include are:</w:t>
      </w:r>
    </w:p>
    <w:p w14:paraId="4589E742" w14:textId="77777777" w:rsidR="00FF2F03" w:rsidRPr="00FF2F03" w:rsidRDefault="00FF2F03" w:rsidP="00FF2F03">
      <w:pPr>
        <w:numPr>
          <w:ilvl w:val="0"/>
          <w:numId w:val="4"/>
        </w:numPr>
        <w:spacing w:before="100" w:beforeAutospacing="1" w:after="75" w:line="240" w:lineRule="auto"/>
        <w:rPr>
          <w:rFonts w:ascii="Roboto" w:eastAsia="Times New Roman" w:hAnsi="Roboto" w:cs="Times New Roman"/>
          <w:color w:val="505050"/>
          <w:kern w:val="0"/>
          <w:lang w:eastAsia="en-GB"/>
          <w14:ligatures w14:val="none"/>
        </w:rPr>
      </w:pPr>
      <w:r w:rsidRPr="00FF2F03">
        <w:rPr>
          <w:rFonts w:ascii="Roboto" w:eastAsia="Times New Roman" w:hAnsi="Roboto" w:cs="Times New Roman"/>
          <w:color w:val="505050"/>
          <w:kern w:val="0"/>
          <w:lang w:eastAsia="en-GB"/>
          <w14:ligatures w14:val="none"/>
        </w:rPr>
        <w:t>how you’ve engaged with the public sector, clients and the wider public</w:t>
      </w:r>
    </w:p>
    <w:p w14:paraId="56799EB3" w14:textId="77777777" w:rsidR="00FF2F03" w:rsidRPr="00FF2F03" w:rsidRDefault="00FF2F03" w:rsidP="00FF2F03">
      <w:pPr>
        <w:numPr>
          <w:ilvl w:val="0"/>
          <w:numId w:val="4"/>
        </w:numPr>
        <w:spacing w:before="100" w:beforeAutospacing="1" w:after="75" w:line="240" w:lineRule="auto"/>
        <w:rPr>
          <w:rFonts w:ascii="Roboto" w:eastAsia="Times New Roman" w:hAnsi="Roboto" w:cs="Times New Roman"/>
          <w:color w:val="505050"/>
          <w:kern w:val="0"/>
          <w:lang w:eastAsia="en-GB"/>
          <w14:ligatures w14:val="none"/>
        </w:rPr>
      </w:pPr>
      <w:r w:rsidRPr="00FF2F03">
        <w:rPr>
          <w:rFonts w:ascii="Roboto" w:eastAsia="Times New Roman" w:hAnsi="Roboto" w:cs="Times New Roman"/>
          <w:color w:val="505050"/>
          <w:kern w:val="0"/>
          <w:lang w:eastAsia="en-GB"/>
          <w14:ligatures w14:val="none"/>
        </w:rPr>
        <w:t>research which has contributed to public understanding</w:t>
      </w:r>
    </w:p>
    <w:p w14:paraId="12CA1D0F" w14:textId="77777777" w:rsidR="00FF2F03" w:rsidRPr="00FF2F03" w:rsidRDefault="00FF2F03" w:rsidP="00FF2F03">
      <w:pPr>
        <w:numPr>
          <w:ilvl w:val="0"/>
          <w:numId w:val="4"/>
        </w:numPr>
        <w:spacing w:before="100" w:beforeAutospacing="1" w:after="75" w:line="240" w:lineRule="auto"/>
        <w:rPr>
          <w:rFonts w:ascii="Roboto" w:eastAsia="Times New Roman" w:hAnsi="Roboto" w:cs="Times New Roman"/>
          <w:color w:val="505050"/>
          <w:kern w:val="0"/>
          <w:lang w:eastAsia="en-GB"/>
          <w14:ligatures w14:val="none"/>
        </w:rPr>
      </w:pPr>
      <w:r w:rsidRPr="00FF2F03">
        <w:rPr>
          <w:rFonts w:ascii="Roboto" w:eastAsia="Times New Roman" w:hAnsi="Roboto" w:cs="Times New Roman"/>
          <w:color w:val="505050"/>
          <w:kern w:val="0"/>
          <w:lang w:eastAsia="en-GB"/>
          <w14:ligatures w14:val="none"/>
        </w:rPr>
        <w:t>research which has contributed to policy development</w:t>
      </w:r>
    </w:p>
    <w:p w14:paraId="50ED34C3" w14:textId="77777777" w:rsidR="00FF2F03" w:rsidRDefault="00FF2F03" w:rsidP="00FF2F03"/>
    <w:p w14:paraId="3707E244" w14:textId="2A170A27" w:rsidR="00FF2F03" w:rsidRPr="00FF2F03" w:rsidRDefault="00FF2F03" w:rsidP="00FF2F03">
      <w:r w:rsidRPr="00FF2F03">
        <w:t>This research creates value across multiple sectors, with direct applications addressing critical societal challenges and indirect benefits through methodological advances and educational impact.</w:t>
      </w:r>
    </w:p>
    <w:p w14:paraId="448021B2" w14:textId="77777777" w:rsidR="00FF2F03" w:rsidRPr="00FF2F03" w:rsidRDefault="00FF2F03" w:rsidP="00FF2F03"/>
    <w:p w14:paraId="02997F16" w14:textId="77777777" w:rsidR="00FF2F03" w:rsidRPr="00FF2F03" w:rsidRDefault="00FF2F03" w:rsidP="00FF2F03">
      <w:r w:rsidRPr="00FF2F03">
        <w:t>The mathematical sciences community benefits from new theoretical frameworks for competitive dynamical systems, computational methods for real-time multi-scale TDA, and educational resources demonstrating persistent homology applications. These contributions advance computational topology while providing tools that other researchers can apply to their own domains, establishing UK leadership in mathematical sciences and sports technology.</w:t>
      </w:r>
    </w:p>
    <w:p w14:paraId="55AD252A" w14:textId="77777777" w:rsidR="00FF2F03" w:rsidRPr="00FF2F03" w:rsidRDefault="00FF2F03" w:rsidP="00FF2F03"/>
    <w:p w14:paraId="6E77A29C" w14:textId="77777777" w:rsidR="00FF2F03" w:rsidRPr="00FF2F03" w:rsidRDefault="00FF2F03" w:rsidP="00FF2F03">
      <w:r w:rsidRPr="00FF2F03">
        <w:t>Cross-disciplinary applications address urgent societal challenges. For swarm robotics, the framework provides coordination quality metrics improving multi-robot systems in search-and-rescue operations, warehouse automation, and environmental monitoring. For crowd dynamics, the methods offer safety assessment tools preventing dangerous congestion at major events, transport hubs, or emergency evacuations—directly protecting public safety. For biological systems, the framework enables collective behaviour quantification informing ecosystem management strategies, supporting conservation efforts. For emergency planning, the methods provide evacuation modelling capabilities that could save lives during crises.</w:t>
      </w:r>
    </w:p>
    <w:p w14:paraId="7EA63028" w14:textId="77777777" w:rsidR="00FF2F03" w:rsidRPr="00FF2F03" w:rsidRDefault="00FF2F03" w:rsidP="00FF2F03"/>
    <w:p w14:paraId="4892678A" w14:textId="77777777" w:rsidR="00FF2F03" w:rsidRPr="00FF2F03" w:rsidRDefault="00FF2F03" w:rsidP="00FF2F03">
      <w:r w:rsidRPr="00FF2F03">
        <w:t>Societal benefits extend beyond direct applications. Public safety applications in crowd management and evacuation planning protect lives and reduce emergency response costs. Economic impact through sports industry applications creates value for professional clubs while demonstrating the commercial viability of mathematical research. Educational inspiration through accessible advanced mathematics benefits students and the broader public, showing how abstract concepts solve real-world problems.</w:t>
      </w:r>
    </w:p>
    <w:p w14:paraId="339B0076" w14:textId="77777777" w:rsidR="00FF2F03" w:rsidRPr="00FF2F03" w:rsidRDefault="00FF2F03" w:rsidP="00FF2F03"/>
    <w:p w14:paraId="5C6D74D9" w14:textId="77777777" w:rsidR="00FF2F03" w:rsidRPr="00FF2F03" w:rsidRDefault="00FF2F03" w:rsidP="00FF2F03">
      <w:r w:rsidRPr="00FF2F03">
        <w:t xml:space="preserve">Industry and commercial impact </w:t>
      </w:r>
      <w:proofErr w:type="gramStart"/>
      <w:r w:rsidRPr="00FF2F03">
        <w:t>includes</w:t>
      </w:r>
      <w:proofErr w:type="gramEnd"/>
      <w:r w:rsidRPr="00FF2F03">
        <w:t xml:space="preserve"> enhanced sports analytics capabilities for professional clubs, providing competitive advantages through quantitative tactical analysis. The technology transfer pathway demonstrates how mathematical innovation creates economic value, while supporting national economic objectives. The research prioritises applications that benefit society, with public safety applications prioritised over purely commercial uses. Environmental benefits through traffic management applications could reduce congestion and emissions.</w:t>
      </w:r>
    </w:p>
    <w:p w14:paraId="6E289BB2" w14:textId="77777777" w:rsidR="00FF2F03" w:rsidRPr="00FF2F03" w:rsidRDefault="00FF2F03" w:rsidP="00FF2F03"/>
    <w:p w14:paraId="26E9E6F7" w14:textId="77777777" w:rsidR="00FF2F03" w:rsidRPr="00FF2F03" w:rsidRDefault="00FF2F03" w:rsidP="00FF2F03">
      <w:r w:rsidRPr="00FF2F03">
        <w:t>The framework's design ensures broad applicability. By developing methods that work with any compatible tracking data, the research enables replication and application across diverse domains without requiring access to specific datasets. The open-source release and comprehensive documentation ensure that benefits extend beyond the immediate project team to the broader research and innovation community.</w:t>
      </w:r>
    </w:p>
    <w:p w14:paraId="0C167165"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Contributions to Broader Research Users, Audiences, and Societal Benefit</w:t>
      </w:r>
    </w:p>
    <w:p w14:paraId="5408DD16"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Engagement with the public sector, clients, and wider audiences:</w:t>
      </w:r>
      <w:r>
        <w:rPr>
          <w:rFonts w:ascii="Segoe UI" w:hAnsi="Segoe UI" w:cs="Segoe UI"/>
          <w:color w:val="000000"/>
          <w:sz w:val="21"/>
          <w:szCs w:val="21"/>
        </w:rPr>
        <w:br/>
        <w:t>The project actively engages with industry partners and wider stakeholders to ensure practical impact. Collaborations with professional sports organisations demonstrate technology transfer, while the framework’s design supports applications in public safety, emergency planning, and environmental monitoring—areas of direct relevance to public sector priorities. These partnerships enable knowledge exchange and ensure that research outcomes address real-world needs.</w:t>
      </w:r>
    </w:p>
    <w:p w14:paraId="731688C8"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Research contributing to public understanding:</w:t>
      </w:r>
      <w:r>
        <w:rPr>
          <w:rFonts w:ascii="Segoe UI" w:hAnsi="Segoe UI" w:cs="Segoe UI"/>
          <w:color w:val="000000"/>
          <w:sz w:val="21"/>
          <w:szCs w:val="21"/>
        </w:rPr>
        <w:br/>
        <w:t>Public engagement activities make advanced mathematical concepts accessible through familiar contexts such as sports analytics. By demonstrating how abstract methods solve practical problems, the project inspires future researchers and enhances public appreciation of mathematics. Educational resources and open-source tools further broaden access, supporting learning and community engagement.</w:t>
      </w:r>
    </w:p>
    <w:p w14:paraId="428A5A44" w14:textId="77777777" w:rsidR="00FF2F03" w:rsidRDefault="00FF2F03" w:rsidP="00FF2F03">
      <w:pPr>
        <w:pStyle w:val="NormalWeb"/>
        <w:spacing w:line="300" w:lineRule="atLeast"/>
        <w:rPr>
          <w:rFonts w:ascii="Segoe UI" w:hAnsi="Segoe UI" w:cs="Segoe UI"/>
          <w:color w:val="000000"/>
          <w:sz w:val="21"/>
          <w:szCs w:val="21"/>
        </w:rPr>
      </w:pPr>
      <w:r>
        <w:rPr>
          <w:rStyle w:val="Strong"/>
          <w:rFonts w:ascii="Segoe UI" w:eastAsiaTheme="majorEastAsia" w:hAnsi="Segoe UI" w:cs="Segoe UI"/>
          <w:color w:val="000000"/>
          <w:sz w:val="21"/>
          <w:szCs w:val="21"/>
        </w:rPr>
        <w:t>Research contributing to policy development:</w:t>
      </w:r>
      <w:r>
        <w:rPr>
          <w:rFonts w:ascii="Segoe UI" w:hAnsi="Segoe UI" w:cs="Segoe UI"/>
          <w:color w:val="000000"/>
          <w:sz w:val="21"/>
          <w:szCs w:val="21"/>
        </w:rPr>
        <w:br/>
        <w:t>The methods developed have clear policy relevance in areas such as crowd safety and emergency evacuation planning. By providing quantitative tools for assessing congestion risks and modelling evacuation strategies, the research informs evidence-based decision-making for public safety. These contributions have the potential to influence guidelines and standards for major events, transport hubs, and crisis management.</w:t>
      </w:r>
    </w:p>
    <w:p w14:paraId="50B5B50C" w14:textId="77777777" w:rsidR="00FF2F03" w:rsidRDefault="00FF2F03" w:rsidP="00FF2F03">
      <w:pPr>
        <w:pStyle w:val="NormalWeb"/>
        <w:spacing w:line="300" w:lineRule="atLeast"/>
        <w:rPr>
          <w:rFonts w:ascii="Segoe UI" w:hAnsi="Segoe UI" w:cs="Segoe UI"/>
          <w:color w:val="000000"/>
          <w:sz w:val="21"/>
          <w:szCs w:val="21"/>
        </w:rPr>
      </w:pPr>
      <w:r>
        <w:rPr>
          <w:rFonts w:ascii="Segoe UI" w:hAnsi="Segoe UI" w:cs="Segoe UI"/>
          <w:color w:val="000000"/>
          <w:sz w:val="21"/>
          <w:szCs w:val="21"/>
        </w:rPr>
        <w:t>Through these combined efforts—industry collaboration, public engagement, and policy-relevant research—the project delivers societal benefits that extend beyond academia, creating value for diverse sectors while addressing critical challenges in safety, sustainability, and education.</w:t>
      </w:r>
    </w:p>
    <w:p w14:paraId="3E06A036" w14:textId="77777777" w:rsidR="00C23807" w:rsidRPr="00810CBF" w:rsidRDefault="00C23807" w:rsidP="00C23807">
      <w:pPr>
        <w:pStyle w:val="Default"/>
        <w:rPr>
          <w:b/>
          <w:bCs/>
          <w:color w:val="auto"/>
        </w:rPr>
      </w:pPr>
      <w:r w:rsidRPr="00810CBF">
        <w:rPr>
          <w:b/>
          <w:bCs/>
          <w:color w:val="auto"/>
        </w:rPr>
        <w:lastRenderedPageBreak/>
        <w:t xml:space="preserve">Additions </w:t>
      </w:r>
    </w:p>
    <w:p w14:paraId="1F3D12A8" w14:textId="77777777" w:rsidR="00C23807" w:rsidRDefault="00C23807" w:rsidP="00C23807">
      <w:pPr>
        <w:pStyle w:val="Default"/>
        <w:rPr>
          <w:rFonts w:eastAsia="Calibri"/>
          <w:i/>
          <w:iCs/>
          <w:color w:val="auto"/>
          <w:sz w:val="20"/>
          <w:szCs w:val="20"/>
        </w:rPr>
      </w:pPr>
      <w:r w:rsidRPr="39B28897">
        <w:rPr>
          <w:i/>
          <w:iCs/>
          <w:color w:val="auto"/>
          <w:sz w:val="20"/>
          <w:szCs w:val="20"/>
        </w:rPr>
        <w:t xml:space="preserve">Provide any further details relevant to your application. </w:t>
      </w:r>
      <w:r w:rsidRPr="39B28897">
        <w:rPr>
          <w:rFonts w:eastAsia="Calibri"/>
          <w:i/>
          <w:iCs/>
          <w:color w:val="auto"/>
          <w:sz w:val="20"/>
          <w:szCs w:val="20"/>
        </w:rPr>
        <w:t>This heading is separate from the four R4RI modules and has its own word limit within the overall Capability to Deliver section word limit. It must not be used to describe additional skills, experiences or outputs.</w:t>
      </w:r>
    </w:p>
    <w:p w14:paraId="0255B665" w14:textId="77777777" w:rsidR="00C23807" w:rsidRDefault="00C23807" w:rsidP="00C23807">
      <w:pPr>
        <w:pStyle w:val="Default"/>
        <w:rPr>
          <w:rFonts w:eastAsia="Calibri"/>
          <w:i/>
          <w:iCs/>
          <w:color w:val="auto"/>
          <w:sz w:val="20"/>
          <w:szCs w:val="20"/>
        </w:rPr>
      </w:pPr>
    </w:p>
    <w:p w14:paraId="7C3C2BB0" w14:textId="77777777" w:rsidR="00C23807" w:rsidRDefault="00C23807" w:rsidP="00C23807">
      <w:pPr>
        <w:pStyle w:val="Default"/>
        <w:rPr>
          <w:rFonts w:eastAsia="Calibri"/>
          <w:i/>
          <w:iCs/>
          <w:color w:val="auto"/>
          <w:sz w:val="20"/>
          <w:szCs w:val="20"/>
        </w:rPr>
      </w:pPr>
    </w:p>
    <w:p w14:paraId="1BCBE6AA" w14:textId="77777777" w:rsidR="00C23807" w:rsidRPr="00C23807" w:rsidRDefault="00C23807" w:rsidP="00C23807">
      <w:pPr>
        <w:spacing w:after="300" w:line="240" w:lineRule="auto"/>
        <w:rPr>
          <w:rFonts w:ascii="Roboto" w:eastAsia="Times New Roman" w:hAnsi="Roboto" w:cs="Times New Roman"/>
          <w:color w:val="505050"/>
          <w:kern w:val="0"/>
          <w:lang w:eastAsia="en-GB"/>
          <w14:ligatures w14:val="none"/>
        </w:rPr>
      </w:pPr>
      <w:r w:rsidRPr="00C23807">
        <w:rPr>
          <w:rFonts w:ascii="Roboto" w:eastAsia="Times New Roman" w:hAnsi="Roboto" w:cs="Times New Roman"/>
          <w:color w:val="505050"/>
          <w:kern w:val="0"/>
          <w:lang w:eastAsia="en-GB"/>
          <w14:ligatures w14:val="none"/>
        </w:rPr>
        <w:t>Examples of what you could include if needed are:</w:t>
      </w:r>
    </w:p>
    <w:p w14:paraId="785CC1F9" w14:textId="77777777" w:rsidR="00C23807" w:rsidRPr="00C23807" w:rsidRDefault="00C23807" w:rsidP="00C23807">
      <w:pPr>
        <w:numPr>
          <w:ilvl w:val="0"/>
          <w:numId w:val="5"/>
        </w:numPr>
        <w:spacing w:before="100" w:beforeAutospacing="1" w:after="75" w:line="240" w:lineRule="auto"/>
        <w:rPr>
          <w:rFonts w:ascii="Roboto" w:eastAsia="Times New Roman" w:hAnsi="Roboto" w:cs="Times New Roman"/>
          <w:color w:val="505050"/>
          <w:kern w:val="0"/>
          <w:lang w:eastAsia="en-GB"/>
          <w14:ligatures w14:val="none"/>
        </w:rPr>
      </w:pPr>
      <w:r w:rsidRPr="00C23807">
        <w:rPr>
          <w:rFonts w:ascii="Roboto" w:eastAsia="Times New Roman" w:hAnsi="Roboto" w:cs="Times New Roman"/>
          <w:color w:val="505050"/>
          <w:kern w:val="0"/>
          <w:lang w:eastAsia="en-GB"/>
          <w14:ligatures w14:val="none"/>
        </w:rPr>
        <w:t>career breaks</w:t>
      </w:r>
    </w:p>
    <w:p w14:paraId="198A72D5" w14:textId="77777777" w:rsidR="00C23807" w:rsidRPr="00C23807" w:rsidRDefault="00C23807" w:rsidP="00C23807">
      <w:pPr>
        <w:numPr>
          <w:ilvl w:val="0"/>
          <w:numId w:val="5"/>
        </w:numPr>
        <w:spacing w:before="100" w:beforeAutospacing="1" w:after="75" w:line="240" w:lineRule="auto"/>
        <w:rPr>
          <w:rFonts w:ascii="Roboto" w:eastAsia="Times New Roman" w:hAnsi="Roboto" w:cs="Times New Roman"/>
          <w:color w:val="505050"/>
          <w:kern w:val="0"/>
          <w:lang w:eastAsia="en-GB"/>
          <w14:ligatures w14:val="none"/>
        </w:rPr>
      </w:pPr>
      <w:r w:rsidRPr="00C23807">
        <w:rPr>
          <w:rFonts w:ascii="Roboto" w:eastAsia="Times New Roman" w:hAnsi="Roboto" w:cs="Times New Roman"/>
          <w:color w:val="505050"/>
          <w:kern w:val="0"/>
          <w:lang w:eastAsia="en-GB"/>
          <w14:ligatures w14:val="none"/>
        </w:rPr>
        <w:t>secondments</w:t>
      </w:r>
    </w:p>
    <w:p w14:paraId="6F641524" w14:textId="77777777" w:rsidR="00C23807" w:rsidRPr="00C23807" w:rsidRDefault="00C23807" w:rsidP="00C23807">
      <w:pPr>
        <w:numPr>
          <w:ilvl w:val="0"/>
          <w:numId w:val="5"/>
        </w:numPr>
        <w:spacing w:before="100" w:beforeAutospacing="1" w:after="75" w:line="240" w:lineRule="auto"/>
        <w:rPr>
          <w:rFonts w:ascii="Roboto" w:eastAsia="Times New Roman" w:hAnsi="Roboto" w:cs="Times New Roman"/>
          <w:color w:val="505050"/>
          <w:kern w:val="0"/>
          <w:lang w:eastAsia="en-GB"/>
          <w14:ligatures w14:val="none"/>
        </w:rPr>
      </w:pPr>
      <w:r w:rsidRPr="00C23807">
        <w:rPr>
          <w:rFonts w:ascii="Roboto" w:eastAsia="Times New Roman" w:hAnsi="Roboto" w:cs="Times New Roman"/>
          <w:color w:val="505050"/>
          <w:kern w:val="0"/>
          <w:lang w:eastAsia="en-GB"/>
          <w14:ligatures w14:val="none"/>
        </w:rPr>
        <w:t>voluntary work</w:t>
      </w:r>
    </w:p>
    <w:p w14:paraId="6D8BF605" w14:textId="77777777" w:rsidR="00C23807" w:rsidRPr="00C23807" w:rsidRDefault="00C23807" w:rsidP="00C23807">
      <w:pPr>
        <w:spacing w:after="300" w:line="240" w:lineRule="auto"/>
        <w:rPr>
          <w:rFonts w:ascii="Roboto" w:eastAsia="Times New Roman" w:hAnsi="Roboto" w:cs="Times New Roman"/>
          <w:color w:val="505050"/>
          <w:kern w:val="0"/>
          <w:lang w:eastAsia="en-GB"/>
          <w14:ligatures w14:val="none"/>
        </w:rPr>
      </w:pPr>
      <w:r w:rsidRPr="00C23807">
        <w:rPr>
          <w:rFonts w:ascii="Roboto" w:eastAsia="Times New Roman" w:hAnsi="Roboto" w:cs="Times New Roman"/>
          <w:color w:val="505050"/>
          <w:kern w:val="0"/>
          <w:lang w:eastAsia="en-GB"/>
          <w14:ligatures w14:val="none"/>
        </w:rPr>
        <w:t>This will be seen by the panel and reviewers even if it references a sensitive issue. Focus on how the issue has affected your career, rather than expanding on the issue itself.</w:t>
      </w:r>
    </w:p>
    <w:p w14:paraId="2D6A05E5" w14:textId="77777777" w:rsidR="00C23807" w:rsidRPr="00C23807" w:rsidRDefault="00C23807" w:rsidP="00C23807">
      <w:pPr>
        <w:spacing w:after="300" w:line="240" w:lineRule="auto"/>
        <w:rPr>
          <w:rFonts w:ascii="Roboto" w:eastAsia="Times New Roman" w:hAnsi="Roboto" w:cs="Times New Roman"/>
          <w:color w:val="505050"/>
          <w:kern w:val="0"/>
          <w:lang w:eastAsia="en-GB"/>
          <w14:ligatures w14:val="none"/>
        </w:rPr>
      </w:pPr>
      <w:r w:rsidRPr="00C23807">
        <w:rPr>
          <w:rFonts w:ascii="Roboto" w:eastAsia="Times New Roman" w:hAnsi="Roboto" w:cs="Times New Roman"/>
          <w:color w:val="505050"/>
          <w:kern w:val="0"/>
          <w:lang w:eastAsia="en-GB"/>
          <w14:ligatures w14:val="none"/>
        </w:rPr>
        <w:t>Do not use this section to describe additional skills, experiences or outputs, as this information will not be assessed.</w:t>
      </w:r>
    </w:p>
    <w:p w14:paraId="5D649ED0" w14:textId="77777777" w:rsidR="00C23807" w:rsidRDefault="00C23807" w:rsidP="00C23807"/>
    <w:p w14:paraId="2484F256" w14:textId="6308A311" w:rsidR="00C23807" w:rsidRPr="00C23807" w:rsidRDefault="00C23807" w:rsidP="00C23807">
      <w:r w:rsidRPr="00C23807">
        <w:t>The project builds upon substantial preliminary work establishing proof-of-concept for the multi-scale TDA framework. This preliminary validation reduces technical risk and demonstrates the project lead's capacity to deliver the proposed objectives. The three validated topological scales, adaptive filtration methods, and preliminary performance correlations provide a strong foundation for the multi-match validation work proposed in this grant.</w:t>
      </w:r>
    </w:p>
    <w:p w14:paraId="1B519B52" w14:textId="77777777" w:rsidR="00C23807" w:rsidRPr="00C23807" w:rsidRDefault="00C23807" w:rsidP="00C23807"/>
    <w:p w14:paraId="24C0569B" w14:textId="77777777" w:rsidR="00C23807" w:rsidRPr="00C23807" w:rsidRDefault="00C23807" w:rsidP="00C23807">
      <w:r w:rsidRPr="00C23807">
        <w:t>Industry partnerships have been established through existing relationships, ensuring data access from the project start. Multiple pathways for enhanced GPS data (Genius Sports, UK; Borussia Dortmund, Germany) provide redundancy, mitigating the primary project risk. These established relationships demonstrate the project lead's capacity to manage complex partnerships and secure necessary resources.</w:t>
      </w:r>
    </w:p>
    <w:p w14:paraId="01C74C88" w14:textId="77777777" w:rsidR="00C23807" w:rsidRPr="00C23807" w:rsidRDefault="00C23807" w:rsidP="00C23807"/>
    <w:p w14:paraId="55CFB72D" w14:textId="77777777" w:rsidR="00C23807" w:rsidRPr="00C23807" w:rsidRDefault="00C23807" w:rsidP="00C23807">
      <w:r w:rsidRPr="00C23807">
        <w:t>The host institution provides appropriate research environment support, including high-performance computing resources for large-scale TDA computations, data storage facilities for multi-match datasets, and software licences for analysis tools. Institutional support for open science aligns with project objectives and ensures maximum impact.</w:t>
      </w:r>
    </w:p>
    <w:p w14:paraId="1CB314EA" w14:textId="77777777" w:rsidR="00C23807" w:rsidRPr="00C23807" w:rsidRDefault="00C23807" w:rsidP="00C23807"/>
    <w:p w14:paraId="1D361E24" w14:textId="77777777" w:rsidR="00C23807" w:rsidRPr="00C23807" w:rsidRDefault="00C23807" w:rsidP="00C23807">
      <w:r w:rsidRPr="00C23807">
        <w:t xml:space="preserve">The project design enables a clear pathway to follow-on funding through a 36-month Standard Grant application. By generating robust preliminary results across multiple matches, establishing methodology with peer-reviewed publications, and </w:t>
      </w:r>
      <w:r w:rsidRPr="00C23807">
        <w:lastRenderedPageBreak/>
        <w:t>demonstrating feasibility with real data, this small grant creates the foundation for a larger research programme addressing broader theoretical questions and applications.</w:t>
      </w:r>
    </w:p>
    <w:p w14:paraId="287CADAC" w14:textId="3020DBFE" w:rsidR="009126F2" w:rsidRDefault="009126F2">
      <w:r>
        <w:br w:type="page"/>
      </w:r>
    </w:p>
    <w:p w14:paraId="4471EA99" w14:textId="77777777" w:rsidR="009126F2" w:rsidRPr="009126F2" w:rsidRDefault="009126F2" w:rsidP="009126F2">
      <w:pPr>
        <w:rPr>
          <w:b/>
          <w:bCs/>
        </w:rPr>
      </w:pPr>
      <w:r w:rsidRPr="009126F2">
        <w:rPr>
          <w:b/>
          <w:bCs/>
        </w:rPr>
        <w:lastRenderedPageBreak/>
        <w:t>Module 1 – Contributions to the Generation of New Ideas, Tools, and Methodologies</w:t>
      </w:r>
    </w:p>
    <w:p w14:paraId="6141C346" w14:textId="77777777" w:rsidR="009126F2" w:rsidRPr="009126F2" w:rsidRDefault="009126F2" w:rsidP="009126F2">
      <w:r w:rsidRPr="009126F2">
        <w:rPr>
          <w:b/>
          <w:bCs/>
        </w:rPr>
        <w:t>New ideas and methodologies:</w:t>
      </w:r>
      <w:r w:rsidRPr="009126F2">
        <w:br/>
        <w:t xml:space="preserve">This research introduces a multi-scale approach to topological data analysis (TDA), enabling the detection of spatial and temporal patterns in complex systems. These innovations overcome limitations in existing techniques and allow dynamic systems, such as football formations, to be analysed in ways that were previously </w:t>
      </w:r>
      <w:proofErr w:type="gramStart"/>
      <w:r w:rsidRPr="009126F2">
        <w:t>impractical;</w:t>
      </w:r>
      <w:proofErr w:type="gramEnd"/>
      <w:r w:rsidRPr="009126F2">
        <w:t xml:space="preserve"> opening opportunities for predictive performance modelling.</w:t>
      </w:r>
    </w:p>
    <w:p w14:paraId="32ED5083" w14:textId="77777777" w:rsidR="009126F2" w:rsidRPr="009126F2" w:rsidRDefault="009126F2" w:rsidP="009126F2">
      <w:r w:rsidRPr="009126F2">
        <w:rPr>
          <w:b/>
          <w:bCs/>
        </w:rPr>
        <w:t>Tools and key outputs:</w:t>
      </w:r>
      <w:r w:rsidRPr="009126F2">
        <w:br/>
        <w:t xml:space="preserve">The project delivers a computational framework implemented in widely used programming environments, integrating established TDA libraries with novel multi-scale functionality. Designed for efficiency, the framework supports real-time analysis, making it suitable for both research and industry applications. Key outputs include two manuscripts in </w:t>
      </w:r>
      <w:proofErr w:type="gramStart"/>
      <w:r w:rsidRPr="009126F2">
        <w:t>preparation;</w:t>
      </w:r>
      <w:proofErr w:type="gramEnd"/>
      <w:r w:rsidRPr="009126F2">
        <w:t xml:space="preserve"> one detailing methodological </w:t>
      </w:r>
      <w:proofErr w:type="gramStart"/>
      <w:r w:rsidRPr="009126F2">
        <w:t>advances</w:t>
      </w:r>
      <w:proofErr w:type="gramEnd"/>
      <w:r w:rsidRPr="009126F2">
        <w:t xml:space="preserve"> for a leading computational topology journal and another presenting applied </w:t>
      </w:r>
      <w:proofErr w:type="gramStart"/>
      <w:r w:rsidRPr="009126F2">
        <w:t>findings</w:t>
      </w:r>
      <w:proofErr w:type="gramEnd"/>
      <w:r w:rsidRPr="009126F2">
        <w:t xml:space="preserve"> for a broad scientific audience. The work will also generate open-source software and curated datasets to support reproducibility and community engagement.</w:t>
      </w:r>
    </w:p>
    <w:p w14:paraId="553683A3" w14:textId="77777777" w:rsidR="009126F2" w:rsidRPr="009126F2" w:rsidRDefault="009126F2" w:rsidP="009126F2">
      <w:r w:rsidRPr="009126F2">
        <w:rPr>
          <w:b/>
          <w:bCs/>
        </w:rPr>
        <w:t>Communication of ideas and results:</w:t>
      </w:r>
      <w:r w:rsidRPr="009126F2">
        <w:br/>
        <w:t>Ideas and results are communicated through planned publications, conference presentations, and open-source releases; ensuring accessibility for both academic and applied communities.</w:t>
      </w:r>
    </w:p>
    <w:p w14:paraId="2764DA16" w14:textId="77777777" w:rsidR="009126F2" w:rsidRDefault="009126F2" w:rsidP="009126F2">
      <w:r w:rsidRPr="009126F2">
        <w:rPr>
          <w:b/>
          <w:bCs/>
        </w:rPr>
        <w:t>Skills acquired:</w:t>
      </w:r>
      <w:r w:rsidRPr="009126F2">
        <w:br/>
        <w:t>Through this research, the team has strengthened expertise in advanced mathematical modelling, computational implementation, and large-scale data processing. These skills, combined with a commitment to open dissemination, ensure that the project contributes not only new knowledge but also practical tools for the wider research community.</w:t>
      </w:r>
    </w:p>
    <w:p w14:paraId="138BEFCB" w14:textId="77777777" w:rsidR="009126F2" w:rsidRDefault="009126F2" w:rsidP="009126F2"/>
    <w:p w14:paraId="5B57931C" w14:textId="77777777" w:rsidR="009126F2" w:rsidRPr="009126F2" w:rsidRDefault="009126F2" w:rsidP="009126F2"/>
    <w:p w14:paraId="630F379C" w14:textId="77777777" w:rsidR="009126F2" w:rsidRPr="009126F2" w:rsidRDefault="009126F2" w:rsidP="009126F2">
      <w:pPr>
        <w:rPr>
          <w:b/>
          <w:bCs/>
        </w:rPr>
      </w:pPr>
      <w:r w:rsidRPr="009126F2">
        <w:rPr>
          <w:b/>
          <w:bCs/>
        </w:rPr>
        <w:t>Module 2 – Development of Others and Effective Working Relationships</w:t>
      </w:r>
    </w:p>
    <w:p w14:paraId="59D54FA9" w14:textId="77777777" w:rsidR="009126F2" w:rsidRPr="009126F2" w:rsidRDefault="009126F2" w:rsidP="009126F2">
      <w:r w:rsidRPr="009126F2">
        <w:rPr>
          <w:b/>
          <w:bCs/>
        </w:rPr>
        <w:t>Expertise critical to the team’s success:</w:t>
      </w:r>
      <w:r w:rsidRPr="009126F2">
        <w:br/>
        <w:t>The project lead provides specialist knowledge in advanced analytical methods and computational modelling, ensuring the team can deliver high-quality research outputs. This expertise underpins the design of the analytical framework and guides methodological decisions throughout the project.</w:t>
      </w:r>
    </w:p>
    <w:p w14:paraId="675DE720" w14:textId="77777777" w:rsidR="009126F2" w:rsidRPr="009126F2" w:rsidRDefault="009126F2" w:rsidP="009126F2">
      <w:r w:rsidRPr="009126F2">
        <w:rPr>
          <w:b/>
          <w:bCs/>
        </w:rPr>
        <w:t>Teaching activities, workshops, and mentoring:</w:t>
      </w:r>
      <w:r w:rsidRPr="009126F2">
        <w:br/>
        <w:t xml:space="preserve">A structured development plan supports the Research Associate’s growth through technical training in advanced data analysis and programming, complemented by </w:t>
      </w:r>
      <w:r w:rsidRPr="009126F2">
        <w:lastRenderedPageBreak/>
        <w:t xml:space="preserve">workshops on academic writing, presentation skills, and grant preparation. Regular supervision meetings and monthly progress reviews provide consistent </w:t>
      </w:r>
      <w:proofErr w:type="gramStart"/>
      <w:r w:rsidRPr="009126F2">
        <w:t>guidance;</w:t>
      </w:r>
      <w:proofErr w:type="gramEnd"/>
      <w:r w:rsidRPr="009126F2">
        <w:t xml:space="preserve"> while encouraging independence and confidence.</w:t>
      </w:r>
    </w:p>
    <w:p w14:paraId="1878A393" w14:textId="77777777" w:rsidR="009126F2" w:rsidRPr="009126F2" w:rsidRDefault="009126F2" w:rsidP="009126F2">
      <w:r w:rsidRPr="009126F2">
        <w:rPr>
          <w:b/>
          <w:bCs/>
        </w:rPr>
        <w:t>Leadership in shaping the direction of the team:</w:t>
      </w:r>
      <w:r w:rsidRPr="009126F2">
        <w:br/>
        <w:t>The project lead sets the strategic direction by embedding career progression opportunities within the project design. The Research Associate will contribute as a co-author on planned publications, present at conferences, and engage with professional networks through industry collaborations. These initiatives build visibility and long-term career prospects.</w:t>
      </w:r>
    </w:p>
    <w:p w14:paraId="6727F5EC" w14:textId="77777777" w:rsidR="009126F2" w:rsidRPr="009126F2" w:rsidRDefault="009126F2" w:rsidP="009126F2">
      <w:r w:rsidRPr="009126F2">
        <w:rPr>
          <w:b/>
          <w:bCs/>
        </w:rPr>
        <w:t>Maintaining effective working relationships:</w:t>
      </w:r>
      <w:r w:rsidRPr="009126F2">
        <w:br/>
        <w:t xml:space="preserve">Strong partnerships with industry and academic collaborators provide access to data, domain expertise, and technical resources. Clear communication channels and shared objectives ensure mutual benefit and sustained engagement. Cross-disciplinary collaboration is actively </w:t>
      </w:r>
      <w:proofErr w:type="gramStart"/>
      <w:r w:rsidRPr="009126F2">
        <w:t>fostered;</w:t>
      </w:r>
      <w:proofErr w:type="gramEnd"/>
      <w:r w:rsidRPr="009126F2">
        <w:t xml:space="preserve"> linking computational research with applied fields such as sports science and data analytics.</w:t>
      </w:r>
    </w:p>
    <w:p w14:paraId="624F3227" w14:textId="77777777" w:rsidR="006D28F1" w:rsidRPr="006D28F1" w:rsidRDefault="006D28F1" w:rsidP="006D28F1">
      <w:pPr>
        <w:spacing w:before="100" w:beforeAutospacing="1" w:after="100" w:afterAutospacing="1" w:line="300" w:lineRule="atLeast"/>
        <w:outlineLvl w:val="2"/>
        <w:rPr>
          <w:rFonts w:ascii="Segoe UI" w:eastAsia="Times New Roman" w:hAnsi="Segoe UI" w:cs="Segoe UI"/>
          <w:b/>
          <w:bCs/>
          <w:color w:val="000000"/>
          <w:kern w:val="0"/>
          <w:sz w:val="27"/>
          <w:szCs w:val="27"/>
          <w:lang w:eastAsia="en-GB"/>
          <w14:ligatures w14:val="none"/>
        </w:rPr>
      </w:pPr>
      <w:r w:rsidRPr="006D28F1">
        <w:rPr>
          <w:rFonts w:ascii="Segoe UI" w:eastAsia="Times New Roman" w:hAnsi="Segoe UI" w:cs="Segoe UI"/>
          <w:b/>
          <w:bCs/>
          <w:color w:val="000000"/>
          <w:kern w:val="0"/>
          <w:sz w:val="27"/>
          <w:szCs w:val="27"/>
          <w:lang w:eastAsia="en-GB"/>
          <w14:ligatures w14:val="none"/>
        </w:rPr>
        <w:t>Module 3 – Contributions to the Wider Research and Innovation Community</w:t>
      </w:r>
    </w:p>
    <w:p w14:paraId="1343E646" w14:textId="77777777" w:rsidR="006D28F1" w:rsidRPr="006D28F1" w:rsidRDefault="006D28F1" w:rsidP="006D28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D28F1">
        <w:rPr>
          <w:rFonts w:ascii="Segoe UI" w:eastAsia="Times New Roman" w:hAnsi="Segoe UI" w:cs="Segoe UI"/>
          <w:b/>
          <w:bCs/>
          <w:color w:val="000000"/>
          <w:kern w:val="0"/>
          <w:sz w:val="21"/>
          <w:szCs w:val="21"/>
          <w:lang w:eastAsia="en-GB"/>
          <w14:ligatures w14:val="none"/>
        </w:rPr>
        <w:t>Strategic leadership in influencing a research agenda:</w:t>
      </w:r>
      <w:r w:rsidRPr="006D28F1">
        <w:rPr>
          <w:rFonts w:ascii="Segoe UI" w:eastAsia="Times New Roman" w:hAnsi="Segoe UI" w:cs="Segoe UI"/>
          <w:color w:val="000000"/>
          <w:kern w:val="0"/>
          <w:sz w:val="21"/>
          <w:szCs w:val="21"/>
          <w:lang w:eastAsia="en-GB"/>
          <w14:ligatures w14:val="none"/>
        </w:rPr>
        <w:br/>
        <w:t>The project lead plays an active role in shaping the research agenda within computational topology and applied analytics. By introducing a multi-scale framework for topological data analysis, this work opens new directions for studying complex systems and sets a benchmark for integrating advanced mathematical methods into real-world applications. These contributions influence priorities in both theoretical research and practical domains such as sports analytics, robotics, and biological systems.</w:t>
      </w:r>
    </w:p>
    <w:p w14:paraId="2EE5D8AF" w14:textId="77777777" w:rsidR="006D28F1" w:rsidRPr="006D28F1" w:rsidRDefault="006D28F1" w:rsidP="006D28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D28F1">
        <w:rPr>
          <w:rFonts w:ascii="Segoe UI" w:eastAsia="Times New Roman" w:hAnsi="Segoe UI" w:cs="Segoe UI"/>
          <w:b/>
          <w:bCs/>
          <w:color w:val="000000"/>
          <w:kern w:val="0"/>
          <w:sz w:val="21"/>
          <w:szCs w:val="21"/>
          <w:lang w:eastAsia="en-GB"/>
          <w14:ligatures w14:val="none"/>
        </w:rPr>
        <w:t>Positions of responsibility:</w:t>
      </w:r>
      <w:r w:rsidRPr="006D28F1">
        <w:rPr>
          <w:rFonts w:ascii="Segoe UI" w:eastAsia="Times New Roman" w:hAnsi="Segoe UI" w:cs="Segoe UI"/>
          <w:color w:val="000000"/>
          <w:kern w:val="0"/>
          <w:sz w:val="21"/>
          <w:szCs w:val="21"/>
          <w:lang w:eastAsia="en-GB"/>
          <w14:ligatures w14:val="none"/>
        </w:rPr>
        <w:br/>
        <w:t>The project lead holds roles that support the wider academic community, including serving as a reviewer for leading journals in applied mathematics and computational topology and contributing to conference programme committees. These responsibilities ensure rigorous peer review and help maintain high-quality scholarly outputs across the field.</w:t>
      </w:r>
    </w:p>
    <w:p w14:paraId="42B66F77" w14:textId="77777777" w:rsidR="006D28F1" w:rsidRPr="006D28F1" w:rsidRDefault="006D28F1" w:rsidP="006D28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D28F1">
        <w:rPr>
          <w:rFonts w:ascii="Segoe UI" w:eastAsia="Times New Roman" w:hAnsi="Segoe UI" w:cs="Segoe UI"/>
          <w:b/>
          <w:bCs/>
          <w:color w:val="000000"/>
          <w:kern w:val="0"/>
          <w:sz w:val="21"/>
          <w:szCs w:val="21"/>
          <w:lang w:eastAsia="en-GB"/>
          <w14:ligatures w14:val="none"/>
        </w:rPr>
        <w:t>Commitments such as reviewing, editing, and committee work:</w:t>
      </w:r>
      <w:r w:rsidRPr="006D28F1">
        <w:rPr>
          <w:rFonts w:ascii="Segoe UI" w:eastAsia="Times New Roman" w:hAnsi="Segoe UI" w:cs="Segoe UI"/>
          <w:color w:val="000000"/>
          <w:kern w:val="0"/>
          <w:sz w:val="21"/>
          <w:szCs w:val="21"/>
          <w:lang w:eastAsia="en-GB"/>
          <w14:ligatures w14:val="none"/>
        </w:rPr>
        <w:br/>
        <w:t>Beyond reviewing, the project lead advises on methodological standards for emerging applications of TDA and participates in initiatives that promote best practice and collaboration within the research community.</w:t>
      </w:r>
    </w:p>
    <w:p w14:paraId="6BDF036A" w14:textId="77777777" w:rsidR="006D28F1" w:rsidRPr="006D28F1" w:rsidRDefault="006D28F1" w:rsidP="006D28F1">
      <w:pPr>
        <w:spacing w:before="100" w:beforeAutospacing="1" w:after="100" w:afterAutospacing="1" w:line="300" w:lineRule="atLeast"/>
        <w:rPr>
          <w:rFonts w:ascii="Segoe UI" w:eastAsia="Times New Roman" w:hAnsi="Segoe UI" w:cs="Segoe UI"/>
          <w:color w:val="000000"/>
          <w:kern w:val="0"/>
          <w:sz w:val="21"/>
          <w:szCs w:val="21"/>
          <w:lang w:eastAsia="en-GB"/>
          <w14:ligatures w14:val="none"/>
        </w:rPr>
      </w:pPr>
      <w:r w:rsidRPr="006D28F1">
        <w:rPr>
          <w:rFonts w:ascii="Segoe UI" w:eastAsia="Times New Roman" w:hAnsi="Segoe UI" w:cs="Segoe UI"/>
          <w:b/>
          <w:bCs/>
          <w:color w:val="000000"/>
          <w:kern w:val="0"/>
          <w:sz w:val="21"/>
          <w:szCs w:val="21"/>
          <w:lang w:eastAsia="en-GB"/>
          <w14:ligatures w14:val="none"/>
        </w:rPr>
        <w:t>Broader impact and openness:</w:t>
      </w:r>
      <w:r w:rsidRPr="006D28F1">
        <w:rPr>
          <w:rFonts w:ascii="Segoe UI" w:eastAsia="Times New Roman" w:hAnsi="Segoe UI" w:cs="Segoe UI"/>
          <w:color w:val="000000"/>
          <w:kern w:val="0"/>
          <w:sz w:val="21"/>
          <w:szCs w:val="21"/>
          <w:lang w:eastAsia="en-GB"/>
          <w14:ligatures w14:val="none"/>
        </w:rPr>
        <w:br/>
        <w:t xml:space="preserve">Strategic leadership is further demonstrated through initiatives that promote openness and collaboration. The planned release of open-source software and curated datasets will enable other researchers to adopt and extend these </w:t>
      </w:r>
      <w:proofErr w:type="gramStart"/>
      <w:r w:rsidRPr="006D28F1">
        <w:rPr>
          <w:rFonts w:ascii="Segoe UI" w:eastAsia="Times New Roman" w:hAnsi="Segoe UI" w:cs="Segoe UI"/>
          <w:color w:val="000000"/>
          <w:kern w:val="0"/>
          <w:sz w:val="21"/>
          <w:szCs w:val="21"/>
          <w:lang w:eastAsia="en-GB"/>
          <w14:ligatures w14:val="none"/>
        </w:rPr>
        <w:t>methods;</w:t>
      </w:r>
      <w:proofErr w:type="gramEnd"/>
      <w:r w:rsidRPr="006D28F1">
        <w:rPr>
          <w:rFonts w:ascii="Segoe UI" w:eastAsia="Times New Roman" w:hAnsi="Segoe UI" w:cs="Segoe UI"/>
          <w:color w:val="000000"/>
          <w:kern w:val="0"/>
          <w:sz w:val="21"/>
          <w:szCs w:val="21"/>
          <w:lang w:eastAsia="en-GB"/>
          <w14:ligatures w14:val="none"/>
        </w:rPr>
        <w:t xml:space="preserve"> fostering cross-disciplinary engagement. Public engagement activities broaden impact by making complex mathematical concepts </w:t>
      </w:r>
      <w:r w:rsidRPr="006D28F1">
        <w:rPr>
          <w:rFonts w:ascii="Segoe UI" w:eastAsia="Times New Roman" w:hAnsi="Segoe UI" w:cs="Segoe UI"/>
          <w:color w:val="000000"/>
          <w:kern w:val="0"/>
          <w:sz w:val="21"/>
          <w:szCs w:val="21"/>
          <w:lang w:eastAsia="en-GB"/>
          <w14:ligatures w14:val="none"/>
        </w:rPr>
        <w:lastRenderedPageBreak/>
        <w:t>accessible through familiar contexts; inspiring future researchers and strengthening links between academia and industry. These efforts are supported by the project lead’s involvement in Swansea University’s Biomathematics research group, which promotes interdisciplinary collaboration and public engagement in mathematical sciences.</w:t>
      </w:r>
    </w:p>
    <w:p w14:paraId="21953EE1" w14:textId="77777777" w:rsidR="006D28F1" w:rsidRDefault="006D28F1" w:rsidP="009126F2">
      <w:pPr>
        <w:rPr>
          <w:b/>
          <w:bCs/>
        </w:rPr>
      </w:pPr>
    </w:p>
    <w:p w14:paraId="32200A9B" w14:textId="77777777" w:rsidR="006D28F1" w:rsidRDefault="006D28F1" w:rsidP="009126F2">
      <w:pPr>
        <w:rPr>
          <w:b/>
          <w:bCs/>
        </w:rPr>
      </w:pPr>
    </w:p>
    <w:p w14:paraId="6FB09219" w14:textId="759A0E35" w:rsidR="009126F2" w:rsidRPr="009126F2" w:rsidRDefault="009126F2" w:rsidP="009126F2">
      <w:pPr>
        <w:rPr>
          <w:b/>
          <w:bCs/>
        </w:rPr>
      </w:pPr>
      <w:r w:rsidRPr="009126F2">
        <w:rPr>
          <w:b/>
          <w:bCs/>
        </w:rPr>
        <w:t>Module 4 – Contributions to Broader Research Users, Audiences, and Societal Benefit</w:t>
      </w:r>
    </w:p>
    <w:p w14:paraId="75B554DD" w14:textId="77777777" w:rsidR="006D28F1" w:rsidRPr="006D28F1" w:rsidRDefault="006D28F1" w:rsidP="006D28F1">
      <w:r w:rsidRPr="006D28F1">
        <w:rPr>
          <w:b/>
          <w:bCs/>
        </w:rPr>
        <w:t>Engagement with the public sector, clients, and wider audiences:</w:t>
      </w:r>
      <w:r w:rsidRPr="006D28F1">
        <w:br/>
        <w:t xml:space="preserve">The project actively engages with industry partners and wider stakeholders to ensure practical impact. Collaborations with professional sports organisations demonstrate technology transfer, while the framework’s design supports applications in public safety, emergency planning, and environmental </w:t>
      </w:r>
      <w:proofErr w:type="gramStart"/>
      <w:r w:rsidRPr="006D28F1">
        <w:t>monitoring;</w:t>
      </w:r>
      <w:proofErr w:type="gramEnd"/>
      <w:r w:rsidRPr="006D28F1">
        <w:t xml:space="preserve"> areas of direct relevance to public sector priorities. These partnerships enable knowledge exchange and ensure that research outcomes address real-world needs. These activities build on the project lead’s role within Swansea University’s Biomathematics research group, which promotes interdisciplinary collaboration and public engagement in mathematical sciences, further strengthening links between academia, industry, and society.</w:t>
      </w:r>
    </w:p>
    <w:p w14:paraId="48859034" w14:textId="77777777" w:rsidR="006D28F1" w:rsidRPr="006D28F1" w:rsidRDefault="006D28F1" w:rsidP="006D28F1">
      <w:r w:rsidRPr="006D28F1">
        <w:rPr>
          <w:b/>
          <w:bCs/>
        </w:rPr>
        <w:t>Research contributing to public understanding:</w:t>
      </w:r>
      <w:r w:rsidRPr="006D28F1">
        <w:br/>
        <w:t xml:space="preserve">Public engagement activities make advanced mathematical concepts accessible through familiar contexts such as sports analytics. By demonstrating how abstract methods solve practical problems, the project inspires future researchers and enhances public appreciation of mathematics. Educational resources and open-source tools further broaden </w:t>
      </w:r>
      <w:proofErr w:type="gramStart"/>
      <w:r w:rsidRPr="006D28F1">
        <w:t>access;</w:t>
      </w:r>
      <w:proofErr w:type="gramEnd"/>
      <w:r w:rsidRPr="006D28F1">
        <w:t xml:space="preserve"> supporting learning and community engagement.</w:t>
      </w:r>
    </w:p>
    <w:p w14:paraId="46FA06B6" w14:textId="77777777" w:rsidR="006D28F1" w:rsidRPr="006D28F1" w:rsidRDefault="006D28F1" w:rsidP="006D28F1">
      <w:r w:rsidRPr="006D28F1">
        <w:rPr>
          <w:b/>
          <w:bCs/>
        </w:rPr>
        <w:t>Research contributing to policy development:</w:t>
      </w:r>
      <w:r w:rsidRPr="006D28F1">
        <w:br/>
        <w:t>The methods developed have clear policy relevance in areas such as crowd safety and emergency evacuation planning. By providing quantitative tools for assessing congestion risks and modelling evacuation strategies, the research informs evidence-based decision-making for public safety. These contributions have the potential to influence guidelines and standards for major events, transport hubs, and crisis management.</w:t>
      </w:r>
    </w:p>
    <w:p w14:paraId="77A4797C" w14:textId="77777777" w:rsidR="002D0657" w:rsidRDefault="002D0657"/>
    <w:sectPr w:rsidR="002D0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102BB"/>
    <w:multiLevelType w:val="multilevel"/>
    <w:tmpl w:val="E3EC73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70CD4"/>
    <w:multiLevelType w:val="multilevel"/>
    <w:tmpl w:val="B150F4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C277E"/>
    <w:multiLevelType w:val="multilevel"/>
    <w:tmpl w:val="9196AB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94741"/>
    <w:multiLevelType w:val="multilevel"/>
    <w:tmpl w:val="A49696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57B9F"/>
    <w:multiLevelType w:val="multilevel"/>
    <w:tmpl w:val="8C483B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876AF"/>
    <w:multiLevelType w:val="multilevel"/>
    <w:tmpl w:val="CB4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15843">
    <w:abstractNumId w:val="4"/>
  </w:num>
  <w:num w:numId="2" w16cid:durableId="1320963237">
    <w:abstractNumId w:val="0"/>
  </w:num>
  <w:num w:numId="3" w16cid:durableId="1064644278">
    <w:abstractNumId w:val="3"/>
  </w:num>
  <w:num w:numId="4" w16cid:durableId="1114523972">
    <w:abstractNumId w:val="2"/>
  </w:num>
  <w:num w:numId="5" w16cid:durableId="872113682">
    <w:abstractNumId w:val="1"/>
  </w:num>
  <w:num w:numId="6" w16cid:durableId="7273394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33"/>
    <w:rsid w:val="00065E86"/>
    <w:rsid w:val="002663D9"/>
    <w:rsid w:val="002D0657"/>
    <w:rsid w:val="00476442"/>
    <w:rsid w:val="004B0054"/>
    <w:rsid w:val="00597FEA"/>
    <w:rsid w:val="006532A5"/>
    <w:rsid w:val="00660783"/>
    <w:rsid w:val="006D28F1"/>
    <w:rsid w:val="00803090"/>
    <w:rsid w:val="00872133"/>
    <w:rsid w:val="009126F2"/>
    <w:rsid w:val="009A7F5B"/>
    <w:rsid w:val="00C23807"/>
    <w:rsid w:val="00F81865"/>
    <w:rsid w:val="00FF2F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C80B72"/>
  <w15:chartTrackingRefBased/>
  <w15:docId w15:val="{234E70DD-5E70-1941-9E75-34A33FC6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8F1"/>
  </w:style>
  <w:style w:type="paragraph" w:styleId="Heading1">
    <w:name w:val="heading 1"/>
    <w:basedOn w:val="Normal"/>
    <w:next w:val="Normal"/>
    <w:link w:val="Heading1Char"/>
    <w:uiPriority w:val="9"/>
    <w:qFormat/>
    <w:rsid w:val="00872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2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2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133"/>
    <w:rPr>
      <w:rFonts w:eastAsiaTheme="majorEastAsia" w:cstheme="majorBidi"/>
      <w:color w:val="272727" w:themeColor="text1" w:themeTint="D8"/>
    </w:rPr>
  </w:style>
  <w:style w:type="paragraph" w:styleId="Title">
    <w:name w:val="Title"/>
    <w:basedOn w:val="Normal"/>
    <w:next w:val="Normal"/>
    <w:link w:val="TitleChar"/>
    <w:uiPriority w:val="10"/>
    <w:qFormat/>
    <w:rsid w:val="00872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133"/>
    <w:pPr>
      <w:spacing w:before="160"/>
      <w:jc w:val="center"/>
    </w:pPr>
    <w:rPr>
      <w:i/>
      <w:iCs/>
      <w:color w:val="404040" w:themeColor="text1" w:themeTint="BF"/>
    </w:rPr>
  </w:style>
  <w:style w:type="character" w:customStyle="1" w:styleId="QuoteChar">
    <w:name w:val="Quote Char"/>
    <w:basedOn w:val="DefaultParagraphFont"/>
    <w:link w:val="Quote"/>
    <w:uiPriority w:val="29"/>
    <w:rsid w:val="00872133"/>
    <w:rPr>
      <w:i/>
      <w:iCs/>
      <w:color w:val="404040" w:themeColor="text1" w:themeTint="BF"/>
    </w:rPr>
  </w:style>
  <w:style w:type="paragraph" w:styleId="ListParagraph">
    <w:name w:val="List Paragraph"/>
    <w:basedOn w:val="Normal"/>
    <w:uiPriority w:val="34"/>
    <w:qFormat/>
    <w:rsid w:val="00872133"/>
    <w:pPr>
      <w:ind w:left="720"/>
      <w:contextualSpacing/>
    </w:pPr>
  </w:style>
  <w:style w:type="character" w:styleId="IntenseEmphasis">
    <w:name w:val="Intense Emphasis"/>
    <w:basedOn w:val="DefaultParagraphFont"/>
    <w:uiPriority w:val="21"/>
    <w:qFormat/>
    <w:rsid w:val="00872133"/>
    <w:rPr>
      <w:i/>
      <w:iCs/>
      <w:color w:val="0F4761" w:themeColor="accent1" w:themeShade="BF"/>
    </w:rPr>
  </w:style>
  <w:style w:type="paragraph" w:styleId="IntenseQuote">
    <w:name w:val="Intense Quote"/>
    <w:basedOn w:val="Normal"/>
    <w:next w:val="Normal"/>
    <w:link w:val="IntenseQuoteChar"/>
    <w:uiPriority w:val="30"/>
    <w:qFormat/>
    <w:rsid w:val="00872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133"/>
    <w:rPr>
      <w:i/>
      <w:iCs/>
      <w:color w:val="0F4761" w:themeColor="accent1" w:themeShade="BF"/>
    </w:rPr>
  </w:style>
  <w:style w:type="character" w:styleId="IntenseReference">
    <w:name w:val="Intense Reference"/>
    <w:basedOn w:val="DefaultParagraphFont"/>
    <w:uiPriority w:val="32"/>
    <w:qFormat/>
    <w:rsid w:val="00872133"/>
    <w:rPr>
      <w:b/>
      <w:bCs/>
      <w:smallCaps/>
      <w:color w:val="0F4761" w:themeColor="accent1" w:themeShade="BF"/>
      <w:spacing w:val="5"/>
    </w:rPr>
  </w:style>
  <w:style w:type="paragraph" w:customStyle="1" w:styleId="Default">
    <w:name w:val="Default"/>
    <w:rsid w:val="00F81865"/>
    <w:pPr>
      <w:autoSpaceDE w:val="0"/>
      <w:autoSpaceDN w:val="0"/>
      <w:adjustRightInd w:val="0"/>
      <w:spacing w:after="0" w:line="240" w:lineRule="auto"/>
    </w:pPr>
    <w:rPr>
      <w:rFonts w:ascii="Arial" w:hAnsi="Arial" w:cs="Arial"/>
      <w:color w:val="000000"/>
      <w:kern w:val="0"/>
      <w14:ligatures w14:val="none"/>
    </w:rPr>
  </w:style>
  <w:style w:type="paragraph" w:styleId="NormalWeb">
    <w:name w:val="Normal (Web)"/>
    <w:basedOn w:val="Normal"/>
    <w:uiPriority w:val="99"/>
    <w:semiHidden/>
    <w:unhideWhenUsed/>
    <w:rsid w:val="00F8186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F2F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4139</Words>
  <Characters>28894</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2</cp:revision>
  <dcterms:created xsi:type="dcterms:W3CDTF">2025-12-06T16:59:00Z</dcterms:created>
  <dcterms:modified xsi:type="dcterms:W3CDTF">2025-12-06T16:59:00Z</dcterms:modified>
</cp:coreProperties>
</file>