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F9B5D" w14:textId="350074A0" w:rsidR="009E62D8" w:rsidRPr="009E62D8" w:rsidRDefault="009E62D8" w:rsidP="009E62D8">
      <w:pPr>
        <w:spacing w:after="120" w:line="240" w:lineRule="auto"/>
        <w:jc w:val="both"/>
        <w:outlineLvl w:val="1"/>
        <w:rPr>
          <w:rFonts w:ascii="Calibri" w:eastAsia="Times New Roman" w:hAnsi="Calibri" w:cs="Calibri"/>
          <w:b/>
          <w:bCs/>
          <w:color w:val="000000"/>
          <w:kern w:val="0"/>
          <w:sz w:val="22"/>
          <w:szCs w:val="22"/>
          <w:lang w:eastAsia="en-GB"/>
          <w14:ligatures w14:val="none"/>
        </w:rPr>
      </w:pPr>
      <w:r w:rsidRPr="009E62D8">
        <w:rPr>
          <w:rFonts w:ascii="Calibri" w:eastAsia="Times New Roman" w:hAnsi="Calibri" w:cs="Calibri"/>
          <w:b/>
          <w:bCs/>
          <w:color w:val="000000"/>
          <w:kern w:val="0"/>
          <w:sz w:val="22"/>
          <w:szCs w:val="22"/>
          <w:lang w:eastAsia="en-GB"/>
          <w14:ligatures w14:val="none"/>
        </w:rPr>
        <w:t>VISION</w:t>
      </w:r>
      <w:r w:rsidRPr="009A53FB">
        <w:rPr>
          <w:rFonts w:ascii="Calibri" w:eastAsia="Times New Roman" w:hAnsi="Calibri" w:cs="Calibri"/>
          <w:b/>
          <w:bCs/>
          <w:color w:val="000000"/>
          <w:kern w:val="0"/>
          <w:sz w:val="22"/>
          <w:szCs w:val="22"/>
          <w:lang w:eastAsia="en-GB"/>
          <w14:ligatures w14:val="none"/>
        </w:rPr>
        <w:t xml:space="preserve"> – </w:t>
      </w:r>
      <w:r w:rsidRPr="009E62D8">
        <w:rPr>
          <w:rFonts w:ascii="Calibri" w:eastAsia="Times New Roman" w:hAnsi="Calibri" w:cs="Calibri"/>
          <w:color w:val="000000"/>
          <w:kern w:val="0"/>
          <w:sz w:val="22"/>
          <w:szCs w:val="22"/>
          <w:lang w:eastAsia="en-GB"/>
          <w14:ligatures w14:val="none"/>
        </w:rPr>
        <w:t>From autonomous drone swarms navigating disaster zones to crowds flowing through transport hubs, coordinating groups under competition is fundamental to critical societal challenges. Current mathematical methods examine these systems at single spatial scales and assume cooperation between agents. Real systems, however, operate hierarchically</w:t>
      </w:r>
      <w:r w:rsidRPr="009A53FB">
        <w:rPr>
          <w:rFonts w:ascii="Calibri" w:eastAsia="Times New Roman" w:hAnsi="Calibri" w:cs="Calibri"/>
          <w:color w:val="000000"/>
          <w:kern w:val="0"/>
          <w:sz w:val="22"/>
          <w:szCs w:val="22"/>
          <w:lang w:eastAsia="en-GB"/>
          <w14:ligatures w14:val="none"/>
        </w:rPr>
        <w:t xml:space="preserve">, </w:t>
      </w:r>
      <w:r w:rsidRPr="009E62D8">
        <w:rPr>
          <w:rFonts w:ascii="Calibri" w:eastAsia="Times New Roman" w:hAnsi="Calibri" w:cs="Calibri"/>
          <w:color w:val="000000"/>
          <w:kern w:val="0"/>
          <w:sz w:val="22"/>
          <w:szCs w:val="22"/>
          <w:lang w:eastAsia="en-GB"/>
          <w14:ligatures w14:val="none"/>
        </w:rPr>
        <w:t>individual decisions trigger tactical responses that shape system-wide patterns</w:t>
      </w:r>
      <w:r w:rsidRPr="009A53FB">
        <w:rPr>
          <w:rFonts w:ascii="Calibri" w:eastAsia="Times New Roman" w:hAnsi="Calibri" w:cs="Calibri"/>
          <w:color w:val="000000"/>
          <w:kern w:val="0"/>
          <w:sz w:val="22"/>
          <w:szCs w:val="22"/>
          <w:lang w:eastAsia="en-GB"/>
          <w14:ligatures w14:val="none"/>
        </w:rPr>
        <w:t xml:space="preserve">, </w:t>
      </w:r>
      <w:r w:rsidRPr="009E62D8">
        <w:rPr>
          <w:rFonts w:ascii="Calibri" w:eastAsia="Times New Roman" w:hAnsi="Calibri" w:cs="Calibri"/>
          <w:color w:val="000000"/>
          <w:kern w:val="0"/>
          <w:sz w:val="22"/>
          <w:szCs w:val="22"/>
          <w:lang w:eastAsia="en-GB"/>
          <w14:ligatures w14:val="none"/>
        </w:rPr>
        <w:t>and involve competitive coupling where groups actively oppose one another. This research develops new mathematical frameworks for multi-scale analysis of competitive collective systems, using professional football as a rigorous testbed where high-quality data enables validation before application to higher-stakes domains.</w:t>
      </w:r>
    </w:p>
    <w:p w14:paraId="4B97F509" w14:textId="2BD1F7B8" w:rsidR="009E62D8" w:rsidRPr="009E62D8" w:rsidRDefault="009E62D8" w:rsidP="009E62D8">
      <w:pPr>
        <w:spacing w:after="120" w:line="240" w:lineRule="auto"/>
        <w:jc w:val="both"/>
        <w:rPr>
          <w:rFonts w:ascii="Calibri" w:eastAsia="Times New Roman" w:hAnsi="Calibri" w:cs="Calibri"/>
          <w:color w:val="000000"/>
          <w:kern w:val="0"/>
          <w:sz w:val="22"/>
          <w:szCs w:val="22"/>
          <w:lang w:eastAsia="en-GB"/>
          <w14:ligatures w14:val="none"/>
        </w:rPr>
      </w:pPr>
      <w:r w:rsidRPr="009E62D8">
        <w:rPr>
          <w:rFonts w:ascii="Calibri" w:eastAsia="Times New Roman" w:hAnsi="Calibri" w:cs="Calibri"/>
          <w:b/>
          <w:bCs/>
          <w:color w:val="000000"/>
          <w:kern w:val="0"/>
          <w:sz w:val="22"/>
          <w:szCs w:val="22"/>
          <w:lang w:eastAsia="en-GB"/>
          <w14:ligatures w14:val="none"/>
        </w:rPr>
        <w:t>Excellence and Importance</w:t>
      </w:r>
      <w:r w:rsidRPr="009E62D8">
        <w:rPr>
          <w:rFonts w:ascii="Calibri" w:eastAsia="Times New Roman" w:hAnsi="Calibri" w:cs="Calibri"/>
          <w:color w:val="000000"/>
          <w:kern w:val="0"/>
          <w:sz w:val="22"/>
          <w:szCs w:val="22"/>
          <w:lang w:eastAsia="en-GB"/>
          <w14:ligatures w14:val="none"/>
        </w:rPr>
        <w:t>: Topological Data Analysis has revolutionised complex data understanding, but existing applications examine single scales, non-competitive scenarios, or static data. Our work demonstrates that competitive, hierarchical, time-evolving systems exhibit rich multi-scale structure current methods cannot capture. We established three validated analysis scales</w:t>
      </w:r>
      <w:r w:rsidRPr="009A53FB">
        <w:rPr>
          <w:rFonts w:ascii="Calibri" w:eastAsia="Times New Roman" w:hAnsi="Calibri" w:cs="Calibri"/>
          <w:color w:val="000000"/>
          <w:kern w:val="0"/>
          <w:sz w:val="22"/>
          <w:szCs w:val="22"/>
          <w:lang w:eastAsia="en-GB"/>
          <w14:ligatures w14:val="none"/>
        </w:rPr>
        <w:t xml:space="preserve">, </w:t>
      </w:r>
      <w:r w:rsidRPr="009E62D8">
        <w:rPr>
          <w:rFonts w:ascii="Calibri" w:eastAsia="Times New Roman" w:hAnsi="Calibri" w:cs="Calibri"/>
          <w:color w:val="000000"/>
          <w:kern w:val="0"/>
          <w:sz w:val="22"/>
          <w:szCs w:val="22"/>
          <w:lang w:eastAsia="en-GB"/>
          <w14:ligatures w14:val="none"/>
        </w:rPr>
        <w:t>individual (3m), tactical (12m), team (30m)</w:t>
      </w:r>
      <w:r w:rsidRPr="009A53FB">
        <w:rPr>
          <w:rFonts w:ascii="Calibri" w:eastAsia="Times New Roman" w:hAnsi="Calibri" w:cs="Calibri"/>
          <w:color w:val="000000"/>
          <w:kern w:val="0"/>
          <w:sz w:val="22"/>
          <w:szCs w:val="22"/>
          <w:lang w:eastAsia="en-GB"/>
          <w14:ligatures w14:val="none"/>
        </w:rPr>
        <w:t xml:space="preserve">, </w:t>
      </w:r>
      <w:r w:rsidRPr="009E62D8">
        <w:rPr>
          <w:rFonts w:ascii="Calibri" w:eastAsia="Times New Roman" w:hAnsi="Calibri" w:cs="Calibri"/>
          <w:color w:val="000000"/>
          <w:kern w:val="0"/>
          <w:sz w:val="22"/>
          <w:szCs w:val="22"/>
          <w:lang w:eastAsia="en-GB"/>
          <w14:ligatures w14:val="none"/>
        </w:rPr>
        <w:t>each revealing complementary system organisation information. We developed adaptive methods enabling robust pattern detection across all scales, a technical advance over fixed-parameter approaches. This represents the first multi-scale persistent homology application to competitive, coupled, high-frequency dynamical systems, opening new theoretical directions in computational topology while creating methods applicable to autonomous systems, crowd safety, traffic management, and biological conservation.</w:t>
      </w:r>
    </w:p>
    <w:p w14:paraId="07B612B7" w14:textId="77777777" w:rsidR="009E62D8" w:rsidRPr="009A53FB" w:rsidRDefault="009E62D8" w:rsidP="009E62D8">
      <w:pPr>
        <w:spacing w:after="120" w:line="240" w:lineRule="auto"/>
        <w:jc w:val="both"/>
        <w:rPr>
          <w:rFonts w:ascii="Calibri" w:eastAsia="Times New Roman" w:hAnsi="Calibri" w:cs="Calibri"/>
          <w:color w:val="000000"/>
          <w:kern w:val="0"/>
          <w:sz w:val="22"/>
          <w:szCs w:val="22"/>
          <w:lang w:eastAsia="en-GB"/>
          <w14:ligatures w14:val="none"/>
        </w:rPr>
      </w:pPr>
      <w:r w:rsidRPr="009E62D8">
        <w:rPr>
          <w:rFonts w:ascii="Calibri" w:eastAsia="Times New Roman" w:hAnsi="Calibri" w:cs="Calibri"/>
          <w:b/>
          <w:bCs/>
          <w:color w:val="000000"/>
          <w:kern w:val="0"/>
          <w:sz w:val="22"/>
          <w:szCs w:val="22"/>
          <w:lang w:eastAsia="en-GB"/>
          <w14:ligatures w14:val="none"/>
        </w:rPr>
        <w:t>Research Objectives</w:t>
      </w:r>
      <w:r w:rsidRPr="009E62D8">
        <w:rPr>
          <w:rFonts w:ascii="Calibri" w:eastAsia="Times New Roman" w:hAnsi="Calibri" w:cs="Calibri"/>
          <w:color w:val="000000"/>
          <w:kern w:val="0"/>
          <w:sz w:val="22"/>
          <w:szCs w:val="22"/>
          <w:lang w:eastAsia="en-GB"/>
          <w14:ligatures w14:val="none"/>
        </w:rPr>
        <w:t>: This 12-month project achieves four integrated objectives: (1) Validate framework generalisability across 10-15 championship matches, establishing statistical robustness; (2) Characterise pattern formation from initial configurations, quantifying formation times; (3) Develop methods for tracking pattern evolution, classifying stability regimes and transitions; (4) Establish relationships between discrete events and structural changes, testing whether patterns predict system transitions. Together, these transform preliminary single-match results into robust multi-match validation, generating the evidence base essential for confident application to broader domains and a larger research programme.</w:t>
      </w:r>
    </w:p>
    <w:p w14:paraId="1E6EA996" w14:textId="328DDF23" w:rsidR="009E62D8" w:rsidRPr="009A53FB" w:rsidRDefault="009E62D8" w:rsidP="009E62D8">
      <w:pPr>
        <w:spacing w:after="120" w:line="240" w:lineRule="auto"/>
        <w:jc w:val="both"/>
        <w:rPr>
          <w:rFonts w:ascii="Calibri" w:eastAsia="Times New Roman" w:hAnsi="Calibri" w:cs="Calibri"/>
          <w:color w:val="000000"/>
          <w:kern w:val="0"/>
          <w:sz w:val="22"/>
          <w:szCs w:val="22"/>
          <w:lang w:eastAsia="en-GB"/>
          <w14:ligatures w14:val="none"/>
        </w:rPr>
      </w:pPr>
      <w:r w:rsidRPr="009E62D8">
        <w:rPr>
          <w:rFonts w:ascii="Calibri" w:eastAsia="Times New Roman" w:hAnsi="Calibri" w:cs="Calibri"/>
          <w:b/>
          <w:bCs/>
          <w:color w:val="000000"/>
          <w:kern w:val="0"/>
          <w:sz w:val="22"/>
          <w:szCs w:val="22"/>
          <w:lang w:eastAsia="en-GB"/>
          <w14:ligatures w14:val="none"/>
        </w:rPr>
        <w:t>Advancing Understanding and Impact</w:t>
      </w:r>
      <w:r w:rsidRPr="009E62D8">
        <w:rPr>
          <w:rFonts w:ascii="Calibri" w:eastAsia="Times New Roman" w:hAnsi="Calibri" w:cs="Calibri"/>
          <w:color w:val="000000"/>
          <w:kern w:val="0"/>
          <w:sz w:val="22"/>
          <w:szCs w:val="22"/>
          <w:lang w:eastAsia="en-GB"/>
          <w14:ligatures w14:val="none"/>
        </w:rPr>
        <w:t>: Our single-match validation detected 523 distinct patterns with &gt;95% statistical reliability, demonstrating topological features correlate strongly with attacking effectiveness (r=0.68, p&lt;0.001). This suggests mathematical features could quantitatively predict system performance. The research develops theoretical frameworks for persistence diagram dynamics in competitive systems, establishes scale separation conditions in hierarchical point clouds, and creates computational methods for temporal persistence landscape analysis. Publications target top-tier applied mathematics journals (SIAM Journal on Applied Mathematics, Journal of Applied and Computational Topology), establishing new research directions.</w:t>
      </w:r>
    </w:p>
    <w:p w14:paraId="0835F241" w14:textId="06E1C5D1" w:rsidR="009E62D8" w:rsidRPr="009E62D8" w:rsidRDefault="009E62D8" w:rsidP="009E62D8">
      <w:pPr>
        <w:spacing w:after="120" w:line="240" w:lineRule="auto"/>
        <w:jc w:val="both"/>
        <w:rPr>
          <w:rFonts w:ascii="Calibri" w:eastAsia="Times New Roman" w:hAnsi="Calibri" w:cs="Calibri"/>
          <w:color w:val="000000"/>
          <w:kern w:val="0"/>
          <w:sz w:val="22"/>
          <w:szCs w:val="22"/>
          <w:lang w:eastAsia="en-GB"/>
          <w14:ligatures w14:val="none"/>
        </w:rPr>
      </w:pPr>
      <w:r w:rsidRPr="009E62D8">
        <w:rPr>
          <w:rFonts w:ascii="Calibri" w:eastAsia="Times New Roman" w:hAnsi="Calibri" w:cs="Calibri"/>
          <w:color w:val="000000"/>
          <w:kern w:val="0"/>
          <w:sz w:val="22"/>
          <w:szCs w:val="22"/>
          <w:lang w:eastAsia="en-GB"/>
          <w14:ligatures w14:val="none"/>
        </w:rPr>
        <w:t>For autonomous systems, coordinating drone swarms in search-and-rescue could reduce emergency response times by 30-40%, directly saving lives. In public safety, predicting dangerous crowd congestion could prevent tragedies like the 2022 Seoul Halloween crowd crush (159 deaths). Sports analytics applications provide proof-of-principle for commercial deployment in a £3.8 billion global market by 2025. Traffic management optimisation could reduce congestion by 20-25%, delivering substantial economic benefits. Ecological applications support conservation through predator-prey dynamics monitoring.</w:t>
      </w:r>
    </w:p>
    <w:p w14:paraId="189B626F" w14:textId="77777777" w:rsidR="009E62D8" w:rsidRPr="009E62D8" w:rsidRDefault="009E62D8" w:rsidP="009E62D8">
      <w:pPr>
        <w:spacing w:after="120" w:line="240" w:lineRule="auto"/>
        <w:jc w:val="both"/>
        <w:rPr>
          <w:rFonts w:ascii="Calibri" w:eastAsia="Times New Roman" w:hAnsi="Calibri" w:cs="Calibri"/>
          <w:color w:val="000000"/>
          <w:kern w:val="0"/>
          <w:sz w:val="22"/>
          <w:szCs w:val="22"/>
          <w:lang w:eastAsia="en-GB"/>
          <w14:ligatures w14:val="none"/>
        </w:rPr>
      </w:pPr>
      <w:r w:rsidRPr="009E62D8">
        <w:rPr>
          <w:rFonts w:ascii="Calibri" w:eastAsia="Times New Roman" w:hAnsi="Calibri" w:cs="Calibri"/>
          <w:b/>
          <w:bCs/>
          <w:color w:val="000000"/>
          <w:kern w:val="0"/>
          <w:sz w:val="22"/>
          <w:szCs w:val="22"/>
          <w:lang w:eastAsia="en-GB"/>
          <w14:ligatures w14:val="none"/>
        </w:rPr>
        <w:t>Timeliness</w:t>
      </w:r>
      <w:r w:rsidRPr="009E62D8">
        <w:rPr>
          <w:rFonts w:ascii="Calibri" w:eastAsia="Times New Roman" w:hAnsi="Calibri" w:cs="Calibri"/>
          <w:color w:val="000000"/>
          <w:kern w:val="0"/>
          <w:sz w:val="22"/>
          <w:szCs w:val="22"/>
          <w:lang w:eastAsia="en-GB"/>
          <w14:ligatures w14:val="none"/>
        </w:rPr>
        <w:t>: Computational advances in TDA libraries (</w:t>
      </w:r>
      <w:proofErr w:type="spellStart"/>
      <w:r w:rsidRPr="009E62D8">
        <w:rPr>
          <w:rFonts w:ascii="Calibri" w:eastAsia="Times New Roman" w:hAnsi="Calibri" w:cs="Calibri"/>
          <w:color w:val="000000"/>
          <w:kern w:val="0"/>
          <w:sz w:val="22"/>
          <w:szCs w:val="22"/>
          <w:lang w:eastAsia="en-GB"/>
          <w14:ligatures w14:val="none"/>
        </w:rPr>
        <w:t>ripser</w:t>
      </w:r>
      <w:proofErr w:type="spellEnd"/>
      <w:r w:rsidRPr="009E62D8">
        <w:rPr>
          <w:rFonts w:ascii="Calibri" w:eastAsia="Times New Roman" w:hAnsi="Calibri" w:cs="Calibri"/>
          <w:color w:val="000000"/>
          <w:kern w:val="0"/>
          <w:sz w:val="22"/>
          <w:szCs w:val="22"/>
          <w:lang w:eastAsia="en-GB"/>
          <w14:ligatures w14:val="none"/>
        </w:rPr>
        <w:t>, GUDHI) enable real-time computation on large point clouds, making multi-scale analysis feasible. Theoretical momentum builds around persistent homology for dynamical systems. High-quality spatial tracking data from professional football provides ideal testbed offering high-frequency measurements (10-25Hz) on well-structured competitive systems. Industry demand is demonstrated through established partnerships with Genius Sports and championship clubs, while broader applications address urgent societal challenges.</w:t>
      </w:r>
    </w:p>
    <w:p w14:paraId="1C1C065B" w14:textId="77777777" w:rsidR="009E62D8" w:rsidRPr="009E62D8" w:rsidRDefault="009E62D8" w:rsidP="009E62D8">
      <w:pPr>
        <w:spacing w:after="120" w:line="240" w:lineRule="auto"/>
        <w:jc w:val="both"/>
        <w:rPr>
          <w:rFonts w:ascii="Calibri" w:eastAsia="Times New Roman" w:hAnsi="Calibri" w:cs="Calibri"/>
          <w:color w:val="000000"/>
          <w:kern w:val="0"/>
          <w:sz w:val="22"/>
          <w:szCs w:val="22"/>
          <w:lang w:eastAsia="en-GB"/>
          <w14:ligatures w14:val="none"/>
        </w:rPr>
      </w:pPr>
      <w:r w:rsidRPr="009E62D8">
        <w:rPr>
          <w:rFonts w:ascii="Calibri" w:eastAsia="Times New Roman" w:hAnsi="Calibri" w:cs="Calibri"/>
          <w:b/>
          <w:bCs/>
          <w:color w:val="000000"/>
          <w:kern w:val="0"/>
          <w:sz w:val="22"/>
          <w:szCs w:val="22"/>
          <w:lang w:eastAsia="en-GB"/>
          <w14:ligatures w14:val="none"/>
        </w:rPr>
        <w:t>Benefits and Beneficiaries</w:t>
      </w:r>
      <w:r w:rsidRPr="009E62D8">
        <w:rPr>
          <w:rFonts w:ascii="Calibri" w:eastAsia="Times New Roman" w:hAnsi="Calibri" w:cs="Calibri"/>
          <w:color w:val="000000"/>
          <w:kern w:val="0"/>
          <w:sz w:val="22"/>
          <w:szCs w:val="22"/>
          <w:lang w:eastAsia="en-GB"/>
          <w14:ligatures w14:val="none"/>
        </w:rPr>
        <w:t xml:space="preserve">: Direct beneficiaries (0-2 years) include mathematical sciences community gaining new frameworks through peer-reviewed publications and open-source software, sports </w:t>
      </w:r>
      <w:r w:rsidRPr="009E62D8">
        <w:rPr>
          <w:rFonts w:ascii="Calibri" w:eastAsia="Times New Roman" w:hAnsi="Calibri" w:cs="Calibri"/>
          <w:color w:val="000000"/>
          <w:kern w:val="0"/>
          <w:sz w:val="22"/>
          <w:szCs w:val="22"/>
          <w:lang w:eastAsia="en-GB"/>
          <w14:ligatures w14:val="none"/>
        </w:rPr>
        <w:lastRenderedPageBreak/>
        <w:t xml:space="preserve">science researchers accessing validated tools, and industry partners (championship clubs, Genius Sports, Borussia Dortmund) receiving analytical methods. Indirect beneficiaries (2-5 years) include emergency services gaining crowd management systems, transportation </w:t>
      </w:r>
      <w:proofErr w:type="spellStart"/>
      <w:r w:rsidRPr="009E62D8">
        <w:rPr>
          <w:rFonts w:ascii="Calibri" w:eastAsia="Times New Roman" w:hAnsi="Calibri" w:cs="Calibri"/>
          <w:color w:val="000000"/>
          <w:kern w:val="0"/>
          <w:sz w:val="22"/>
          <w:szCs w:val="22"/>
          <w:lang w:eastAsia="en-GB"/>
          <w14:ligatures w14:val="none"/>
        </w:rPr>
        <w:t>authorities</w:t>
      </w:r>
      <w:proofErr w:type="spellEnd"/>
      <w:r w:rsidRPr="009E62D8">
        <w:rPr>
          <w:rFonts w:ascii="Calibri" w:eastAsia="Times New Roman" w:hAnsi="Calibri" w:cs="Calibri"/>
          <w:color w:val="000000"/>
          <w:kern w:val="0"/>
          <w:sz w:val="22"/>
          <w:szCs w:val="22"/>
          <w:lang w:eastAsia="en-GB"/>
          <w14:ligatures w14:val="none"/>
        </w:rPr>
        <w:t xml:space="preserve"> accessing traffic optimization platforms, conservation organisations obtaining ecosystem monitoring tools, and autonomous systems developers acquiring coordination algorithms. Long-term beneficiaries (5+ years) include policymakers gaining evidence-based decision tools and society broadly benefiting from improved safety, reduced congestion, and enhanced emergency response.</w:t>
      </w:r>
    </w:p>
    <w:p w14:paraId="1B8BAEEC" w14:textId="75E1CC0F" w:rsidR="009E62D8" w:rsidRPr="009E62D8" w:rsidRDefault="009E62D8" w:rsidP="009E62D8">
      <w:pPr>
        <w:spacing w:after="120" w:line="240" w:lineRule="auto"/>
        <w:jc w:val="both"/>
        <w:rPr>
          <w:rFonts w:ascii="Calibri" w:eastAsia="Times New Roman" w:hAnsi="Calibri" w:cs="Calibri"/>
          <w:color w:val="000000"/>
          <w:kern w:val="0"/>
          <w:sz w:val="22"/>
          <w:szCs w:val="22"/>
          <w:lang w:eastAsia="en-GB"/>
          <w14:ligatures w14:val="none"/>
        </w:rPr>
      </w:pPr>
      <w:r w:rsidRPr="009E62D8">
        <w:rPr>
          <w:rFonts w:ascii="Calibri" w:eastAsia="Times New Roman" w:hAnsi="Calibri" w:cs="Calibri"/>
          <w:b/>
          <w:bCs/>
          <w:color w:val="000000"/>
          <w:kern w:val="0"/>
          <w:sz w:val="22"/>
          <w:szCs w:val="22"/>
          <w:lang w:eastAsia="en-GB"/>
          <w14:ligatures w14:val="none"/>
        </w:rPr>
        <w:t>Pathway to Larger Research Programme</w:t>
      </w:r>
      <w:r w:rsidRPr="009E62D8">
        <w:rPr>
          <w:rFonts w:ascii="Calibri" w:eastAsia="Times New Roman" w:hAnsi="Calibri" w:cs="Calibri"/>
          <w:color w:val="000000"/>
          <w:kern w:val="0"/>
          <w:sz w:val="22"/>
          <w:szCs w:val="22"/>
          <w:lang w:eastAsia="en-GB"/>
          <w14:ligatures w14:val="none"/>
        </w:rPr>
        <w:t xml:space="preserve">: This 12-month Small Grant serves as critical stepping stone to a 36-month Standard Grant by generating robust multi-match validation, producing peer-reviewed publications demonstrating methodological validity, proving feasibility with diverse data, and validating industry partnerships. The focused scope provides contained but complete research arc, enabling larger programme expansion of theoretical frameworks (stability conditions, bifurcation analysis, predictive </w:t>
      </w:r>
      <w:r w:rsidRPr="009A53FB">
        <w:rPr>
          <w:rFonts w:ascii="Calibri" w:eastAsia="Times New Roman" w:hAnsi="Calibri" w:cs="Calibri"/>
          <w:color w:val="000000"/>
          <w:kern w:val="0"/>
          <w:sz w:val="22"/>
          <w:szCs w:val="22"/>
          <w:lang w:eastAsia="en-GB"/>
          <w14:ligatures w14:val="none"/>
        </w:rPr>
        <w:t>modelling</w:t>
      </w:r>
      <w:r w:rsidRPr="009E62D8">
        <w:rPr>
          <w:rFonts w:ascii="Calibri" w:eastAsia="Times New Roman" w:hAnsi="Calibri" w:cs="Calibri"/>
          <w:color w:val="000000"/>
          <w:kern w:val="0"/>
          <w:sz w:val="22"/>
          <w:szCs w:val="22"/>
          <w:lang w:eastAsia="en-GB"/>
          <w14:ligatures w14:val="none"/>
        </w:rPr>
        <w:t>), broader applications (autonomous systems, crowd dynamics, biological collectives), and real-time computational tools development. Preliminary results will directly support Standard Grant submission within 18 months of project completion.</w:t>
      </w:r>
    </w:p>
    <w:p w14:paraId="74228EDF" w14:textId="3716C785" w:rsidR="009E62D8" w:rsidRPr="009E62D8" w:rsidRDefault="009E62D8" w:rsidP="009E62D8">
      <w:pPr>
        <w:spacing w:after="120" w:line="240" w:lineRule="auto"/>
        <w:jc w:val="both"/>
        <w:outlineLvl w:val="1"/>
        <w:rPr>
          <w:rFonts w:ascii="Calibri" w:eastAsia="Times New Roman" w:hAnsi="Calibri" w:cs="Calibri"/>
          <w:b/>
          <w:bCs/>
          <w:color w:val="000000"/>
          <w:kern w:val="0"/>
          <w:sz w:val="22"/>
          <w:szCs w:val="22"/>
          <w:lang w:eastAsia="en-GB"/>
          <w14:ligatures w14:val="none"/>
        </w:rPr>
      </w:pPr>
      <w:r w:rsidRPr="009E62D8">
        <w:rPr>
          <w:rFonts w:ascii="Calibri" w:eastAsia="Times New Roman" w:hAnsi="Calibri" w:cs="Calibri"/>
          <w:b/>
          <w:bCs/>
          <w:color w:val="000000"/>
          <w:kern w:val="0"/>
          <w:sz w:val="22"/>
          <w:szCs w:val="22"/>
          <w:lang w:eastAsia="en-GB"/>
          <w14:ligatures w14:val="none"/>
        </w:rPr>
        <w:t>APPROACH</w:t>
      </w:r>
      <w:r w:rsidRPr="009A53FB">
        <w:rPr>
          <w:rFonts w:ascii="Calibri" w:eastAsia="Times New Roman" w:hAnsi="Calibri" w:cs="Calibri"/>
          <w:b/>
          <w:bCs/>
          <w:color w:val="000000"/>
          <w:kern w:val="0"/>
          <w:sz w:val="22"/>
          <w:szCs w:val="22"/>
          <w:lang w:eastAsia="en-GB"/>
          <w14:ligatures w14:val="none"/>
        </w:rPr>
        <w:t xml:space="preserve"> – </w:t>
      </w:r>
      <w:r w:rsidRPr="009E62D8">
        <w:rPr>
          <w:rFonts w:ascii="Calibri" w:eastAsia="Times New Roman" w:hAnsi="Calibri" w:cs="Calibri"/>
          <w:b/>
          <w:bCs/>
          <w:color w:val="000000"/>
          <w:kern w:val="0"/>
          <w:sz w:val="22"/>
          <w:szCs w:val="22"/>
          <w:lang w:eastAsia="en-GB"/>
          <w14:ligatures w14:val="none"/>
        </w:rPr>
        <w:t>Objectives and Delivery</w:t>
      </w:r>
      <w:r w:rsidRPr="009E62D8">
        <w:rPr>
          <w:rFonts w:ascii="Calibri" w:eastAsia="Times New Roman" w:hAnsi="Calibri" w:cs="Calibri"/>
          <w:color w:val="000000"/>
          <w:kern w:val="0"/>
          <w:sz w:val="22"/>
          <w:szCs w:val="22"/>
          <w:lang w:eastAsia="en-GB"/>
          <w14:ligatures w14:val="none"/>
        </w:rPr>
        <w:t>: Four integrated objectives with clear success criteria and phased delivery optimising 6-month Research Associate appointment</w:t>
      </w:r>
      <w:r w:rsidRPr="009A53FB">
        <w:rPr>
          <w:rFonts w:ascii="Calibri" w:eastAsia="Times New Roman" w:hAnsi="Calibri" w:cs="Calibri"/>
          <w:color w:val="000000"/>
          <w:kern w:val="0"/>
          <w:sz w:val="22"/>
          <w:szCs w:val="22"/>
          <w:lang w:eastAsia="en-GB"/>
          <w14:ligatures w14:val="none"/>
        </w:rPr>
        <w:t xml:space="preserve">. </w:t>
      </w:r>
      <w:r w:rsidRPr="009E62D8">
        <w:rPr>
          <w:rFonts w:ascii="Calibri" w:eastAsia="Times New Roman" w:hAnsi="Calibri" w:cs="Calibri"/>
          <w:b/>
          <w:bCs/>
          <w:color w:val="000000"/>
          <w:kern w:val="0"/>
          <w:sz w:val="22"/>
          <w:szCs w:val="22"/>
          <w:lang w:eastAsia="en-GB"/>
          <w14:ligatures w14:val="none"/>
        </w:rPr>
        <w:t>Objective 1 (Months 1-6, RA focus)</w:t>
      </w:r>
      <w:r w:rsidRPr="009E62D8">
        <w:rPr>
          <w:rFonts w:ascii="Calibri" w:eastAsia="Times New Roman" w:hAnsi="Calibri" w:cs="Calibri"/>
          <w:color w:val="000000"/>
          <w:kern w:val="0"/>
          <w:sz w:val="22"/>
          <w:szCs w:val="22"/>
          <w:lang w:eastAsia="en-GB"/>
          <w14:ligatures w14:val="none"/>
        </w:rPr>
        <w:t>: Validate generalisability across 10-15 championship matches. </w:t>
      </w:r>
      <w:r w:rsidRPr="009E62D8">
        <w:rPr>
          <w:rFonts w:ascii="Calibri" w:eastAsia="Times New Roman" w:hAnsi="Calibri" w:cs="Calibri"/>
          <w:i/>
          <w:iCs/>
          <w:color w:val="000000"/>
          <w:kern w:val="0"/>
          <w:sz w:val="22"/>
          <w:szCs w:val="22"/>
          <w:lang w:eastAsia="en-GB"/>
          <w14:ligatures w14:val="none"/>
        </w:rPr>
        <w:t>Success criteria</w:t>
      </w:r>
      <w:r w:rsidRPr="009E62D8">
        <w:rPr>
          <w:rFonts w:ascii="Calibri" w:eastAsia="Times New Roman" w:hAnsi="Calibri" w:cs="Calibri"/>
          <w:color w:val="000000"/>
          <w:kern w:val="0"/>
          <w:sz w:val="22"/>
          <w:szCs w:val="22"/>
          <w:lang w:eastAsia="en-GB"/>
          <w14:ligatures w14:val="none"/>
        </w:rPr>
        <w:t>: Validation rates &gt;90%; effect sizes r&gt;0.5; statistically significant patterns (p&lt;0.05 FDR correction). </w:t>
      </w:r>
      <w:r w:rsidRPr="009E62D8">
        <w:rPr>
          <w:rFonts w:ascii="Calibri" w:eastAsia="Times New Roman" w:hAnsi="Calibri" w:cs="Calibri"/>
          <w:i/>
          <w:iCs/>
          <w:color w:val="000000"/>
          <w:kern w:val="0"/>
          <w:sz w:val="22"/>
          <w:szCs w:val="22"/>
          <w:lang w:eastAsia="en-GB"/>
          <w14:ligatures w14:val="none"/>
        </w:rPr>
        <w:t>Delivery</w:t>
      </w:r>
      <w:r w:rsidRPr="009E62D8">
        <w:rPr>
          <w:rFonts w:ascii="Calibri" w:eastAsia="Times New Roman" w:hAnsi="Calibri" w:cs="Calibri"/>
          <w:color w:val="000000"/>
          <w:kern w:val="0"/>
          <w:sz w:val="22"/>
          <w:szCs w:val="22"/>
          <w:lang w:eastAsia="en-GB"/>
          <w14:ligatures w14:val="none"/>
        </w:rPr>
        <w:t>: RA implements pipeline (Months 1-2), executes analysis (Months 3-5), generates results (Month 6).</w:t>
      </w:r>
      <w:r w:rsidRPr="009A53FB">
        <w:rPr>
          <w:rFonts w:ascii="Calibri" w:eastAsia="Times New Roman" w:hAnsi="Calibri" w:cs="Calibri"/>
          <w:color w:val="000000"/>
          <w:kern w:val="0"/>
          <w:sz w:val="22"/>
          <w:szCs w:val="22"/>
          <w:lang w:eastAsia="en-GB"/>
          <w14:ligatures w14:val="none"/>
        </w:rPr>
        <w:t xml:space="preserve"> </w:t>
      </w:r>
      <w:r w:rsidRPr="009E62D8">
        <w:rPr>
          <w:rFonts w:ascii="Calibri" w:eastAsia="Times New Roman" w:hAnsi="Calibri" w:cs="Calibri"/>
          <w:b/>
          <w:bCs/>
          <w:color w:val="000000"/>
          <w:kern w:val="0"/>
          <w:sz w:val="22"/>
          <w:szCs w:val="22"/>
          <w:lang w:eastAsia="en-GB"/>
          <w14:ligatures w14:val="none"/>
        </w:rPr>
        <w:t>Objective 2 (Months 3-8, RA-initiated, PI-completed)</w:t>
      </w:r>
      <w:r w:rsidRPr="009E62D8">
        <w:rPr>
          <w:rFonts w:ascii="Calibri" w:eastAsia="Times New Roman" w:hAnsi="Calibri" w:cs="Calibri"/>
          <w:color w:val="000000"/>
          <w:kern w:val="0"/>
          <w:sz w:val="22"/>
          <w:szCs w:val="22"/>
          <w:lang w:eastAsia="en-GB"/>
          <w14:ligatures w14:val="none"/>
        </w:rPr>
        <w:t>: Characterise pattern formation. </w:t>
      </w:r>
      <w:r w:rsidRPr="009E62D8">
        <w:rPr>
          <w:rFonts w:ascii="Calibri" w:eastAsia="Times New Roman" w:hAnsi="Calibri" w:cs="Calibri"/>
          <w:i/>
          <w:iCs/>
          <w:color w:val="000000"/>
          <w:kern w:val="0"/>
          <w:sz w:val="22"/>
          <w:szCs w:val="22"/>
          <w:lang w:eastAsia="en-GB"/>
          <w14:ligatures w14:val="none"/>
        </w:rPr>
        <w:t>Success criteria</w:t>
      </w:r>
      <w:r w:rsidRPr="009E62D8">
        <w:rPr>
          <w:rFonts w:ascii="Calibri" w:eastAsia="Times New Roman" w:hAnsi="Calibri" w:cs="Calibri"/>
          <w:color w:val="000000"/>
          <w:kern w:val="0"/>
          <w:sz w:val="22"/>
          <w:szCs w:val="22"/>
          <w:lang w:eastAsia="en-GB"/>
          <w14:ligatures w14:val="none"/>
        </w:rPr>
        <w:t>: Quantified time-to-stability metrics; baseline signatures for ≥3 tactical systems; statistical significance p&lt;0.05. </w:t>
      </w:r>
      <w:r w:rsidRPr="009E62D8">
        <w:rPr>
          <w:rFonts w:ascii="Calibri" w:eastAsia="Times New Roman" w:hAnsi="Calibri" w:cs="Calibri"/>
          <w:i/>
          <w:iCs/>
          <w:color w:val="000000"/>
          <w:kern w:val="0"/>
          <w:sz w:val="22"/>
          <w:szCs w:val="22"/>
          <w:lang w:eastAsia="en-GB"/>
          <w14:ligatures w14:val="none"/>
        </w:rPr>
        <w:t>Delivery</w:t>
      </w:r>
      <w:r w:rsidRPr="009E62D8">
        <w:rPr>
          <w:rFonts w:ascii="Calibri" w:eastAsia="Times New Roman" w:hAnsi="Calibri" w:cs="Calibri"/>
          <w:color w:val="000000"/>
          <w:kern w:val="0"/>
          <w:sz w:val="22"/>
          <w:szCs w:val="22"/>
          <w:lang w:eastAsia="en-GB"/>
          <w14:ligatures w14:val="none"/>
        </w:rPr>
        <w:t>: RA develops methods (Months 3-6), PI completes analysis (Months 7-8).</w:t>
      </w:r>
      <w:r w:rsidRPr="009A53FB">
        <w:rPr>
          <w:rFonts w:ascii="Calibri" w:eastAsia="Times New Roman" w:hAnsi="Calibri" w:cs="Calibri"/>
          <w:color w:val="000000"/>
          <w:kern w:val="0"/>
          <w:sz w:val="22"/>
          <w:szCs w:val="22"/>
          <w:lang w:eastAsia="en-GB"/>
          <w14:ligatures w14:val="none"/>
        </w:rPr>
        <w:t xml:space="preserve"> </w:t>
      </w:r>
      <w:r w:rsidRPr="009E62D8">
        <w:rPr>
          <w:rFonts w:ascii="Calibri" w:eastAsia="Times New Roman" w:hAnsi="Calibri" w:cs="Calibri"/>
          <w:b/>
          <w:bCs/>
          <w:color w:val="000000"/>
          <w:kern w:val="0"/>
          <w:sz w:val="22"/>
          <w:szCs w:val="22"/>
          <w:lang w:eastAsia="en-GB"/>
          <w14:ligatures w14:val="none"/>
        </w:rPr>
        <w:t>Objective 3 (Months 6-10, PI-led)</w:t>
      </w:r>
      <w:r w:rsidRPr="009E62D8">
        <w:rPr>
          <w:rFonts w:ascii="Calibri" w:eastAsia="Times New Roman" w:hAnsi="Calibri" w:cs="Calibri"/>
          <w:color w:val="000000"/>
          <w:kern w:val="0"/>
          <w:sz w:val="22"/>
          <w:szCs w:val="22"/>
          <w:lang w:eastAsia="en-GB"/>
          <w14:ligatures w14:val="none"/>
        </w:rPr>
        <w:t>: Track pattern evolution. </w:t>
      </w:r>
      <w:r w:rsidRPr="009E62D8">
        <w:rPr>
          <w:rFonts w:ascii="Calibri" w:eastAsia="Times New Roman" w:hAnsi="Calibri" w:cs="Calibri"/>
          <w:i/>
          <w:iCs/>
          <w:color w:val="000000"/>
          <w:kern w:val="0"/>
          <w:sz w:val="22"/>
          <w:szCs w:val="22"/>
          <w:lang w:eastAsia="en-GB"/>
          <w14:ligatures w14:val="none"/>
        </w:rPr>
        <w:t>Success criteria</w:t>
      </w:r>
      <w:r w:rsidRPr="009E62D8">
        <w:rPr>
          <w:rFonts w:ascii="Calibri" w:eastAsia="Times New Roman" w:hAnsi="Calibri" w:cs="Calibri"/>
          <w:color w:val="000000"/>
          <w:kern w:val="0"/>
          <w:sz w:val="22"/>
          <w:szCs w:val="22"/>
          <w:lang w:eastAsia="en-GB"/>
          <w14:ligatures w14:val="none"/>
        </w:rPr>
        <w:t>: Identified stability regimes; transition probability estimation; temporal correlation analysis. </w:t>
      </w:r>
      <w:r w:rsidRPr="009E62D8">
        <w:rPr>
          <w:rFonts w:ascii="Calibri" w:eastAsia="Times New Roman" w:hAnsi="Calibri" w:cs="Calibri"/>
          <w:i/>
          <w:iCs/>
          <w:color w:val="000000"/>
          <w:kern w:val="0"/>
          <w:sz w:val="22"/>
          <w:szCs w:val="22"/>
          <w:lang w:eastAsia="en-GB"/>
          <w14:ligatures w14:val="none"/>
        </w:rPr>
        <w:t>Delivery</w:t>
      </w:r>
      <w:r w:rsidRPr="009E62D8">
        <w:rPr>
          <w:rFonts w:ascii="Calibri" w:eastAsia="Times New Roman" w:hAnsi="Calibri" w:cs="Calibri"/>
          <w:color w:val="000000"/>
          <w:kern w:val="0"/>
          <w:sz w:val="22"/>
          <w:szCs w:val="22"/>
          <w:lang w:eastAsia="en-GB"/>
          <w14:ligatures w14:val="none"/>
        </w:rPr>
        <w:t>: RA implements methods (Month 6), PI conducts analysis (Months 7-10).</w:t>
      </w:r>
      <w:r w:rsidRPr="009A53FB">
        <w:rPr>
          <w:rFonts w:ascii="Calibri" w:eastAsia="Times New Roman" w:hAnsi="Calibri" w:cs="Calibri"/>
          <w:color w:val="000000"/>
          <w:kern w:val="0"/>
          <w:sz w:val="22"/>
          <w:szCs w:val="22"/>
          <w:lang w:eastAsia="en-GB"/>
          <w14:ligatures w14:val="none"/>
        </w:rPr>
        <w:t xml:space="preserve"> </w:t>
      </w:r>
      <w:r w:rsidRPr="009E62D8">
        <w:rPr>
          <w:rFonts w:ascii="Calibri" w:eastAsia="Times New Roman" w:hAnsi="Calibri" w:cs="Calibri"/>
          <w:b/>
          <w:bCs/>
          <w:color w:val="000000"/>
          <w:kern w:val="0"/>
          <w:sz w:val="22"/>
          <w:szCs w:val="22"/>
          <w:lang w:eastAsia="en-GB"/>
          <w14:ligatures w14:val="none"/>
        </w:rPr>
        <w:t>Objective 4 (Months 8-12, PI-led)</w:t>
      </w:r>
      <w:r w:rsidRPr="009E62D8">
        <w:rPr>
          <w:rFonts w:ascii="Calibri" w:eastAsia="Times New Roman" w:hAnsi="Calibri" w:cs="Calibri"/>
          <w:color w:val="000000"/>
          <w:kern w:val="0"/>
          <w:sz w:val="22"/>
          <w:szCs w:val="22"/>
          <w:lang w:eastAsia="en-GB"/>
          <w14:ligatures w14:val="none"/>
        </w:rPr>
        <w:t>: Event-topology relationships. </w:t>
      </w:r>
      <w:r w:rsidRPr="009E62D8">
        <w:rPr>
          <w:rFonts w:ascii="Calibri" w:eastAsia="Times New Roman" w:hAnsi="Calibri" w:cs="Calibri"/>
          <w:i/>
          <w:iCs/>
          <w:color w:val="000000"/>
          <w:kern w:val="0"/>
          <w:sz w:val="22"/>
          <w:szCs w:val="22"/>
          <w:lang w:eastAsia="en-GB"/>
          <w14:ligatures w14:val="none"/>
        </w:rPr>
        <w:t>Success criteria</w:t>
      </w:r>
      <w:r w:rsidRPr="009E62D8">
        <w:rPr>
          <w:rFonts w:ascii="Calibri" w:eastAsia="Times New Roman" w:hAnsi="Calibri" w:cs="Calibri"/>
          <w:color w:val="000000"/>
          <w:kern w:val="0"/>
          <w:sz w:val="22"/>
          <w:szCs w:val="22"/>
          <w:lang w:eastAsia="en-GB"/>
          <w14:ligatures w14:val="none"/>
        </w:rPr>
        <w:t>: ≥3 significant correlations; validated early warnings; predictive model evaluation. </w:t>
      </w:r>
      <w:r w:rsidRPr="009E62D8">
        <w:rPr>
          <w:rFonts w:ascii="Calibri" w:eastAsia="Times New Roman" w:hAnsi="Calibri" w:cs="Calibri"/>
          <w:i/>
          <w:iCs/>
          <w:color w:val="000000"/>
          <w:kern w:val="0"/>
          <w:sz w:val="22"/>
          <w:szCs w:val="22"/>
          <w:lang w:eastAsia="en-GB"/>
          <w14:ligatures w14:val="none"/>
        </w:rPr>
        <w:t>Delivery</w:t>
      </w:r>
      <w:r w:rsidRPr="009E62D8">
        <w:rPr>
          <w:rFonts w:ascii="Calibri" w:eastAsia="Times New Roman" w:hAnsi="Calibri" w:cs="Calibri"/>
          <w:color w:val="000000"/>
          <w:kern w:val="0"/>
          <w:sz w:val="22"/>
          <w:szCs w:val="22"/>
          <w:lang w:eastAsia="en-GB"/>
          <w14:ligatures w14:val="none"/>
        </w:rPr>
        <w:t>: PI conducts correlation analysis (Months 8-10), validation (Months 10-11), manuscript preparation (Months 11-12).</w:t>
      </w:r>
      <w:r w:rsidRPr="009A53FB">
        <w:rPr>
          <w:rFonts w:ascii="Calibri" w:eastAsia="Times New Roman" w:hAnsi="Calibri" w:cs="Calibri"/>
          <w:color w:val="000000"/>
          <w:kern w:val="0"/>
          <w:sz w:val="22"/>
          <w:szCs w:val="22"/>
          <w:lang w:eastAsia="en-GB"/>
          <w14:ligatures w14:val="none"/>
        </w:rPr>
        <w:t xml:space="preserve"> </w:t>
      </w:r>
      <w:r w:rsidRPr="009E62D8">
        <w:rPr>
          <w:rFonts w:ascii="Calibri" w:eastAsia="Times New Roman" w:hAnsi="Calibri" w:cs="Calibri"/>
          <w:color w:val="000000"/>
          <w:kern w:val="0"/>
          <w:sz w:val="22"/>
          <w:szCs w:val="22"/>
          <w:lang w:eastAsia="en-GB"/>
          <w14:ligatures w14:val="none"/>
        </w:rPr>
        <w:t>This phased approach ensures intensive computational development during RA appointment (Months 1-6), with PI continuing analysis using established methods (Months 7-12).</w:t>
      </w:r>
    </w:p>
    <w:p w14:paraId="6CCFE3C4" w14:textId="72313C74" w:rsidR="009E62D8" w:rsidRPr="009E62D8" w:rsidRDefault="009E62D8" w:rsidP="009E62D8">
      <w:pPr>
        <w:spacing w:after="120" w:line="240" w:lineRule="auto"/>
        <w:jc w:val="both"/>
        <w:rPr>
          <w:rFonts w:ascii="Calibri" w:eastAsia="Times New Roman" w:hAnsi="Calibri" w:cs="Calibri"/>
          <w:color w:val="000000"/>
          <w:kern w:val="0"/>
          <w:sz w:val="22"/>
          <w:szCs w:val="22"/>
          <w:lang w:eastAsia="en-GB"/>
          <w14:ligatures w14:val="none"/>
        </w:rPr>
      </w:pPr>
      <w:r w:rsidRPr="009E62D8">
        <w:rPr>
          <w:rFonts w:ascii="Calibri" w:eastAsia="Times New Roman" w:hAnsi="Calibri" w:cs="Calibri"/>
          <w:b/>
          <w:bCs/>
          <w:color w:val="000000"/>
          <w:kern w:val="0"/>
          <w:sz w:val="22"/>
          <w:szCs w:val="22"/>
          <w:lang w:eastAsia="en-GB"/>
          <w14:ligatures w14:val="none"/>
        </w:rPr>
        <w:t>Feasibility and Risk Management</w:t>
      </w:r>
      <w:r w:rsidRPr="009E62D8">
        <w:rPr>
          <w:rFonts w:ascii="Calibri" w:eastAsia="Times New Roman" w:hAnsi="Calibri" w:cs="Calibri"/>
          <w:color w:val="000000"/>
          <w:kern w:val="0"/>
          <w:sz w:val="22"/>
          <w:szCs w:val="22"/>
          <w:lang w:eastAsia="en-GB"/>
          <w14:ligatures w14:val="none"/>
        </w:rPr>
        <w:t>: Project is highly feasible. Framework validated on single-match data with clear results and &lt;2s per-frame computational efficiency. Mature open-source libraries (</w:t>
      </w:r>
      <w:proofErr w:type="spellStart"/>
      <w:r w:rsidRPr="009E62D8">
        <w:rPr>
          <w:rFonts w:ascii="Calibri" w:eastAsia="Times New Roman" w:hAnsi="Calibri" w:cs="Calibri"/>
          <w:color w:val="000000"/>
          <w:kern w:val="0"/>
          <w:sz w:val="22"/>
          <w:szCs w:val="22"/>
          <w:lang w:eastAsia="en-GB"/>
          <w14:ligatures w14:val="none"/>
        </w:rPr>
        <w:t>ripser</w:t>
      </w:r>
      <w:proofErr w:type="spellEnd"/>
      <w:r w:rsidRPr="009E62D8">
        <w:rPr>
          <w:rFonts w:ascii="Calibri" w:eastAsia="Times New Roman" w:hAnsi="Calibri" w:cs="Calibri"/>
          <w:color w:val="000000"/>
          <w:kern w:val="0"/>
          <w:sz w:val="22"/>
          <w:szCs w:val="22"/>
          <w:lang w:eastAsia="en-GB"/>
          <w14:ligatures w14:val="none"/>
        </w:rPr>
        <w:t xml:space="preserve">, GUDHI, </w:t>
      </w:r>
      <w:proofErr w:type="spellStart"/>
      <w:r w:rsidRPr="009E62D8">
        <w:rPr>
          <w:rFonts w:ascii="Calibri" w:eastAsia="Times New Roman" w:hAnsi="Calibri" w:cs="Calibri"/>
          <w:color w:val="000000"/>
          <w:kern w:val="0"/>
          <w:sz w:val="22"/>
          <w:szCs w:val="22"/>
          <w:lang w:eastAsia="en-GB"/>
          <w14:ligatures w14:val="none"/>
        </w:rPr>
        <w:t>giotto-tda</w:t>
      </w:r>
      <w:proofErr w:type="spellEnd"/>
      <w:r w:rsidRPr="009E62D8">
        <w:rPr>
          <w:rFonts w:ascii="Calibri" w:eastAsia="Times New Roman" w:hAnsi="Calibri" w:cs="Calibri"/>
          <w:color w:val="000000"/>
          <w:kern w:val="0"/>
          <w:sz w:val="22"/>
          <w:szCs w:val="22"/>
          <w:lang w:eastAsia="en-GB"/>
          <w14:ligatures w14:val="none"/>
        </w:rPr>
        <w:t>) provide robust infrastructure. Broadcast data secured through SCAFC-</w:t>
      </w:r>
      <w:proofErr w:type="spellStart"/>
      <w:r w:rsidRPr="009E62D8">
        <w:rPr>
          <w:rFonts w:ascii="Calibri" w:eastAsia="Times New Roman" w:hAnsi="Calibri" w:cs="Calibri"/>
          <w:color w:val="000000"/>
          <w:kern w:val="0"/>
          <w:sz w:val="22"/>
          <w:szCs w:val="22"/>
          <w:lang w:eastAsia="en-GB"/>
          <w14:ligatures w14:val="none"/>
        </w:rPr>
        <w:t>Statsbomb</w:t>
      </w:r>
      <w:proofErr w:type="spellEnd"/>
      <w:r w:rsidRPr="009E62D8">
        <w:rPr>
          <w:rFonts w:ascii="Calibri" w:eastAsia="Times New Roman" w:hAnsi="Calibri" w:cs="Calibri"/>
          <w:color w:val="000000"/>
          <w:kern w:val="0"/>
          <w:sz w:val="22"/>
          <w:szCs w:val="22"/>
          <w:lang w:eastAsia="en-GB"/>
          <w14:ligatures w14:val="none"/>
        </w:rPr>
        <w:t xml:space="preserve"> agreement. Primary risk concerns GPS data access, mitigated through multiple pathways and validated broadcast approach. Generalisability risk low given large effect sizes (r=0.68) and adequate statistical power (N=10). RA recruitment risk low through early advertising, competitive salary, and Swansea's sports analytics track record. Work continuation post-RA ensured through established codebase documentation and PI TDA expertise.</w:t>
      </w:r>
    </w:p>
    <w:p w14:paraId="7E61BF79" w14:textId="77777777" w:rsidR="009E62D8" w:rsidRPr="009E62D8" w:rsidRDefault="009E62D8" w:rsidP="009E62D8">
      <w:pPr>
        <w:spacing w:after="120" w:line="240" w:lineRule="auto"/>
        <w:jc w:val="both"/>
        <w:rPr>
          <w:rFonts w:ascii="Calibri" w:eastAsia="Times New Roman" w:hAnsi="Calibri" w:cs="Calibri"/>
          <w:color w:val="000000"/>
          <w:kern w:val="0"/>
          <w:sz w:val="22"/>
          <w:szCs w:val="22"/>
          <w:lang w:eastAsia="en-GB"/>
          <w14:ligatures w14:val="none"/>
        </w:rPr>
      </w:pPr>
      <w:r w:rsidRPr="009E62D8">
        <w:rPr>
          <w:rFonts w:ascii="Calibri" w:eastAsia="Times New Roman" w:hAnsi="Calibri" w:cs="Calibri"/>
          <w:b/>
          <w:bCs/>
          <w:color w:val="000000"/>
          <w:kern w:val="0"/>
          <w:sz w:val="22"/>
          <w:szCs w:val="22"/>
          <w:lang w:eastAsia="en-GB"/>
          <w14:ligatures w14:val="none"/>
        </w:rPr>
        <w:t>Methodology</w:t>
      </w:r>
      <w:r w:rsidRPr="009E62D8">
        <w:rPr>
          <w:rFonts w:ascii="Calibri" w:eastAsia="Times New Roman" w:hAnsi="Calibri" w:cs="Calibri"/>
          <w:color w:val="000000"/>
          <w:kern w:val="0"/>
          <w:sz w:val="22"/>
          <w:szCs w:val="22"/>
          <w:lang w:eastAsia="en-GB"/>
          <w14:ligatures w14:val="none"/>
        </w:rPr>
        <w:t>: Transparent, reproducible framework built on validated preliminary work. Data sources include secured championship broadcast tracking via SCAFC-</w:t>
      </w:r>
      <w:proofErr w:type="spellStart"/>
      <w:r w:rsidRPr="009E62D8">
        <w:rPr>
          <w:rFonts w:ascii="Calibri" w:eastAsia="Times New Roman" w:hAnsi="Calibri" w:cs="Calibri"/>
          <w:color w:val="000000"/>
          <w:kern w:val="0"/>
          <w:sz w:val="22"/>
          <w:szCs w:val="22"/>
          <w:lang w:eastAsia="en-GB"/>
          <w14:ligatures w14:val="none"/>
        </w:rPr>
        <w:t>Statsbomb</w:t>
      </w:r>
      <w:proofErr w:type="spellEnd"/>
      <w:r w:rsidRPr="009E62D8">
        <w:rPr>
          <w:rFonts w:ascii="Calibri" w:eastAsia="Times New Roman" w:hAnsi="Calibri" w:cs="Calibri"/>
          <w:color w:val="000000"/>
          <w:kern w:val="0"/>
          <w:sz w:val="22"/>
          <w:szCs w:val="22"/>
          <w:lang w:eastAsia="en-GB"/>
          <w14:ligatures w14:val="none"/>
        </w:rPr>
        <w:t xml:space="preserve"> (10-25Hz, multiple seasons, diverse teams) and target GPS data (25Hz via Genius Sports/Oval). Multi-scale TDA framework: (1) point cloud construction from 22-player positions; (2) GPS-aware preprocessing with hierarchical clustering; (3) scale-validated analysis at individual (2.98m, 99% validation), tactical (12.0m, 96% validation), team (30.0m, 100% validation) scales; (4) adaptive filtration enabling consistent pattern detection; (5) persistent homology computation using </w:t>
      </w:r>
      <w:proofErr w:type="spellStart"/>
      <w:r w:rsidRPr="009E62D8">
        <w:rPr>
          <w:rFonts w:ascii="Calibri" w:eastAsia="Times New Roman" w:hAnsi="Calibri" w:cs="Calibri"/>
          <w:color w:val="000000"/>
          <w:kern w:val="0"/>
          <w:sz w:val="22"/>
          <w:szCs w:val="22"/>
          <w:lang w:eastAsia="en-GB"/>
          <w14:ligatures w14:val="none"/>
        </w:rPr>
        <w:t>ripser</w:t>
      </w:r>
      <w:proofErr w:type="spellEnd"/>
      <w:r w:rsidRPr="009E62D8">
        <w:rPr>
          <w:rFonts w:ascii="Calibri" w:eastAsia="Times New Roman" w:hAnsi="Calibri" w:cs="Calibri"/>
          <w:color w:val="000000"/>
          <w:kern w:val="0"/>
          <w:sz w:val="22"/>
          <w:szCs w:val="22"/>
          <w:lang w:eastAsia="en-GB"/>
          <w14:ligatures w14:val="none"/>
        </w:rPr>
        <w:t>; (6) closed cycle identification for tactical interpretation.</w:t>
      </w:r>
    </w:p>
    <w:p w14:paraId="06FB8D1B" w14:textId="77777777" w:rsidR="009E62D8" w:rsidRPr="009E62D8" w:rsidRDefault="009E62D8" w:rsidP="009E62D8">
      <w:pPr>
        <w:spacing w:after="120" w:line="240" w:lineRule="auto"/>
        <w:jc w:val="both"/>
        <w:rPr>
          <w:rFonts w:ascii="Calibri" w:eastAsia="Times New Roman" w:hAnsi="Calibri" w:cs="Calibri"/>
          <w:color w:val="000000"/>
          <w:kern w:val="0"/>
          <w:sz w:val="22"/>
          <w:szCs w:val="22"/>
          <w:lang w:eastAsia="en-GB"/>
          <w14:ligatures w14:val="none"/>
        </w:rPr>
      </w:pPr>
      <w:r w:rsidRPr="009E62D8">
        <w:rPr>
          <w:rFonts w:ascii="Calibri" w:eastAsia="Times New Roman" w:hAnsi="Calibri" w:cs="Calibri"/>
          <w:color w:val="000000"/>
          <w:kern w:val="0"/>
          <w:sz w:val="22"/>
          <w:szCs w:val="22"/>
          <w:lang w:eastAsia="en-GB"/>
          <w14:ligatures w14:val="none"/>
        </w:rPr>
        <w:t xml:space="preserve">Pattern formation methods identify initialisation, track emergence, quantify stabilisation timescales. Temporal evolution methods apply persistence landscapes (Bubenik 2015) for functional </w:t>
      </w:r>
      <w:r w:rsidRPr="009E62D8">
        <w:rPr>
          <w:rFonts w:ascii="Calibri" w:eastAsia="Times New Roman" w:hAnsi="Calibri" w:cs="Calibri"/>
          <w:color w:val="000000"/>
          <w:kern w:val="0"/>
          <w:sz w:val="22"/>
          <w:szCs w:val="22"/>
          <w:lang w:eastAsia="en-GB"/>
          <w14:ligatures w14:val="none"/>
        </w:rPr>
        <w:lastRenderedPageBreak/>
        <w:t>representation, classify stability regimes, detect transitions. Event correlation framework uses temporal windowing ([-30s, +30s]), permutation testing, FDR correction. All methods implemented in open-source Python with documented workflows, code repository (Month 1), and public release (Month 12).</w:t>
      </w:r>
    </w:p>
    <w:p w14:paraId="7B60F9EE" w14:textId="77777777" w:rsidR="009E62D8" w:rsidRPr="009E62D8" w:rsidRDefault="009E62D8" w:rsidP="009E62D8">
      <w:pPr>
        <w:spacing w:after="120" w:line="240" w:lineRule="auto"/>
        <w:jc w:val="both"/>
        <w:rPr>
          <w:rFonts w:ascii="Calibri" w:eastAsia="Times New Roman" w:hAnsi="Calibri" w:cs="Calibri"/>
          <w:color w:val="000000"/>
          <w:kern w:val="0"/>
          <w:sz w:val="22"/>
          <w:szCs w:val="22"/>
          <w:lang w:eastAsia="en-GB"/>
          <w14:ligatures w14:val="none"/>
        </w:rPr>
      </w:pPr>
      <w:r w:rsidRPr="009E62D8">
        <w:rPr>
          <w:rFonts w:ascii="Calibri" w:eastAsia="Times New Roman" w:hAnsi="Calibri" w:cs="Calibri"/>
          <w:b/>
          <w:bCs/>
          <w:color w:val="000000"/>
          <w:kern w:val="0"/>
          <w:sz w:val="22"/>
          <w:szCs w:val="22"/>
          <w:lang w:eastAsia="en-GB"/>
          <w14:ligatures w14:val="none"/>
        </w:rPr>
        <w:t>Previous Work</w:t>
      </w:r>
      <w:r w:rsidRPr="009E62D8">
        <w:rPr>
          <w:rFonts w:ascii="Calibri" w:eastAsia="Times New Roman" w:hAnsi="Calibri" w:cs="Calibri"/>
          <w:color w:val="000000"/>
          <w:kern w:val="0"/>
          <w:sz w:val="22"/>
          <w:szCs w:val="22"/>
          <w:lang w:eastAsia="en-GB"/>
          <w14:ligatures w14:val="none"/>
        </w:rPr>
        <w:t>: Preliminary work completed comprehensive single-match validation. We validated three topological scales (&gt;95% rates), detected 523 H1 loops across 149 frames, implemented closed cycle algorithms, and identified temporal trends (tactical structures showing 19% greater persistence in later phases). Preliminary analysis revealed strong performance correlations (r=0.68, p&lt;0.001). Methodological innovations include GPS-aware clustering resolving measurement artifacts, adaptive filtration enabling multi-scale detection, and temporal persistence landscape implementation. This work used broadcast data, demonstrating framework robustness without GPS precision. This grant builds systematically: single to multiple matches (validation to generalisability), detection to formation (identifying to understanding emergence), trends to theory (observation to characterisation), correlations to validation (preliminary to robust evidence). Research integrates with established TDA literature (</w:t>
      </w:r>
      <w:proofErr w:type="spellStart"/>
      <w:r w:rsidRPr="009E62D8">
        <w:rPr>
          <w:rFonts w:ascii="Calibri" w:eastAsia="Times New Roman" w:hAnsi="Calibri" w:cs="Calibri"/>
          <w:color w:val="000000"/>
          <w:kern w:val="0"/>
          <w:sz w:val="22"/>
          <w:szCs w:val="22"/>
          <w:lang w:eastAsia="en-GB"/>
          <w14:ligatures w14:val="none"/>
        </w:rPr>
        <w:t>Edelsbrunner</w:t>
      </w:r>
      <w:proofErr w:type="spellEnd"/>
      <w:r w:rsidRPr="009E62D8">
        <w:rPr>
          <w:rFonts w:ascii="Calibri" w:eastAsia="Times New Roman" w:hAnsi="Calibri" w:cs="Calibri"/>
          <w:color w:val="000000"/>
          <w:kern w:val="0"/>
          <w:sz w:val="22"/>
          <w:szCs w:val="22"/>
          <w:lang w:eastAsia="en-GB"/>
          <w14:ligatures w14:val="none"/>
        </w:rPr>
        <w:t xml:space="preserve"> &amp; Harer 2010; Cohen-Steiner et al. 2007; Bubenik 2015; Bauer 2021) while making novel contributions as first multi-scale persistent homology application to competitive, high-frequency dynamical systems.</w:t>
      </w:r>
    </w:p>
    <w:p w14:paraId="52611758" w14:textId="77777777" w:rsidR="009E62D8" w:rsidRPr="009E62D8" w:rsidRDefault="009E62D8" w:rsidP="009E62D8">
      <w:pPr>
        <w:spacing w:after="120" w:line="240" w:lineRule="auto"/>
        <w:jc w:val="both"/>
        <w:rPr>
          <w:rFonts w:ascii="Calibri" w:eastAsia="Times New Roman" w:hAnsi="Calibri" w:cs="Calibri"/>
          <w:color w:val="000000"/>
          <w:kern w:val="0"/>
          <w:sz w:val="22"/>
          <w:szCs w:val="22"/>
          <w:lang w:eastAsia="en-GB"/>
          <w14:ligatures w14:val="none"/>
        </w:rPr>
      </w:pPr>
      <w:r w:rsidRPr="009E62D8">
        <w:rPr>
          <w:rFonts w:ascii="Calibri" w:eastAsia="Times New Roman" w:hAnsi="Calibri" w:cs="Calibri"/>
          <w:b/>
          <w:bCs/>
          <w:color w:val="000000"/>
          <w:kern w:val="0"/>
          <w:sz w:val="22"/>
          <w:szCs w:val="22"/>
          <w:lang w:eastAsia="en-GB"/>
          <w14:ligatures w14:val="none"/>
        </w:rPr>
        <w:t>Translation to Outcomes</w:t>
      </w:r>
      <w:r w:rsidRPr="009E62D8">
        <w:rPr>
          <w:rFonts w:ascii="Calibri" w:eastAsia="Times New Roman" w:hAnsi="Calibri" w:cs="Calibri"/>
          <w:color w:val="000000"/>
          <w:kern w:val="0"/>
          <w:sz w:val="22"/>
          <w:szCs w:val="22"/>
          <w:lang w:eastAsia="en-GB"/>
          <w14:ligatures w14:val="none"/>
        </w:rPr>
        <w:t>: Academic translation through paper submission (Month 11) targeting SIAM Journal on Applied Mathematics, Journal of Applied and Computational Topology, PLOS ONE, with 6-month review cycles enabling publication during Standard Grant application. Conference presentations at SIAM Dynamical Systems, Applied Topology conferences. Open-source release (Month 12) with comprehensive documentation. Industry translation through quarterly meetings with clubs and Genius Sports (Months 3, 6, 9, 12), live demonstrations (Months 6, 11), technical reports translating findings. Larger Grant preparation (Months 10-11) incorporating validated results. Cross-disciplinary applications emphasised in publications: swarm robotics, crowd dynamics, biological systems, traffic management. Public engagement through blog series (Months 6, 9, 12), university lectures, media engagement.</w:t>
      </w:r>
    </w:p>
    <w:p w14:paraId="71C97CC8" w14:textId="77777777" w:rsidR="009E62D8" w:rsidRPr="009E62D8" w:rsidRDefault="009E62D8" w:rsidP="009E62D8">
      <w:pPr>
        <w:spacing w:after="120" w:line="240" w:lineRule="auto"/>
        <w:jc w:val="both"/>
        <w:rPr>
          <w:rFonts w:ascii="Calibri" w:eastAsia="Times New Roman" w:hAnsi="Calibri" w:cs="Calibri"/>
          <w:color w:val="000000"/>
          <w:kern w:val="0"/>
          <w:sz w:val="22"/>
          <w:szCs w:val="22"/>
          <w:lang w:eastAsia="en-GB"/>
          <w14:ligatures w14:val="none"/>
        </w:rPr>
      </w:pPr>
      <w:r w:rsidRPr="009E62D8">
        <w:rPr>
          <w:rFonts w:ascii="Calibri" w:eastAsia="Times New Roman" w:hAnsi="Calibri" w:cs="Calibri"/>
          <w:b/>
          <w:bCs/>
          <w:color w:val="000000"/>
          <w:kern w:val="0"/>
          <w:sz w:val="22"/>
          <w:szCs w:val="22"/>
          <w:lang w:eastAsia="en-GB"/>
          <w14:ligatures w14:val="none"/>
        </w:rPr>
        <w:t>Research Environment</w:t>
      </w:r>
      <w:r w:rsidRPr="009E62D8">
        <w:rPr>
          <w:rFonts w:ascii="Calibri" w:eastAsia="Times New Roman" w:hAnsi="Calibri" w:cs="Calibri"/>
          <w:color w:val="000000"/>
          <w:kern w:val="0"/>
          <w:sz w:val="22"/>
          <w:szCs w:val="22"/>
          <w:lang w:eastAsia="en-GB"/>
          <w14:ligatures w14:val="none"/>
        </w:rPr>
        <w:t>: Swansea University provides computational mathematics, data science, sports analytics expertise within Zienkiewicz Institute. Supercomputing Wales cluster (2-Petaflops) enables &lt;1s per-frame processing. Secure data storage (100TB) compliant with GDPR. Institutional software licenses available. Research Office supports partnership negotiation. Fast-track ethics approval (4-week turnaround). Dedicated Impact Officer supports industry engagement. Secured championship data through SCAFC-</w:t>
      </w:r>
      <w:proofErr w:type="spellStart"/>
      <w:r w:rsidRPr="009E62D8">
        <w:rPr>
          <w:rFonts w:ascii="Calibri" w:eastAsia="Times New Roman" w:hAnsi="Calibri" w:cs="Calibri"/>
          <w:color w:val="000000"/>
          <w:kern w:val="0"/>
          <w:sz w:val="22"/>
          <w:szCs w:val="22"/>
          <w:lang w:eastAsia="en-GB"/>
          <w14:ligatures w14:val="none"/>
        </w:rPr>
        <w:t>Statsbomb</w:t>
      </w:r>
      <w:proofErr w:type="spellEnd"/>
      <w:r w:rsidRPr="009E62D8">
        <w:rPr>
          <w:rFonts w:ascii="Calibri" w:eastAsia="Times New Roman" w:hAnsi="Calibri" w:cs="Calibri"/>
          <w:color w:val="000000"/>
          <w:kern w:val="0"/>
          <w:sz w:val="22"/>
          <w:szCs w:val="22"/>
          <w:lang w:eastAsia="en-GB"/>
          <w14:ligatures w14:val="none"/>
        </w:rPr>
        <w:t xml:space="preserve">. Target GPS data via Genius Sports (discussions June 2025) and </w:t>
      </w:r>
      <w:proofErr w:type="gramStart"/>
      <w:r w:rsidRPr="009E62D8">
        <w:rPr>
          <w:rFonts w:ascii="Calibri" w:eastAsia="Times New Roman" w:hAnsi="Calibri" w:cs="Calibri"/>
          <w:color w:val="000000"/>
          <w:kern w:val="0"/>
          <w:sz w:val="22"/>
          <w:szCs w:val="22"/>
          <w:lang w:eastAsia="en-GB"/>
          <w14:ligatures w14:val="none"/>
        </w:rPr>
        <w:t>Oval</w:t>
      </w:r>
      <w:proofErr w:type="gramEnd"/>
      <w:r w:rsidRPr="009E62D8">
        <w:rPr>
          <w:rFonts w:ascii="Calibri" w:eastAsia="Times New Roman" w:hAnsi="Calibri" w:cs="Calibri"/>
          <w:color w:val="000000"/>
          <w:kern w:val="0"/>
          <w:sz w:val="22"/>
          <w:szCs w:val="22"/>
          <w:lang w:eastAsia="en-GB"/>
          <w14:ligatures w14:val="none"/>
        </w:rPr>
        <w:t xml:space="preserve"> agreements. Multiple pathways reduce risk. Track record demonstrated through PhDs at INEOS, Swansea City AFC, Ospreys, Scarlets, </w:t>
      </w:r>
      <w:proofErr w:type="spellStart"/>
      <w:r w:rsidRPr="009E62D8">
        <w:rPr>
          <w:rFonts w:ascii="Calibri" w:eastAsia="Times New Roman" w:hAnsi="Calibri" w:cs="Calibri"/>
          <w:color w:val="000000"/>
          <w:kern w:val="0"/>
          <w:sz w:val="22"/>
          <w:szCs w:val="22"/>
          <w:lang w:eastAsia="en-GB"/>
          <w14:ligatures w14:val="none"/>
        </w:rPr>
        <w:t>SwimWales</w:t>
      </w:r>
      <w:proofErr w:type="spellEnd"/>
      <w:r w:rsidRPr="009E62D8">
        <w:rPr>
          <w:rFonts w:ascii="Calibri" w:eastAsia="Times New Roman" w:hAnsi="Calibri" w:cs="Calibri"/>
          <w:color w:val="000000"/>
          <w:kern w:val="0"/>
          <w:sz w:val="22"/>
          <w:szCs w:val="22"/>
          <w:lang w:eastAsia="en-GB"/>
          <w14:ligatures w14:val="none"/>
        </w:rPr>
        <w:t>. Open science culture supports code release, data management, reproducibility.</w:t>
      </w:r>
    </w:p>
    <w:p w14:paraId="60FAFFAC" w14:textId="62ED63AF" w:rsidR="004B0054" w:rsidRPr="009A53FB" w:rsidRDefault="009E62D8" w:rsidP="009E62D8">
      <w:pPr>
        <w:spacing w:after="120" w:line="240" w:lineRule="auto"/>
        <w:jc w:val="both"/>
        <w:rPr>
          <w:rFonts w:ascii="Calibri" w:eastAsia="Times New Roman" w:hAnsi="Calibri" w:cs="Calibri"/>
          <w:color w:val="000000"/>
          <w:kern w:val="0"/>
          <w:sz w:val="22"/>
          <w:szCs w:val="22"/>
          <w:lang w:eastAsia="en-GB"/>
          <w14:ligatures w14:val="none"/>
        </w:rPr>
      </w:pPr>
      <w:r w:rsidRPr="009E62D8">
        <w:rPr>
          <w:rFonts w:ascii="Calibri" w:eastAsia="Times New Roman" w:hAnsi="Calibri" w:cs="Calibri"/>
          <w:b/>
          <w:bCs/>
          <w:color w:val="000000"/>
          <w:kern w:val="0"/>
          <w:sz w:val="22"/>
          <w:szCs w:val="22"/>
          <w:lang w:eastAsia="en-GB"/>
          <w14:ligatures w14:val="none"/>
        </w:rPr>
        <w:t>Team Structure</w:t>
      </w:r>
      <w:r w:rsidRPr="009E62D8">
        <w:rPr>
          <w:rFonts w:ascii="Calibri" w:eastAsia="Times New Roman" w:hAnsi="Calibri" w:cs="Calibri"/>
          <w:color w:val="000000"/>
          <w:kern w:val="0"/>
          <w:sz w:val="22"/>
          <w:szCs w:val="22"/>
          <w:lang w:eastAsia="en-GB"/>
          <w14:ligatures w14:val="none"/>
        </w:rPr>
        <w:t xml:space="preserve">: Research Associate (1.0 FTE, 6 months, Months 1-6) with computational topology expertise focuses on pipeline implementation, data processing, method development, code documentation, preliminary results. PI Dr Rowan Brown with co-PIs Prof Gibin </w:t>
      </w:r>
      <w:proofErr w:type="spellStart"/>
      <w:r w:rsidRPr="009E62D8">
        <w:rPr>
          <w:rFonts w:ascii="Calibri" w:eastAsia="Times New Roman" w:hAnsi="Calibri" w:cs="Calibri"/>
          <w:color w:val="000000"/>
          <w:kern w:val="0"/>
          <w:sz w:val="22"/>
          <w:szCs w:val="22"/>
          <w:lang w:eastAsia="en-GB"/>
          <w14:ligatures w14:val="none"/>
        </w:rPr>
        <w:t>Powathil</w:t>
      </w:r>
      <w:proofErr w:type="spellEnd"/>
      <w:r w:rsidRPr="009E62D8">
        <w:rPr>
          <w:rFonts w:ascii="Calibri" w:eastAsia="Times New Roman" w:hAnsi="Calibri" w:cs="Calibri"/>
          <w:color w:val="000000"/>
          <w:kern w:val="0"/>
          <w:sz w:val="22"/>
          <w:szCs w:val="22"/>
          <w:lang w:eastAsia="en-GB"/>
          <w14:ligatures w14:val="none"/>
        </w:rPr>
        <w:t xml:space="preserve"> and Prof Liam Kilduff bring applied mathematics expertise across physics, biology, sports analytics. PI provides strategic direction, theoretical framework development, RA supervision (Months 1-6), analysis continuation (Months 7-12), event correlation implementation (Months 8-12), manuscript preparation (Months 10-12), partnership management, Standard Grant preparation (Months 10-11). Co-PIs provide domain expertise and methodological guidance throughout. This lean structure ensures efficient resource use while maintaining rigor. Six-month RA appointment concentrates specialist effort during computational development, while PI TDA and Python expertise enables completion through analysis and publication phases. Combined infrastructure, partnership networks, institutional support, and strategic team structure create optimal conditions for achieving all four objectives within 12-month timeline.</w:t>
      </w:r>
    </w:p>
    <w:sectPr w:rsidR="004B0054" w:rsidRPr="009A53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2D8"/>
    <w:rsid w:val="00160239"/>
    <w:rsid w:val="002663D9"/>
    <w:rsid w:val="004B0054"/>
    <w:rsid w:val="00597FEA"/>
    <w:rsid w:val="00861C1B"/>
    <w:rsid w:val="009A53FB"/>
    <w:rsid w:val="009A7F5B"/>
    <w:rsid w:val="009E62D8"/>
    <w:rsid w:val="00BF3D12"/>
    <w:rsid w:val="00EC52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F5E90"/>
  <w15:chartTrackingRefBased/>
  <w15:docId w15:val="{F31EA3E1-A3D9-1642-94BC-6F6BB36F4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2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62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2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2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2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2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62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2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2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2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2D8"/>
    <w:rPr>
      <w:rFonts w:eastAsiaTheme="majorEastAsia" w:cstheme="majorBidi"/>
      <w:color w:val="272727" w:themeColor="text1" w:themeTint="D8"/>
    </w:rPr>
  </w:style>
  <w:style w:type="paragraph" w:styleId="Title">
    <w:name w:val="Title"/>
    <w:basedOn w:val="Normal"/>
    <w:next w:val="Normal"/>
    <w:link w:val="TitleChar"/>
    <w:uiPriority w:val="10"/>
    <w:qFormat/>
    <w:rsid w:val="009E6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2D8"/>
    <w:pPr>
      <w:spacing w:before="160"/>
      <w:jc w:val="center"/>
    </w:pPr>
    <w:rPr>
      <w:i/>
      <w:iCs/>
      <w:color w:val="404040" w:themeColor="text1" w:themeTint="BF"/>
    </w:rPr>
  </w:style>
  <w:style w:type="character" w:customStyle="1" w:styleId="QuoteChar">
    <w:name w:val="Quote Char"/>
    <w:basedOn w:val="DefaultParagraphFont"/>
    <w:link w:val="Quote"/>
    <w:uiPriority w:val="29"/>
    <w:rsid w:val="009E62D8"/>
    <w:rPr>
      <w:i/>
      <w:iCs/>
      <w:color w:val="404040" w:themeColor="text1" w:themeTint="BF"/>
    </w:rPr>
  </w:style>
  <w:style w:type="paragraph" w:styleId="ListParagraph">
    <w:name w:val="List Paragraph"/>
    <w:basedOn w:val="Normal"/>
    <w:uiPriority w:val="34"/>
    <w:qFormat/>
    <w:rsid w:val="009E62D8"/>
    <w:pPr>
      <w:ind w:left="720"/>
      <w:contextualSpacing/>
    </w:pPr>
  </w:style>
  <w:style w:type="character" w:styleId="IntenseEmphasis">
    <w:name w:val="Intense Emphasis"/>
    <w:basedOn w:val="DefaultParagraphFont"/>
    <w:uiPriority w:val="21"/>
    <w:qFormat/>
    <w:rsid w:val="009E62D8"/>
    <w:rPr>
      <w:i/>
      <w:iCs/>
      <w:color w:val="0F4761" w:themeColor="accent1" w:themeShade="BF"/>
    </w:rPr>
  </w:style>
  <w:style w:type="paragraph" w:styleId="IntenseQuote">
    <w:name w:val="Intense Quote"/>
    <w:basedOn w:val="Normal"/>
    <w:next w:val="Normal"/>
    <w:link w:val="IntenseQuoteChar"/>
    <w:uiPriority w:val="30"/>
    <w:qFormat/>
    <w:rsid w:val="009E6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2D8"/>
    <w:rPr>
      <w:i/>
      <w:iCs/>
      <w:color w:val="0F4761" w:themeColor="accent1" w:themeShade="BF"/>
    </w:rPr>
  </w:style>
  <w:style w:type="character" w:styleId="IntenseReference">
    <w:name w:val="Intense Reference"/>
    <w:basedOn w:val="DefaultParagraphFont"/>
    <w:uiPriority w:val="32"/>
    <w:qFormat/>
    <w:rsid w:val="009E62D8"/>
    <w:rPr>
      <w:b/>
      <w:bCs/>
      <w:smallCaps/>
      <w:color w:val="0F4761" w:themeColor="accent1" w:themeShade="BF"/>
      <w:spacing w:val="5"/>
    </w:rPr>
  </w:style>
  <w:style w:type="paragraph" w:styleId="NormalWeb">
    <w:name w:val="Normal (Web)"/>
    <w:basedOn w:val="Normal"/>
    <w:uiPriority w:val="99"/>
    <w:semiHidden/>
    <w:unhideWhenUsed/>
    <w:rsid w:val="009E62D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E62D8"/>
    <w:rPr>
      <w:b/>
      <w:bCs/>
    </w:rPr>
  </w:style>
  <w:style w:type="character" w:customStyle="1" w:styleId="apple-converted-space">
    <w:name w:val="apple-converted-space"/>
    <w:basedOn w:val="DefaultParagraphFont"/>
    <w:rsid w:val="009E62D8"/>
  </w:style>
  <w:style w:type="character" w:styleId="Emphasis">
    <w:name w:val="Emphasis"/>
    <w:basedOn w:val="DefaultParagraphFont"/>
    <w:uiPriority w:val="20"/>
    <w:qFormat/>
    <w:rsid w:val="009E62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1829</Words>
  <Characters>11652</Characters>
  <Application>Microsoft Office Word</Application>
  <DocSecurity>0</DocSecurity>
  <Lines>166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Rowan Brown</cp:lastModifiedBy>
  <cp:revision>4</cp:revision>
  <cp:lastPrinted>2025-12-04T16:24:00Z</cp:lastPrinted>
  <dcterms:created xsi:type="dcterms:W3CDTF">2025-12-04T16:24:00Z</dcterms:created>
  <dcterms:modified xsi:type="dcterms:W3CDTF">2026-04-02T08:01:00Z</dcterms:modified>
</cp:coreProperties>
</file>