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A08BD" w14:textId="77777777" w:rsidR="00ED4C40" w:rsidRDefault="00ED4C40" w:rsidP="00ED4C40">
      <w:r>
        <w:t>VISION AND APPROACH - REVISED DRAFT</w:t>
      </w:r>
    </w:p>
    <w:p w14:paraId="158DF781" w14:textId="77777777" w:rsidR="00ED4C40" w:rsidRDefault="00ED4C40" w:rsidP="00ED4C40">
      <w:r>
        <w:t>VISION</w:t>
      </w:r>
    </w:p>
    <w:p w14:paraId="025CD63A" w14:textId="77777777" w:rsidR="00ED4C40" w:rsidRDefault="00ED4C40" w:rsidP="00ED4C40">
      <w:r>
        <w:t>From autonomous drone swarms navigating disaster zones to crowds flowing through transport hubs, coordinating groups under competition is fundamental to critical societal challenges. Current mathematical methods for analysing these systems have fundamental limitations: they examine behaviour at single spatial scales and assume cooperation between agents. Real systems, however, operate hierarchically—individual decisions trigger tactical responses that shape system-wide patterns—and involve competitive coupling where groups actively oppose one another. This research develops new mathematical frameworks for multi-scale analysis of competitive collective systems, using professional football as a rigorous testbed where high-quality data enables thorough validation before application to higher-stakes domains.</w:t>
      </w:r>
    </w:p>
    <w:p w14:paraId="3E9311B0" w14:textId="77777777" w:rsidR="00ED4C40" w:rsidRDefault="00ED4C40" w:rsidP="00ED4C40">
      <w:r>
        <w:t xml:space="preserve">Excellence and Importance: Topological Data Analysis (TDA) has revolutionised how we understand complex data structure, but existing applications examine systems at single scales, in non-competitive scenarios, or with static data. Our work demonstrates that competitive, hierarchical, time-evolving systems exhibit rich multi-scale structure that current methods cannot capture. We established three validated analysis scales—individual (3m), tactical (12m), and team (30m)—each revealing complementary information about system organisation. Critically, we developed adaptive methods enabling robust pattern detection across all scales, a technical advance over </w:t>
      </w:r>
      <w:proofErr w:type="gramStart"/>
      <w:r>
        <w:t>fixed-parameter</w:t>
      </w:r>
      <w:proofErr w:type="gramEnd"/>
      <w:r>
        <w:t xml:space="preserve"> approaches that fail at larger resolutions.</w:t>
      </w:r>
    </w:p>
    <w:p w14:paraId="2B1A63A2" w14:textId="77777777" w:rsidR="00ED4C40" w:rsidRDefault="00ED4C40" w:rsidP="00ED4C40">
      <w:r>
        <w:t>This represents the first application of multi-scale persistent homology to competitive, coupled, high-frequency dynamical systems. The research opens new theoretical directions by addressing how persistence diagrams remain stable when point clouds interact competitively, whether persistence landscapes form well-defined dynamical systems, what mathematical properties give rise to natural scale separation, and how topological features correlate with performance. These fundamental questions extend current understanding in computational topology while creating methods applicable to autonomous systems, crowd safety, traffic management, and biological conservation.</w:t>
      </w:r>
    </w:p>
    <w:p w14:paraId="2E6D0E67" w14:textId="77777777" w:rsidR="00ED4C40" w:rsidRDefault="00ED4C40" w:rsidP="00ED4C40">
      <w:r>
        <w:t xml:space="preserve">Research Objectives: This 12-month project achieves four integrated objectives: (1) Validate framework generalisability across 10-15 championship matches, establishing statistical robustness and identifying universal versus context-dependent patterns; (2) Characterise pattern formation from initial configurations, quantifying formation times and identifying baseline signatures for different tactical systems; (3) Develop methods for tracking pattern evolution, classifying stability regimes and transition probabilities; (4) Establish relationships between discrete events and structural changes, testing whether patterns can predict system transitions. Together, these objectives transform preliminary single-match results into robust multi-match validation, generating the </w:t>
      </w:r>
      <w:r>
        <w:lastRenderedPageBreak/>
        <w:t>evidence base essential for confident application to broader domains and a larger research programme.</w:t>
      </w:r>
    </w:p>
    <w:p w14:paraId="28CE4303" w14:textId="77777777" w:rsidR="00ED4C40" w:rsidRDefault="00ED4C40" w:rsidP="00ED4C40">
      <w:r>
        <w:t xml:space="preserve">Advancing Current Understanding: Our single-match validation detected 523 distinct structural patterns with statistical reliability exceeding 95%, demonstrating that topological features correlate strongly with attacking effectiveness (r=0.68, p&lt;0.001). This suggests these mathematical features could quantitatively predict system performance—a finding requiring multi-match validation to establish generalisability. The research will develop theoretical frameworks for persistence diagram dynamics in competitive systems, establish conditions for scale separation in hierarchical point clouds, and create computational methods for temporal analysis of persistence landscapes. Publications will target </w:t>
      </w:r>
      <w:proofErr w:type="gramStart"/>
      <w:r>
        <w:t>top-tier</w:t>
      </w:r>
      <w:proofErr w:type="gramEnd"/>
      <w:r>
        <w:t xml:space="preserve"> applied mathematics journals (SIAM Journal on Applied Mathematics, Journal of Applied and Computational Topology), establishing new research directions at the intersection of topology, dynamical systems, and competitive multi-agent systems.</w:t>
      </w:r>
    </w:p>
    <w:p w14:paraId="0BED8968" w14:textId="77777777" w:rsidR="00ED4C40" w:rsidRDefault="00ED4C40" w:rsidP="00ED4C40">
      <w:r>
        <w:t>Timeliness: This research is exceptionally timely given current trends and capabilities. Computational advances in TDA libraries (</w:t>
      </w:r>
      <w:proofErr w:type="spellStart"/>
      <w:r>
        <w:t>ripser</w:t>
      </w:r>
      <w:proofErr w:type="spellEnd"/>
      <w:r>
        <w:t>, GUDHI) now enable real-time computation on large point clouds, making multi-scale analysis computationally feasible. Theoretical momentum is building around persistent homology for dynamical systems, with growing interest in temporal methods and stability theory. High-quality spatial tracking data from professional football provides an ideal testbed for method development, offering high-frequency measurements (10-25Hz) on a well-structured competitive system. Industry demand is demonstrated through established partnerships with Genius Sports and championship clubs, while broader applications—autonomous systems, crowd dynamics, biological conservation—address urgent societal challenges in public safety, environmental protection, and economic efficiency.</w:t>
      </w:r>
    </w:p>
    <w:p w14:paraId="32BD20EA" w14:textId="77777777" w:rsidR="00ED4C40" w:rsidRDefault="00ED4C40" w:rsidP="00ED4C40">
      <w:r>
        <w:t>Impact on World-Leading Research, Society, Economy, and Environment:</w:t>
      </w:r>
    </w:p>
    <w:p w14:paraId="1CA48B73" w14:textId="77777777" w:rsidR="00ED4C40" w:rsidRDefault="00ED4C40" w:rsidP="00ED4C40">
      <w:r>
        <w:t>Mathematical Sciences Impact: The research advances computational topology through publications in top-tier journals, establishing new research directions for temporal persistent homology and competitive systems analysis. Novel theoretical frameworks for persistence diagram dynamics and multi-scale stability will influence future research in topological data analysis.</w:t>
      </w:r>
    </w:p>
    <w:p w14:paraId="6F867777" w14:textId="77777777" w:rsidR="00ED4C40" w:rsidRDefault="00ED4C40" w:rsidP="00ED4C40">
      <w:r>
        <w:t>Immediate Societal Impact: For autonomous systems, coordinating drone swarms in search-and-rescue could reduce emergency response times by 30-40%, directly saving lives. In public safety, predicting dangerous crowd congestion at major events could prevent tragedies like the 2022 Seoul Halloween crowd crush (159 deaths). Mathematical frameworks for detecting early warning signals in crowd dynamics provide quantitative tools for emergency response planning.</w:t>
      </w:r>
    </w:p>
    <w:p w14:paraId="14A21562" w14:textId="77777777" w:rsidR="00ED4C40" w:rsidRDefault="00ED4C40" w:rsidP="00ED4C40">
      <w:r>
        <w:lastRenderedPageBreak/>
        <w:t>Economic Impact: Sports analytics applications provide proof-of-principle for commercial deployment in a global market worth £3.8 billion by 2025. Broader applications to autonomous systems, logistics optimization, and traffic management represent multi-</w:t>
      </w:r>
      <w:proofErr w:type="gramStart"/>
      <w:r>
        <w:t>billion pound</w:t>
      </w:r>
      <w:proofErr w:type="gramEnd"/>
      <w:r>
        <w:t xml:space="preserve"> markets. For traffic management, optimising competitive flow at complex intersections could reduce congestion by 20-25%, delivering substantial economic benefits through reduced journey times and improved productivity.</w:t>
      </w:r>
    </w:p>
    <w:p w14:paraId="291AFB8A" w14:textId="77777777" w:rsidR="00ED4C40" w:rsidRDefault="00ED4C40" w:rsidP="00ED4C40">
      <w:r>
        <w:t>Environmental Impact: Improved traffic flow optimization directly reduces vehicle emissions and urban air quality degradation. Ecological applications to predator-prey dynamics support conservation efforts in threatened ecosystems, providing quantitative tools for ecosystem management and biodiversity protection.</w:t>
      </w:r>
    </w:p>
    <w:p w14:paraId="0B3093AF" w14:textId="77777777" w:rsidR="00ED4C40" w:rsidRDefault="00ED4C40" w:rsidP="00ED4C40">
      <w:r>
        <w:t>Direct and Indirect Benefits and Beneficiaries:</w:t>
      </w:r>
    </w:p>
    <w:p w14:paraId="619E5D0A" w14:textId="77777777" w:rsidR="00ED4C40" w:rsidRDefault="00ED4C40" w:rsidP="00ED4C40">
      <w:r>
        <w:t>Direct Beneficiaries (within project, 0-2 years): Mathematical sciences community gains new theoretical frameworks and computational methods through peer-reviewed publications and open-source software. Sports science researchers access validated quantitative tools for tactical analysis. Industry partners (championship clubs, Genius Sports, Borussia Dortmund) receive analytical methods for immediate application. The research community benefits from reproducible workflows and documented software.</w:t>
      </w:r>
    </w:p>
    <w:p w14:paraId="136438E1" w14:textId="77777777" w:rsidR="00ED4C40" w:rsidRDefault="00ED4C40" w:rsidP="00ED4C40">
      <w:r>
        <w:t xml:space="preserve">Indirect Beneficiaries (medium term, 2-5 years): Emergency services gain crowd management prediction systems for major events and transport hubs. Transportation </w:t>
      </w:r>
      <w:proofErr w:type="spellStart"/>
      <w:r>
        <w:t>authorities</w:t>
      </w:r>
      <w:proofErr w:type="spellEnd"/>
      <w:r>
        <w:t xml:space="preserve"> access traffic optimization platforms for complex intersections and airport operations. Conservation organisations obtain ecosystem monitoring tools for predator-prey dynamics. Autonomous systems developers acquire multi-agent coordination algorithms for warehouse robotics and aerial vehicle fleets. Educational institutions benefit from mathematical pedagogy resources demonstrating real-world applications of abstract topology.</w:t>
      </w:r>
    </w:p>
    <w:p w14:paraId="06E6C6F7" w14:textId="77777777" w:rsidR="00ED4C40" w:rsidRDefault="00ED4C40" w:rsidP="00ED4C40">
      <w:r>
        <w:t>Broader Beneficiaries (long term, 5+ years): Policymakers gain evidence-based decision tools for public infrastructure investment and safety planning. Society broadly benefits from improved safety at crowded venues, reduced traffic congestion and emissions, enhanced emergency response capabilities, and better understanding of how complex systems coordinate under competitive pressure.</w:t>
      </w:r>
    </w:p>
    <w:p w14:paraId="5E6BA02F" w14:textId="77777777" w:rsidR="00ED4C40" w:rsidRDefault="00ED4C40" w:rsidP="00ED4C40">
      <w:r>
        <w:t xml:space="preserve">Pathway to Larger Research Programme: This 12-month Small Grant serves as a critical stepping stone to a 36-month Standard Grant by generating robust multi-match validation establishing generalisability, producing peer-reviewed publications demonstrating methodological validity, proving feasibility with diverse real-world data, and validating industry partnerships for impact demonstration. The focused scope addresses pattern formation and evolution in championship football specifically, providing a contained but complete research arc. This foundation enables a larger </w:t>
      </w:r>
      <w:r>
        <w:lastRenderedPageBreak/>
        <w:t>programme to expand theoretical frameworks (stability conditions, bifurcation analysis, predictive modeling), broaden applications (autonomous systems, crowd dynamics, biological collectives), and develop real-time computational tools for practical deployment. The preliminary results from this small grant will directly support a Standard Grant application submission within 18 months of project completion.</w:t>
      </w:r>
    </w:p>
    <w:p w14:paraId="61ED1C97" w14:textId="77777777" w:rsidR="00ED4C40" w:rsidRDefault="00ED4C40" w:rsidP="00ED4C40"/>
    <w:p w14:paraId="606EADD0" w14:textId="77777777" w:rsidR="00ED4C40" w:rsidRDefault="00ED4C40" w:rsidP="00ED4C40">
      <w:r>
        <w:t>APPROACH</w:t>
      </w:r>
    </w:p>
    <w:p w14:paraId="110EE00E" w14:textId="77777777" w:rsidR="00ED4C40" w:rsidRDefault="00ED4C40" w:rsidP="00ED4C40">
      <w:r>
        <w:t>Design for Effective Achievement of Objectives: Our work validates and extends the multi-scale TDA framework through four integrated objectives with clear success criteria:</w:t>
      </w:r>
    </w:p>
    <w:p w14:paraId="02B62440" w14:textId="77777777" w:rsidR="00ED4C40" w:rsidRDefault="00ED4C40" w:rsidP="00ED4C40">
      <w:r>
        <w:t>Objective 1: Validate Generalisability (Months 1-6)</w:t>
      </w:r>
    </w:p>
    <w:p w14:paraId="20995057" w14:textId="77777777" w:rsidR="00ED4C40" w:rsidRDefault="00ED4C40" w:rsidP="00ED4C40">
      <w:r>
        <w:t>Analyse 10-15 championship matches covering diverse teams, formations, and match contexts to establish statistical robustness.</w:t>
      </w:r>
    </w:p>
    <w:p w14:paraId="34ABF013" w14:textId="77777777" w:rsidR="00ED4C40" w:rsidRDefault="00ED4C40" w:rsidP="00ED4C40">
      <w:r>
        <w:t>Success criteria: Validation rates &gt;90% at all scales; effect sizes r&gt;0.5 for performance correlations; statistically significant patterns with FDR correction p&lt;0.05.</w:t>
      </w:r>
    </w:p>
    <w:p w14:paraId="4325EAE9" w14:textId="77777777" w:rsidR="00ED4C40" w:rsidRDefault="00ED4C40" w:rsidP="00ED4C40">
      <w:r>
        <w:t>Objective 2: Characterise Pattern Formation (Months 3-8)</w:t>
      </w:r>
    </w:p>
    <w:p w14:paraId="20B1B69A" w14:textId="77777777" w:rsidR="00ED4C40" w:rsidRDefault="00ED4C40" w:rsidP="00ED4C40">
      <w:r>
        <w:t>Quantify how tactical patterns emerge from initial configurations, identifying formation times and baseline signatures.</w:t>
      </w:r>
    </w:p>
    <w:p w14:paraId="5CB6F022" w14:textId="77777777" w:rsidR="00ED4C40" w:rsidRDefault="00ED4C40" w:rsidP="00ED4C40">
      <w:r>
        <w:t>Success criteria: Quantified time-to-stability metrics across matches; baseline signatures for ≥3 tactical systems (4-4-2, 4-3-3, 3-5-2); statistical significance p&lt;0.05 for system differences.</w:t>
      </w:r>
    </w:p>
    <w:p w14:paraId="71273F69" w14:textId="77777777" w:rsidR="00ED4C40" w:rsidRDefault="00ED4C40" w:rsidP="00ED4C40">
      <w:r>
        <w:t>Objective 3: Track Pattern Evolution (Months 6-10)</w:t>
      </w:r>
    </w:p>
    <w:p w14:paraId="09B8910A" w14:textId="77777777" w:rsidR="00ED4C40" w:rsidRDefault="00ED4C40" w:rsidP="00ED4C40">
      <w:r>
        <w:t>Develop methods for classifying stability regimes and characterising transitions between topological states.</w:t>
      </w:r>
    </w:p>
    <w:p w14:paraId="08A0E3B5" w14:textId="77777777" w:rsidR="00ED4C40" w:rsidRDefault="00ED4C40" w:rsidP="00ED4C40">
      <w:r>
        <w:t>Success criteria: Identified stability regimes (stable, transitional, chaotic); transition probability estimation; temporal correlation analysis showing systematic evolution patterns.</w:t>
      </w:r>
    </w:p>
    <w:p w14:paraId="1F4C5DA3" w14:textId="77777777" w:rsidR="00ED4C40" w:rsidRDefault="00ED4C40" w:rsidP="00ED4C40">
      <w:r>
        <w:t>Objective 4: Event-Topology Relationships (Months 8-12)</w:t>
      </w:r>
    </w:p>
    <w:p w14:paraId="4FB1099C" w14:textId="77777777" w:rsidR="00ED4C40" w:rsidRDefault="00ED4C40" w:rsidP="00ED4C40">
      <w:r>
        <w:t>Test whether topological patterns predict system transitions triggered by discrete events (goals, substitutions, possession changes).</w:t>
      </w:r>
    </w:p>
    <w:p w14:paraId="55CA85E1" w14:textId="77777777" w:rsidR="00ED4C40" w:rsidRDefault="00ED4C40" w:rsidP="00ED4C40">
      <w:r>
        <w:t>Success criteria: ≥3 significant event-topology correlations; validated early warning signals from loop dynamics; predictive model evaluation with ROC curves.</w:t>
      </w:r>
    </w:p>
    <w:p w14:paraId="557EEB45" w14:textId="77777777" w:rsidR="00ED4C40" w:rsidRDefault="00ED4C40" w:rsidP="00ED4C40">
      <w:r>
        <w:lastRenderedPageBreak/>
        <w:t>Each objective builds sequentially while allowing parallel work, ensuring efficient use of resources and generating results throughout the project timeline.</w:t>
      </w:r>
    </w:p>
    <w:p w14:paraId="01148A71" w14:textId="77777777" w:rsidR="00ED4C40" w:rsidRDefault="00ED4C40" w:rsidP="00ED4C40">
      <w:r>
        <w:t>Feasibility and Risk Management: The project is highly feasible with comprehensive risk mitigation:</w:t>
      </w:r>
    </w:p>
    <w:tbl>
      <w:tblPr>
        <w:tblStyle w:val="TableGrid"/>
        <w:tblW w:w="0" w:type="auto"/>
        <w:tblLook w:val="04A0" w:firstRow="1" w:lastRow="0" w:firstColumn="1" w:lastColumn="0" w:noHBand="0" w:noVBand="1"/>
      </w:tblPr>
      <w:tblGrid>
        <w:gridCol w:w="1999"/>
        <w:gridCol w:w="1706"/>
        <w:gridCol w:w="1650"/>
        <w:gridCol w:w="1903"/>
        <w:gridCol w:w="1758"/>
      </w:tblGrid>
      <w:tr w:rsidR="00673F67" w14:paraId="6EBFB410" w14:textId="77777777" w:rsidTr="00726EAB">
        <w:tc>
          <w:tcPr>
            <w:tcW w:w="1803" w:type="dxa"/>
          </w:tcPr>
          <w:p w14:paraId="07A6FBF1" w14:textId="57D2EDF2" w:rsidR="00726EAB" w:rsidRDefault="00726EAB" w:rsidP="00ED4C40">
            <w:r>
              <w:rPr>
                <w:rFonts w:ascii="-webkit-standard" w:hAnsi="-webkit-standard"/>
                <w:color w:val="000000"/>
                <w:sz w:val="27"/>
                <w:szCs w:val="27"/>
              </w:rPr>
              <w:t>Risk</w:t>
            </w:r>
          </w:p>
        </w:tc>
        <w:tc>
          <w:tcPr>
            <w:tcW w:w="1803" w:type="dxa"/>
          </w:tcPr>
          <w:p w14:paraId="2C1C06D9" w14:textId="4101889C" w:rsidR="00726EAB" w:rsidRDefault="00726EAB" w:rsidP="00ED4C40">
            <w:r>
              <w:rPr>
                <w:rStyle w:val="Strong"/>
                <w:color w:val="000000"/>
              </w:rPr>
              <w:t>Probability</w:t>
            </w:r>
          </w:p>
        </w:tc>
        <w:tc>
          <w:tcPr>
            <w:tcW w:w="1803" w:type="dxa"/>
          </w:tcPr>
          <w:p w14:paraId="4A3F7272" w14:textId="74BC2B38" w:rsidR="00726EAB" w:rsidRDefault="00726EAB" w:rsidP="00ED4C40">
            <w:r>
              <w:rPr>
                <w:rStyle w:val="Strong"/>
                <w:color w:val="000000"/>
              </w:rPr>
              <w:t>Impact</w:t>
            </w:r>
          </w:p>
        </w:tc>
        <w:tc>
          <w:tcPr>
            <w:tcW w:w="1803" w:type="dxa"/>
          </w:tcPr>
          <w:p w14:paraId="7F16616B" w14:textId="1D3EA537" w:rsidR="00726EAB" w:rsidRDefault="00726EAB" w:rsidP="00ED4C40">
            <w:r>
              <w:rPr>
                <w:rStyle w:val="Strong"/>
                <w:color w:val="000000"/>
              </w:rPr>
              <w:t>Mitigation</w:t>
            </w:r>
            <w:r w:rsidR="00673F67">
              <w:rPr>
                <w:rStyle w:val="Strong"/>
                <w:color w:val="000000"/>
              </w:rPr>
              <w:t xml:space="preserve"> </w:t>
            </w:r>
            <w:r w:rsidR="00673F67">
              <w:rPr>
                <w:rStyle w:val="Strong"/>
                <w:color w:val="000000"/>
              </w:rPr>
              <w:t>Strategy</w:t>
            </w:r>
          </w:p>
        </w:tc>
        <w:tc>
          <w:tcPr>
            <w:tcW w:w="1804" w:type="dxa"/>
          </w:tcPr>
          <w:p w14:paraId="18A43631" w14:textId="0754E6CE" w:rsidR="00726EAB" w:rsidRDefault="00726EAB" w:rsidP="00ED4C40">
            <w:r>
              <w:rPr>
                <w:rStyle w:val="Strong"/>
                <w:color w:val="000000"/>
              </w:rPr>
              <w:t>Timeline</w:t>
            </w:r>
          </w:p>
        </w:tc>
      </w:tr>
      <w:tr w:rsidR="00673F67" w14:paraId="795B22A2" w14:textId="77777777" w:rsidTr="00726EAB">
        <w:tc>
          <w:tcPr>
            <w:tcW w:w="1803" w:type="dxa"/>
          </w:tcPr>
          <w:p w14:paraId="4B6BC7D7" w14:textId="13D9C5C1" w:rsidR="00726EAB" w:rsidRDefault="00673F67" w:rsidP="00ED4C40">
            <w:r>
              <w:rPr>
                <w:rFonts w:ascii="-webkit-standard" w:hAnsi="-webkit-standard"/>
                <w:color w:val="000000"/>
                <w:sz w:val="27"/>
                <w:szCs w:val="27"/>
              </w:rPr>
              <w:t xml:space="preserve">GPS data access </w:t>
            </w:r>
            <w:r>
              <w:rPr>
                <w:rFonts w:ascii="-webkit-standard" w:hAnsi="-webkit-standard"/>
                <w:color w:val="000000"/>
                <w:sz w:val="27"/>
                <w:szCs w:val="27"/>
              </w:rPr>
              <w:t>d</w:t>
            </w:r>
            <w:r>
              <w:rPr>
                <w:rFonts w:ascii="-webkit-standard" w:hAnsi="-webkit-standard"/>
                <w:sz w:val="27"/>
                <w:szCs w:val="27"/>
              </w:rPr>
              <w:t>elayed</w:t>
            </w:r>
          </w:p>
        </w:tc>
        <w:tc>
          <w:tcPr>
            <w:tcW w:w="1803" w:type="dxa"/>
          </w:tcPr>
          <w:p w14:paraId="00DE70E1" w14:textId="0D4FDB5B" w:rsidR="00726EAB" w:rsidRDefault="00673F67" w:rsidP="00ED4C40">
            <w:r>
              <w:rPr>
                <w:rFonts w:ascii="-webkit-standard" w:hAnsi="-webkit-standard"/>
                <w:color w:val="000000"/>
                <w:sz w:val="27"/>
                <w:szCs w:val="27"/>
              </w:rPr>
              <w:t>Medium</w:t>
            </w:r>
            <w:r>
              <w:rPr>
                <w:rFonts w:ascii="-webkit-standard" w:hAnsi="-webkit-standard"/>
                <w:color w:val="000000"/>
                <w:sz w:val="27"/>
                <w:szCs w:val="27"/>
              </w:rPr>
              <w:t xml:space="preserve"> </w:t>
            </w:r>
          </w:p>
        </w:tc>
        <w:tc>
          <w:tcPr>
            <w:tcW w:w="1803" w:type="dxa"/>
          </w:tcPr>
          <w:p w14:paraId="709D1F2F" w14:textId="2D0E4DAC" w:rsidR="00726EAB" w:rsidRDefault="00673F67" w:rsidP="00ED4C40">
            <w:r>
              <w:rPr>
                <w:rFonts w:ascii="-webkit-standard" w:hAnsi="-webkit-standard"/>
                <w:color w:val="000000"/>
                <w:sz w:val="27"/>
                <w:szCs w:val="27"/>
              </w:rPr>
              <w:t>Low</w:t>
            </w:r>
            <w:r>
              <w:rPr>
                <w:rFonts w:ascii="-webkit-standard" w:hAnsi="-webkit-standard"/>
                <w:color w:val="000000"/>
                <w:sz w:val="27"/>
                <w:szCs w:val="27"/>
              </w:rPr>
              <w:t xml:space="preserve"> </w:t>
            </w:r>
          </w:p>
        </w:tc>
        <w:tc>
          <w:tcPr>
            <w:tcW w:w="1803" w:type="dxa"/>
          </w:tcPr>
          <w:p w14:paraId="56C237CC" w14:textId="2B81F4E6" w:rsidR="00726EAB" w:rsidRDefault="00673F67" w:rsidP="00ED4C40">
            <w:r>
              <w:rPr>
                <w:rFonts w:ascii="-webkit-standard" w:hAnsi="-webkit-standard"/>
                <w:color w:val="000000"/>
                <w:sz w:val="27"/>
                <w:szCs w:val="27"/>
              </w:rPr>
              <w:t>Proceed with broadcast data (validated approach); activate backup pathways (Genius Sports UK, Borussia Dortmund)</w:t>
            </w:r>
            <w:r>
              <w:rPr>
                <w:rFonts w:ascii="-webkit-standard" w:hAnsi="-webkit-standard"/>
                <w:color w:val="000000"/>
                <w:sz w:val="27"/>
                <w:szCs w:val="27"/>
              </w:rPr>
              <w:t xml:space="preserve"> </w:t>
            </w:r>
          </w:p>
        </w:tc>
        <w:tc>
          <w:tcPr>
            <w:tcW w:w="1804" w:type="dxa"/>
          </w:tcPr>
          <w:p w14:paraId="73E37DB9" w14:textId="339CF4F2" w:rsidR="00726EAB" w:rsidRDefault="00673F67" w:rsidP="00ED4C40">
            <w:r>
              <w:rPr>
                <w:rFonts w:ascii="-webkit-standard" w:hAnsi="-webkit-standard"/>
                <w:color w:val="000000"/>
                <w:sz w:val="27"/>
                <w:szCs w:val="27"/>
              </w:rPr>
              <w:t>Month 1: Initiate discussions; Month 4: Activate backup if needed</w:t>
            </w:r>
          </w:p>
        </w:tc>
      </w:tr>
      <w:tr w:rsidR="00673F67" w14:paraId="161ACC56" w14:textId="77777777" w:rsidTr="00726EAB">
        <w:tc>
          <w:tcPr>
            <w:tcW w:w="1803" w:type="dxa"/>
          </w:tcPr>
          <w:p w14:paraId="384C876E" w14:textId="5A9B0C0F" w:rsidR="00726EAB" w:rsidRDefault="00673F67" w:rsidP="00673F67">
            <w:pPr>
              <w:jc w:val="center"/>
            </w:pPr>
            <w:r>
              <w:rPr>
                <w:rFonts w:ascii="-webkit-standard" w:hAnsi="-webkit-standard"/>
                <w:color w:val="000000"/>
                <w:sz w:val="27"/>
                <w:szCs w:val="27"/>
              </w:rPr>
              <w:t>Insufficient generalisability</w:t>
            </w:r>
            <w:r>
              <w:rPr>
                <w:rFonts w:ascii="-webkit-standard" w:hAnsi="-webkit-standard"/>
                <w:color w:val="000000"/>
                <w:sz w:val="27"/>
                <w:szCs w:val="27"/>
              </w:rPr>
              <w:t xml:space="preserve"> </w:t>
            </w:r>
          </w:p>
        </w:tc>
        <w:tc>
          <w:tcPr>
            <w:tcW w:w="1803" w:type="dxa"/>
          </w:tcPr>
          <w:p w14:paraId="6AF4540F" w14:textId="18157922" w:rsidR="00726EAB" w:rsidRDefault="00673F67" w:rsidP="00ED4C40">
            <w:r>
              <w:rPr>
                <w:rFonts w:ascii="-webkit-standard" w:hAnsi="-webkit-standard"/>
                <w:color w:val="000000"/>
                <w:sz w:val="27"/>
                <w:szCs w:val="27"/>
              </w:rPr>
              <w:t>Low</w:t>
            </w:r>
            <w:r>
              <w:rPr>
                <w:rFonts w:ascii="-webkit-standard" w:hAnsi="-webkit-standard"/>
                <w:color w:val="000000"/>
                <w:sz w:val="27"/>
                <w:szCs w:val="27"/>
              </w:rPr>
              <w:t xml:space="preserve"> </w:t>
            </w:r>
          </w:p>
        </w:tc>
        <w:tc>
          <w:tcPr>
            <w:tcW w:w="1803" w:type="dxa"/>
          </w:tcPr>
          <w:p w14:paraId="3A49C021" w14:textId="6FEAFBE2" w:rsidR="00726EAB" w:rsidRDefault="00673F67" w:rsidP="00ED4C40">
            <w:r>
              <w:rPr>
                <w:rFonts w:ascii="-webkit-standard" w:hAnsi="-webkit-standard"/>
                <w:color w:val="000000"/>
                <w:sz w:val="27"/>
                <w:szCs w:val="27"/>
              </w:rPr>
              <w:t>Medium</w:t>
            </w:r>
            <w:r>
              <w:rPr>
                <w:rFonts w:ascii="-webkit-standard" w:hAnsi="-webkit-standard"/>
                <w:color w:val="000000"/>
                <w:sz w:val="27"/>
                <w:szCs w:val="27"/>
              </w:rPr>
              <w:t xml:space="preserve"> </w:t>
            </w:r>
          </w:p>
        </w:tc>
        <w:tc>
          <w:tcPr>
            <w:tcW w:w="1803" w:type="dxa"/>
          </w:tcPr>
          <w:p w14:paraId="3A5C956B" w14:textId="2AF12646" w:rsidR="00726EAB" w:rsidRDefault="00673F67" w:rsidP="00ED4C40">
            <w:r>
              <w:rPr>
                <w:rFonts w:ascii="-webkit-standard" w:hAnsi="-webkit-standard"/>
                <w:color w:val="000000"/>
                <w:sz w:val="27"/>
                <w:szCs w:val="27"/>
              </w:rPr>
              <w:t>Large effect sizes observed (r=0.68); N=10 sufficient for 80% power; diverse match selection strategy</w:t>
            </w:r>
            <w:r>
              <w:rPr>
                <w:rFonts w:ascii="-webkit-standard" w:hAnsi="-webkit-standard"/>
                <w:color w:val="000000"/>
                <w:sz w:val="27"/>
                <w:szCs w:val="27"/>
              </w:rPr>
              <w:t xml:space="preserve"> </w:t>
            </w:r>
          </w:p>
        </w:tc>
        <w:tc>
          <w:tcPr>
            <w:tcW w:w="1804" w:type="dxa"/>
          </w:tcPr>
          <w:p w14:paraId="0CDD0523" w14:textId="00560F2B" w:rsidR="00726EAB" w:rsidRDefault="00673F67" w:rsidP="00ED4C40">
            <w:r>
              <w:rPr>
                <w:rFonts w:ascii="-webkit-standard" w:hAnsi="-webkit-standard"/>
                <w:color w:val="000000"/>
                <w:sz w:val="27"/>
                <w:szCs w:val="27"/>
              </w:rPr>
              <w:t>Month 6: Interim analysis; Month 9: Adjust sampling if needed</w:t>
            </w:r>
          </w:p>
        </w:tc>
      </w:tr>
      <w:tr w:rsidR="00673F67" w14:paraId="2F635ABF" w14:textId="77777777" w:rsidTr="00726EAB">
        <w:tc>
          <w:tcPr>
            <w:tcW w:w="1803" w:type="dxa"/>
          </w:tcPr>
          <w:p w14:paraId="1D1DB0B3" w14:textId="421BC9DE" w:rsidR="00726EAB" w:rsidRDefault="00673F67" w:rsidP="00ED4C40">
            <w:r>
              <w:rPr>
                <w:rFonts w:ascii="-webkit-standard" w:hAnsi="-webkit-standard"/>
                <w:color w:val="000000"/>
                <w:sz w:val="27"/>
                <w:szCs w:val="27"/>
              </w:rPr>
              <w:t>Event correlation complexity</w:t>
            </w:r>
            <w:r>
              <w:rPr>
                <w:rFonts w:ascii="-webkit-standard" w:hAnsi="-webkit-standard"/>
                <w:color w:val="000000"/>
                <w:sz w:val="27"/>
                <w:szCs w:val="27"/>
              </w:rPr>
              <w:t xml:space="preserve"> </w:t>
            </w:r>
            <w:r>
              <w:rPr>
                <w:rFonts w:ascii="-webkit-standard" w:hAnsi="-webkit-standard"/>
                <w:color w:val="000000"/>
                <w:sz w:val="27"/>
                <w:szCs w:val="27"/>
              </w:rPr>
              <w:t>10: Expand to complex events if successful</w:t>
            </w:r>
          </w:p>
        </w:tc>
        <w:tc>
          <w:tcPr>
            <w:tcW w:w="1803" w:type="dxa"/>
          </w:tcPr>
          <w:p w14:paraId="17107203" w14:textId="6CB3E345" w:rsidR="00726EAB" w:rsidRDefault="00673F67" w:rsidP="00ED4C40">
            <w:r>
              <w:rPr>
                <w:rFonts w:ascii="-webkit-standard" w:hAnsi="-webkit-standard"/>
                <w:color w:val="000000"/>
                <w:sz w:val="27"/>
                <w:szCs w:val="27"/>
              </w:rPr>
              <w:t>Medium</w:t>
            </w:r>
            <w:r>
              <w:rPr>
                <w:rFonts w:ascii="-webkit-standard" w:hAnsi="-webkit-standard"/>
                <w:color w:val="000000"/>
                <w:sz w:val="27"/>
                <w:szCs w:val="27"/>
              </w:rPr>
              <w:t xml:space="preserve"> </w:t>
            </w:r>
          </w:p>
        </w:tc>
        <w:tc>
          <w:tcPr>
            <w:tcW w:w="1803" w:type="dxa"/>
          </w:tcPr>
          <w:p w14:paraId="6CF28C4B" w14:textId="6F5BA22F" w:rsidR="00726EAB" w:rsidRDefault="00673F67" w:rsidP="00ED4C40">
            <w:r>
              <w:rPr>
                <w:rFonts w:ascii="-webkit-standard" w:hAnsi="-webkit-standard"/>
                <w:color w:val="000000"/>
                <w:sz w:val="27"/>
                <w:szCs w:val="27"/>
              </w:rPr>
              <w:t>Low</w:t>
            </w:r>
            <w:r>
              <w:rPr>
                <w:rFonts w:ascii="-webkit-standard" w:hAnsi="-webkit-standard"/>
                <w:color w:val="000000"/>
                <w:sz w:val="27"/>
                <w:szCs w:val="27"/>
              </w:rPr>
              <w:t xml:space="preserve"> </w:t>
            </w:r>
          </w:p>
        </w:tc>
        <w:tc>
          <w:tcPr>
            <w:tcW w:w="1803" w:type="dxa"/>
          </w:tcPr>
          <w:p w14:paraId="2FFD03B8" w14:textId="5C0FE0CF" w:rsidR="00726EAB" w:rsidRDefault="00673F67" w:rsidP="00ED4C40">
            <w:r>
              <w:rPr>
                <w:rFonts w:ascii="-webkit-standard" w:hAnsi="-webkit-standard"/>
                <w:color w:val="000000"/>
                <w:sz w:val="27"/>
                <w:szCs w:val="27"/>
              </w:rPr>
              <w:t>Start with high-signal events (goals, substitutions); apply FDR correction for multiple testing</w:t>
            </w:r>
            <w:r>
              <w:rPr>
                <w:rFonts w:ascii="-webkit-standard" w:hAnsi="-webkit-standard"/>
                <w:color w:val="000000"/>
                <w:sz w:val="27"/>
                <w:szCs w:val="27"/>
              </w:rPr>
              <w:t xml:space="preserve"> </w:t>
            </w:r>
          </w:p>
        </w:tc>
        <w:tc>
          <w:tcPr>
            <w:tcW w:w="1804" w:type="dxa"/>
          </w:tcPr>
          <w:p w14:paraId="18848808" w14:textId="68304255" w:rsidR="00726EAB" w:rsidRDefault="00673F67" w:rsidP="00ED4C40">
            <w:r>
              <w:rPr>
                <w:rFonts w:ascii="-webkit-standard" w:hAnsi="-webkit-standard"/>
                <w:color w:val="000000"/>
                <w:sz w:val="27"/>
                <w:szCs w:val="27"/>
              </w:rPr>
              <w:t>Month 8: Begin with clear events; Month</w:t>
            </w:r>
          </w:p>
        </w:tc>
      </w:tr>
      <w:tr w:rsidR="00673F67" w14:paraId="217F294E" w14:textId="77777777" w:rsidTr="00726EAB">
        <w:tc>
          <w:tcPr>
            <w:tcW w:w="1803" w:type="dxa"/>
          </w:tcPr>
          <w:p w14:paraId="119D21F0" w14:textId="031F523E" w:rsidR="00726EAB" w:rsidRDefault="00673F67" w:rsidP="00ED4C40">
            <w:r>
              <w:rPr>
                <w:rFonts w:ascii="-webkit-standard" w:hAnsi="-webkit-standard"/>
                <w:color w:val="000000"/>
                <w:sz w:val="27"/>
                <w:szCs w:val="27"/>
              </w:rPr>
              <w:t>RA recruitment delayed</w:t>
            </w:r>
            <w:r>
              <w:rPr>
                <w:rFonts w:ascii="-webkit-standard" w:hAnsi="-webkit-standard"/>
                <w:color w:val="000000"/>
                <w:sz w:val="27"/>
                <w:szCs w:val="27"/>
              </w:rPr>
              <w:t xml:space="preserve"> </w:t>
            </w:r>
          </w:p>
        </w:tc>
        <w:tc>
          <w:tcPr>
            <w:tcW w:w="1803" w:type="dxa"/>
          </w:tcPr>
          <w:p w14:paraId="542BB1C7" w14:textId="50F852D0" w:rsidR="00726EAB" w:rsidRDefault="00673F67" w:rsidP="00ED4C40">
            <w:r>
              <w:rPr>
                <w:rFonts w:ascii="-webkit-standard" w:hAnsi="-webkit-standard"/>
                <w:color w:val="000000"/>
                <w:sz w:val="27"/>
                <w:szCs w:val="27"/>
              </w:rPr>
              <w:t>Low</w:t>
            </w:r>
            <w:r>
              <w:rPr>
                <w:rFonts w:ascii="-webkit-standard" w:hAnsi="-webkit-standard"/>
                <w:color w:val="000000"/>
                <w:sz w:val="27"/>
                <w:szCs w:val="27"/>
              </w:rPr>
              <w:t xml:space="preserve"> </w:t>
            </w:r>
          </w:p>
        </w:tc>
        <w:tc>
          <w:tcPr>
            <w:tcW w:w="1803" w:type="dxa"/>
          </w:tcPr>
          <w:p w14:paraId="2B5004F9" w14:textId="775AC9DD" w:rsidR="00726EAB" w:rsidRDefault="00673F67" w:rsidP="00ED4C40">
            <w:r>
              <w:rPr>
                <w:rFonts w:ascii="-webkit-standard" w:hAnsi="-webkit-standard"/>
                <w:color w:val="000000"/>
                <w:sz w:val="27"/>
                <w:szCs w:val="27"/>
              </w:rPr>
              <w:t>Medium</w:t>
            </w:r>
            <w:r>
              <w:rPr>
                <w:rFonts w:ascii="-webkit-standard" w:hAnsi="-webkit-standard"/>
                <w:color w:val="000000"/>
                <w:sz w:val="27"/>
                <w:szCs w:val="27"/>
              </w:rPr>
              <w:t xml:space="preserve"> </w:t>
            </w:r>
          </w:p>
        </w:tc>
        <w:tc>
          <w:tcPr>
            <w:tcW w:w="1803" w:type="dxa"/>
          </w:tcPr>
          <w:p w14:paraId="37DB8A97" w14:textId="1E909ED5" w:rsidR="00726EAB" w:rsidRDefault="00673F67" w:rsidP="00ED4C40">
            <w:r>
              <w:rPr>
                <w:rFonts w:ascii="-webkit-standard" w:hAnsi="-webkit-standard"/>
                <w:color w:val="000000"/>
                <w:sz w:val="27"/>
                <w:szCs w:val="27"/>
              </w:rPr>
              <w:t>Early advertising (Month -2); competitive salary; interesting cross-</w:t>
            </w:r>
            <w:r>
              <w:rPr>
                <w:rFonts w:ascii="-webkit-standard" w:hAnsi="-webkit-standard"/>
                <w:color w:val="000000"/>
                <w:sz w:val="27"/>
                <w:szCs w:val="27"/>
              </w:rPr>
              <w:lastRenderedPageBreak/>
              <w:t xml:space="preserve">disciplinary project scope </w:t>
            </w:r>
          </w:p>
        </w:tc>
        <w:tc>
          <w:tcPr>
            <w:tcW w:w="1804" w:type="dxa"/>
          </w:tcPr>
          <w:p w14:paraId="7C609D4A" w14:textId="2D2A04DB" w:rsidR="00726EAB" w:rsidRDefault="00673F67" w:rsidP="00ED4C40">
            <w:r>
              <w:rPr>
                <w:rFonts w:ascii="-webkit-standard" w:hAnsi="-webkit-standard"/>
                <w:color w:val="000000"/>
                <w:sz w:val="27"/>
                <w:szCs w:val="27"/>
              </w:rPr>
              <w:lastRenderedPageBreak/>
              <w:t>Month 1: Advertise widely; Month 2: Interview; Month 3: RA starts</w:t>
            </w:r>
          </w:p>
        </w:tc>
      </w:tr>
    </w:tbl>
    <w:p w14:paraId="5809A3B1" w14:textId="77777777" w:rsidR="00726EAB" w:rsidRDefault="00726EAB" w:rsidP="00ED4C40"/>
    <w:p w14:paraId="513BA003" w14:textId="77777777" w:rsidR="00ED4C40" w:rsidRDefault="00ED4C40" w:rsidP="00ED4C40">
      <w:r>
        <w:t>Our framework has been validated on single-match data with clear results and computational efficiency (&lt;2s per frame). Mature open-source libraries (</w:t>
      </w:r>
      <w:proofErr w:type="spellStart"/>
      <w:r>
        <w:t>ripser</w:t>
      </w:r>
      <w:proofErr w:type="spellEnd"/>
      <w:r>
        <w:t xml:space="preserve">, GUDHI, </w:t>
      </w:r>
      <w:proofErr w:type="spellStart"/>
      <w:r>
        <w:t>giotto-tda</w:t>
      </w:r>
      <w:proofErr w:type="spellEnd"/>
      <w:r>
        <w:t>) provide robust software infrastructure. Current broadcast data access is secured through championship partnerships with sufficient precision for framework validation. The primary technical risk concerns enhanced GPS data access, but multiple independent pathways (Genius Sports UK; Borussia Dortmund Germany) and the validated broadcast data approach provide strong fallback options. Multi-match generalisability risk is low given large observed effect sizes and statistical power analysis. All risks have clear mitigation strategies, defined decision points, and fallback options ensuring project success regardless of external dependencies.</w:t>
      </w:r>
    </w:p>
    <w:p w14:paraId="777677D4" w14:textId="77777777" w:rsidR="00ED4C40" w:rsidRDefault="00ED4C40" w:rsidP="00ED4C40">
      <w:r>
        <w:t>Clear and Transparent Methodology: Our methodology follows a transparent, reproducible framework built on validated preliminary work.</w:t>
      </w:r>
    </w:p>
    <w:p w14:paraId="16DFF55B" w14:textId="77777777" w:rsidR="00ED4C40" w:rsidRDefault="00ED4C40" w:rsidP="00ED4C40">
      <w:r>
        <w:t>Data Sources: Championship football tracking data including currently secured broadcast tracking (10-25Hz optical tracking, multiple seasons, diverse teams) and target GPS tracking data (25Hz, subject to partnership agreement) with multiple access pathways. Data selection strategy ensures diverse tactical contexts: different teams (varying resources and styles), different formations (4-4-2, 4-3-3, 3-5-2), different match situations (winning, losing, drawing), and different match phases (first half, second half, injury time).</w:t>
      </w:r>
    </w:p>
    <w:p w14:paraId="28D468C5" w14:textId="77777777" w:rsidR="00ED4C40" w:rsidRDefault="00ED4C40" w:rsidP="00ED4C40">
      <w:r>
        <w:t xml:space="preserve">Multi-Scale TDA Framework (validated in preliminary work): (1) Point cloud construction from 22-player positions at each time t; (2) GPS-aware preprocessing with hierarchical clustering at validated cutoff distances to handle measurement artifacts; (3) Scale-validated analysis at three distinct scales with proven validation rates—individual scale (2.98m, 99% validation), tactical scale (12.0m, 96% validation), team scale (30.0m, 100% validation); (4) Adaptive filtration using data-driven thresholds that adjust to each scale, enabling consistent pattern detection across all resolutions; (5) Persistent homology computation using </w:t>
      </w:r>
      <w:proofErr w:type="spellStart"/>
      <w:r>
        <w:t>ripser</w:t>
      </w:r>
      <w:proofErr w:type="spellEnd"/>
      <w:r>
        <w:t xml:space="preserve"> library for H0 (connected components showing distinct player groups) and H1 (loops/holes revealing structural gaps); (6) Closed cycle identification through geometric realisation of H1 generators for tactical interpretation.</w:t>
      </w:r>
    </w:p>
    <w:p w14:paraId="77C416B1" w14:textId="77777777" w:rsidR="00ED4C40" w:rsidRDefault="00ED4C40" w:rsidP="00ED4C40">
      <w:r>
        <w:t>Pattern Formation Methods: Initialisation detection (identify formation start times from temporal derivatives), emergence tracking (monitor H0/H1 feature counts over time), time-to-pattern metrics (quantify stabilisation timescales), and baseline signature establishment (characterise typical patterns for each formation type).</w:t>
      </w:r>
    </w:p>
    <w:p w14:paraId="38A78F4B" w14:textId="77777777" w:rsidR="00ED4C40" w:rsidRDefault="00ED4C40" w:rsidP="00ED4C40">
      <w:r>
        <w:t xml:space="preserve">Temporal Evolution Methods: Persistence landscape analysis (Bubenik 2015) for functional representation, stability regime identification (classify </w:t>
      </w:r>
      <w:r>
        <w:lastRenderedPageBreak/>
        <w:t>stable/transitional/chaotic phases using landscape variance), transition detection (identify significant topology changes via landscape distance metrics), and match phase correlation (relate evolution to game state).</w:t>
      </w:r>
    </w:p>
    <w:p w14:paraId="0F3107FE" w14:textId="77777777" w:rsidR="00ED4C40" w:rsidRDefault="00ED4C40" w:rsidP="00ED4C40">
      <w:r>
        <w:t>Event Correlation Framework: Temporal windowing ([-30s, +30s] around events), permutation testing (null hypothesis: random event timing), FDR correction (control false discovery rate for multiple comparisons), and effect size quantification (measure correlation strength and predictive power).</w:t>
      </w:r>
    </w:p>
    <w:p w14:paraId="670C4348" w14:textId="77777777" w:rsidR="00ED4C40" w:rsidRDefault="00ED4C40" w:rsidP="00ED4C40">
      <w:r>
        <w:t>All methods implemented in open-source Python with documented workflows. Code repository established Month 1 with continuous version control, comprehensive documentation for reproducibility, and public release Month 12 enabling community validation and extension.</w:t>
      </w:r>
    </w:p>
    <w:p w14:paraId="5C7E2135" w14:textId="77777777" w:rsidR="00ED4C40" w:rsidRDefault="00ED4C40" w:rsidP="00ED4C40">
      <w:r>
        <w:t>Previous Work and Building Upon It: Our preliminary work completed comprehensive single-match validation establishing feasibility and generating strong evidence. We validated three topological scales with rates exceeding 95%, detected 523 H1 loops across 149 frames using adaptive filtration, implemented closed cycle identification algorithms for tactical interpretation, and identified temporal trends showing increasing pattern stability over match time (tactical structures showing 19% greater persistence in later phases). Most significantly, preliminary analysis revealed strong performance correlations (r=0.68, p&lt;0.001) between H1 persistence and attacking effectiveness.</w:t>
      </w:r>
    </w:p>
    <w:p w14:paraId="6DCCD85A" w14:textId="77777777" w:rsidR="00ED4C40" w:rsidRDefault="00ED4C40" w:rsidP="00ED4C40">
      <w:r>
        <w:t>Methodological innovations developed include GPS-aware clustering resolving H0 artifacts from measurement noise, adaptive filtration enabling multi-scale H1 detection (fixed parameters fail at larger scales), closed cycle extraction algorithms for geometric interpretation, and temporal persistence landscape implementation for evolution tracking. This preliminary work used broadcast tracking data, demonstrating framework robustness without requiring GPS precision—making the approach widely applicable across data sources.</w:t>
      </w:r>
    </w:p>
    <w:p w14:paraId="6694D653" w14:textId="77777777" w:rsidR="00ED4C40" w:rsidRDefault="00ED4C40" w:rsidP="00ED4C40">
      <w:r>
        <w:t>This grant builds systematically upon preliminary results: from single match to multiple matches (validation to generalisability), from detection to formation (identifying patterns to understanding emergence), from trends to theory (observing evolution to characterising dynamics), and from correlations to validation (preliminary associations to robust statistical evidence). The research integrates with established TDA literature (</w:t>
      </w:r>
      <w:proofErr w:type="spellStart"/>
      <w:r>
        <w:t>Edelsbrunner</w:t>
      </w:r>
      <w:proofErr w:type="spellEnd"/>
      <w:r>
        <w:t xml:space="preserve"> &amp; Harer 2010; Cohen-Steiner et al. 2007; Bubenik 2015; Perea &amp; Harer 2015; Bauer 2021) while making novel contributions as the first multi-scale persistent homology application to competitive, coupled, high-frequency dynamical systems. The methodological innovations (adaptive filtration, GPS-aware preprocessing) represent genuine contributions to computational topology, not merely applications of existing tools.</w:t>
      </w:r>
    </w:p>
    <w:p w14:paraId="76EF2210" w14:textId="77777777" w:rsidR="00ED4C40" w:rsidRDefault="00ED4C40" w:rsidP="00ED4C40">
      <w:r>
        <w:lastRenderedPageBreak/>
        <w:t>Maximising Translation of Outputs into Outcomes and Impacts: The project design maximises translation through multiple coordinated pathways with specific mechanisms and timelines:</w:t>
      </w:r>
    </w:p>
    <w:p w14:paraId="4EFABFF0" w14:textId="77777777" w:rsidR="00ED4C40" w:rsidRDefault="00ED4C40" w:rsidP="00ED4C40">
      <w:r>
        <w:t>Academic Translation: Paper submission within Month 11 targeting top-tier journals (SIAM Journal on Applied Mathematics, Journal of Applied and Computational Topology, PLOS ONE) with 6-month review cycles enabling publication during Standard Grant application period. Conference presentations at SIAM Dynamical Systems (biennial), Applied Topology conferences, and mathematical sciences workshops. Open-source code release Month 12 with comprehensive documentation, tutorial notebooks, and reproducible examples enabling community adoption and validation.</w:t>
      </w:r>
    </w:p>
    <w:p w14:paraId="04A24B42" w14:textId="77777777" w:rsidR="00ED4C40" w:rsidRDefault="00ED4C40" w:rsidP="00ED4C40">
      <w:r>
        <w:t>Industry Translation: Quarterly progress meetings with championship clubs and Genius Sports (Months 3, 6, 9, 12) presenting intermediate results. Live demonstrations at Month 6 (preliminary multi-match results) and Month 11 (complete framework validation) showing practical analytical capabilities. Technical reports for industry partners translating mathematical findings into tactical insights. Partnership agreement negotiations for enhanced data access supporting future research.</w:t>
      </w:r>
    </w:p>
    <w:p w14:paraId="612DDA1F" w14:textId="77777777" w:rsidR="00ED4C40" w:rsidRDefault="00ED4C40" w:rsidP="00ED4C40">
      <w:r>
        <w:t>Larger Grant Preparation: Standard Grant proposal preparation Months 10-11 incorporating validated multi-match results as preliminary evidence. Robust statistical evidence supporting feasibility claims. Peer-reviewed methodology establishing scientific credibility. Demonstrated industry partnerships proving impact pathway viability. The small grant timeline explicitly designed to generate results before Standard Grant submission.</w:t>
      </w:r>
    </w:p>
    <w:p w14:paraId="3715CB7A" w14:textId="77777777" w:rsidR="00ED4C40" w:rsidRDefault="00ED4C40" w:rsidP="00ED4C40">
      <w:r>
        <w:t>Cross-Disciplinary Applications: Mathematical framework inherently applicable to any competitive multi-agent system: swarm robotics (drone coordination under conflicting objectives), crowd dynamics (opposing pedestrian flows), biological systems (predator-prey spatial patterns), traffic management (vehicle competition for space/routes). Publications emphasize mathematical generality beyond sports analytics.</w:t>
      </w:r>
    </w:p>
    <w:p w14:paraId="5A2BD698" w14:textId="77777777" w:rsidR="00ED4C40" w:rsidRDefault="00ED4C40" w:rsidP="00ED4C40">
      <w:r>
        <w:t>Public Engagement: Sports analytics blog series (Months 6, 9, 12) translating findings for general audiences using accessible visualizations. University public lectures demonstrating real-world mathematics applications. Media engagement through institutional press office for high-impact results.</w:t>
      </w:r>
    </w:p>
    <w:p w14:paraId="5ED465CD" w14:textId="723DC6D7" w:rsidR="00ED4C40" w:rsidRDefault="00ED4C40" w:rsidP="00ED4C40">
      <w:r>
        <w:t xml:space="preserve">Research Environment Contribution to Success: The project benefits from </w:t>
      </w:r>
      <w:r w:rsidR="00673F67">
        <w:t>Swansea University</w:t>
      </w:r>
      <w:r>
        <w:t>'s research environment with established strengths in computational mathematics, data science, sports analytics</w:t>
      </w:r>
      <w:r w:rsidR="00673F67">
        <w:t xml:space="preserve"> within the </w:t>
      </w:r>
      <w:r w:rsidR="00673F67" w:rsidRPr="00673F67">
        <w:t>Zienkiewicz</w:t>
      </w:r>
      <w:r w:rsidR="00673F67">
        <w:t xml:space="preserve"> Institute</w:t>
      </w:r>
      <w:r>
        <w:t>.</w:t>
      </w:r>
    </w:p>
    <w:p w14:paraId="1552487C" w14:textId="6574D180" w:rsidR="00ED4C40" w:rsidRDefault="00ED4C40" w:rsidP="00ED4C40">
      <w:r>
        <w:t>Computational Infrastructure: High-performance computing cluster</w:t>
      </w:r>
      <w:r w:rsidR="008A3563">
        <w:t>, Super</w:t>
      </w:r>
      <w:r w:rsidR="00BA63EC">
        <w:t xml:space="preserve">computing Wales, </w:t>
      </w:r>
      <w:r>
        <w:t xml:space="preserve">with </w:t>
      </w:r>
      <w:r w:rsidR="00BA63EC">
        <w:t>2-Petaflops computing power</w:t>
      </w:r>
      <w:r>
        <w:t xml:space="preserve"> enabling &lt;</w:t>
      </w:r>
      <w:r w:rsidR="00BA63EC">
        <w:t>1</w:t>
      </w:r>
      <w:r>
        <w:t xml:space="preserve">s per-frame processing for real-time analysis feasibility. Secure data storage facilities </w:t>
      </w:r>
      <w:r w:rsidR="00BA63EC">
        <w:t xml:space="preserve">(100 </w:t>
      </w:r>
      <w:r>
        <w:t xml:space="preserve">TB) compliant with GDPR </w:t>
      </w:r>
      <w:r>
        <w:lastRenderedPageBreak/>
        <w:t>requirements for commercial partnerships. Institutional software licenses for MATLAB, Python scientific computing environments, and visuali</w:t>
      </w:r>
      <w:r w:rsidR="00BA63EC">
        <w:t>s</w:t>
      </w:r>
      <w:r>
        <w:t>ation tools.</w:t>
      </w:r>
    </w:p>
    <w:p w14:paraId="10B37CD0" w14:textId="5B339CAC" w:rsidR="00ED4C40" w:rsidRDefault="00ED4C40" w:rsidP="00ED4C40">
      <w:r>
        <w:t>Institutional Support: Research Office provides partnership agreement negotiation support (demonstrated through existing). Ethics approval processes fast-tracked for secondary data analysis (typical 4-week turnaround for non-clinical studies). Dedicated Impact Officer supporting industry engagement, technology transfer pathways, and partnership development. Grant support services assisting with larger grant proposal preparation and submission.</w:t>
      </w:r>
    </w:p>
    <w:p w14:paraId="50C80124" w14:textId="1BFBBCC8" w:rsidR="00ED4C40" w:rsidRDefault="00ED4C40" w:rsidP="00ED4C40">
      <w:r>
        <w:t>Data Access and Partnerships: Secured championship broadcast data through</w:t>
      </w:r>
      <w:r w:rsidR="00BA63EC">
        <w:t xml:space="preserve"> SCAFC agreement with </w:t>
      </w:r>
      <w:proofErr w:type="spellStart"/>
      <w:r w:rsidR="00BA63EC">
        <w:t>Statsbomb</w:t>
      </w:r>
      <w:proofErr w:type="spellEnd"/>
      <w:r>
        <w:t xml:space="preserve">. Target GPS data via ongoing discussions with Genius Sports initiated </w:t>
      </w:r>
      <w:r w:rsidR="00BA63EC">
        <w:t>01/06/2025</w:t>
      </w:r>
      <w:r>
        <w:t xml:space="preserve"> and backup pathway through </w:t>
      </w:r>
      <w:r w:rsidR="00BA63EC">
        <w:t>ongoing university research agreements with Oval.</w:t>
      </w:r>
      <w:r>
        <w:t xml:space="preserve"> Multiple independent pathways reduce single-point-of-failure risk.</w:t>
      </w:r>
    </w:p>
    <w:p w14:paraId="23E0AA28" w14:textId="143DD933" w:rsidR="00ED4C40" w:rsidRDefault="00ED4C40" w:rsidP="00ED4C40">
      <w:r>
        <w:t xml:space="preserve">Team Environment and Expertise: Weekly research group meetings providing peer feedback and methodology refinement. Established relationships </w:t>
      </w:r>
      <w:r w:rsidR="00BA63EC">
        <w:t xml:space="preserve">between Biomedical engineering, </w:t>
      </w:r>
      <w:r>
        <w:t xml:space="preserve">sports science </w:t>
      </w:r>
      <w:r w:rsidR="00BA63EC">
        <w:t>and mathematics</w:t>
      </w:r>
      <w:r>
        <w:t xml:space="preserve"> researchers. Track record of successful industry partnerships demonstrated through</w:t>
      </w:r>
      <w:r w:rsidR="00BA63EC">
        <w:t xml:space="preserve"> ongoing or complete PhD’s at INEOS, Swansea City AFC, Ospreys, Scarlets and </w:t>
      </w:r>
      <w:proofErr w:type="spellStart"/>
      <w:r w:rsidR="00BA63EC">
        <w:t>SwimWales</w:t>
      </w:r>
      <w:proofErr w:type="spellEnd"/>
      <w:r>
        <w:t>. Institutional research culture emphasises open science with support for open-source code release, data management, and reproducible research practices.</w:t>
      </w:r>
    </w:p>
    <w:p w14:paraId="7CEC7F78" w14:textId="2E9D91C7" w:rsidR="00ED4C40" w:rsidRDefault="00ED4C40" w:rsidP="00ED4C40">
      <w:r>
        <w:t xml:space="preserve">Team Structure: Project delivered by Research Associate (1.0 FTE, </w:t>
      </w:r>
      <w:r w:rsidR="007A668B">
        <w:t>6</w:t>
      </w:r>
      <w:r>
        <w:t xml:space="preserve"> months</w:t>
      </w:r>
      <w:r w:rsidR="00BA63EC">
        <w:t xml:space="preserve"> [total budget is £100k]</w:t>
      </w:r>
      <w:r>
        <w:t xml:space="preserve">) with expertise in computational topology and data analysis, supervised by PI </w:t>
      </w:r>
      <w:r w:rsidR="00BA63EC">
        <w:t>Dr Rowan Brown</w:t>
      </w:r>
      <w:r w:rsidR="007A668B">
        <w:t xml:space="preserve">, co-PI’s Prof’s Gibin </w:t>
      </w:r>
      <w:proofErr w:type="spellStart"/>
      <w:r w:rsidR="007A668B">
        <w:t>Powathil</w:t>
      </w:r>
      <w:proofErr w:type="spellEnd"/>
      <w:r w:rsidR="007A668B">
        <w:t xml:space="preserve"> and </w:t>
      </w:r>
      <w:r>
        <w:t xml:space="preserve"> </w:t>
      </w:r>
      <w:r w:rsidR="007A668B">
        <w:t xml:space="preserve">Liam Kilduff </w:t>
      </w:r>
      <w:r>
        <w:t xml:space="preserve">who </w:t>
      </w:r>
      <w:r w:rsidR="007A668B">
        <w:t xml:space="preserve">together </w:t>
      </w:r>
      <w:r>
        <w:t xml:space="preserve">bring </w:t>
      </w:r>
      <w:r w:rsidR="00BA63EC">
        <w:t xml:space="preserve">expertise </w:t>
      </w:r>
      <w:r w:rsidR="00726EAB">
        <w:t xml:space="preserve"> of</w:t>
      </w:r>
      <w:r w:rsidR="00BA63EC">
        <w:t xml:space="preserve"> applied mathematics in physics, biology and sport analytics.</w:t>
      </w:r>
      <w:r>
        <w:t xml:space="preserve"> RA focuses on method implementation, multi-match analysis execution, and paper preparation. PI provides strategic direction, theoretical guidance, industry partnership management, and larger grant preparation. This lean team structure ensures efficient resource use while maintaining scientific rigor and enabling timely delivery.</w:t>
      </w:r>
    </w:p>
    <w:p w14:paraId="70CD3DC2" w14:textId="17E30E9D" w:rsidR="004B0054" w:rsidRDefault="00ED4C40" w:rsidP="00ED4C40">
      <w:r>
        <w:t>The research environment directly enables project success by ensuring data access through established partnerships, providing computational capability for large-scale analysis, offering institutional support for industry engagement and impact activities, and delivering team expertise in both mathematical foundations and applied sports analytics. The combination of technical infrastructure, partnership networks, and institutional support mechanisms creates optimal conditions for achieving all four project objectives within the 12-month timeline.</w:t>
      </w:r>
    </w:p>
    <w:sectPr w:rsidR="004B0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C40"/>
    <w:rsid w:val="001A2D89"/>
    <w:rsid w:val="002663D9"/>
    <w:rsid w:val="004B0054"/>
    <w:rsid w:val="00597FEA"/>
    <w:rsid w:val="00673F67"/>
    <w:rsid w:val="00726EAB"/>
    <w:rsid w:val="007A668B"/>
    <w:rsid w:val="008A3563"/>
    <w:rsid w:val="009A7F5B"/>
    <w:rsid w:val="00BA63EC"/>
    <w:rsid w:val="00ED3B76"/>
    <w:rsid w:val="00ED4C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07D009"/>
  <w15:chartTrackingRefBased/>
  <w15:docId w15:val="{7AA736EE-F4F2-934A-AE8A-6C8BE9995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C40"/>
    <w:rPr>
      <w:rFonts w:eastAsiaTheme="majorEastAsia" w:cstheme="majorBidi"/>
      <w:color w:val="272727" w:themeColor="text1" w:themeTint="D8"/>
    </w:rPr>
  </w:style>
  <w:style w:type="paragraph" w:styleId="Title">
    <w:name w:val="Title"/>
    <w:basedOn w:val="Normal"/>
    <w:next w:val="Normal"/>
    <w:link w:val="TitleChar"/>
    <w:uiPriority w:val="10"/>
    <w:qFormat/>
    <w:rsid w:val="00ED4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C40"/>
    <w:pPr>
      <w:spacing w:before="160"/>
      <w:jc w:val="center"/>
    </w:pPr>
    <w:rPr>
      <w:i/>
      <w:iCs/>
      <w:color w:val="404040" w:themeColor="text1" w:themeTint="BF"/>
    </w:rPr>
  </w:style>
  <w:style w:type="character" w:customStyle="1" w:styleId="QuoteChar">
    <w:name w:val="Quote Char"/>
    <w:basedOn w:val="DefaultParagraphFont"/>
    <w:link w:val="Quote"/>
    <w:uiPriority w:val="29"/>
    <w:rsid w:val="00ED4C40"/>
    <w:rPr>
      <w:i/>
      <w:iCs/>
      <w:color w:val="404040" w:themeColor="text1" w:themeTint="BF"/>
    </w:rPr>
  </w:style>
  <w:style w:type="paragraph" w:styleId="ListParagraph">
    <w:name w:val="List Paragraph"/>
    <w:basedOn w:val="Normal"/>
    <w:uiPriority w:val="34"/>
    <w:qFormat/>
    <w:rsid w:val="00ED4C40"/>
    <w:pPr>
      <w:ind w:left="720"/>
      <w:contextualSpacing/>
    </w:pPr>
  </w:style>
  <w:style w:type="character" w:styleId="IntenseEmphasis">
    <w:name w:val="Intense Emphasis"/>
    <w:basedOn w:val="DefaultParagraphFont"/>
    <w:uiPriority w:val="21"/>
    <w:qFormat/>
    <w:rsid w:val="00ED4C40"/>
    <w:rPr>
      <w:i/>
      <w:iCs/>
      <w:color w:val="0F4761" w:themeColor="accent1" w:themeShade="BF"/>
    </w:rPr>
  </w:style>
  <w:style w:type="paragraph" w:styleId="IntenseQuote">
    <w:name w:val="Intense Quote"/>
    <w:basedOn w:val="Normal"/>
    <w:next w:val="Normal"/>
    <w:link w:val="IntenseQuoteChar"/>
    <w:uiPriority w:val="30"/>
    <w:qFormat/>
    <w:rsid w:val="00ED4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C40"/>
    <w:rPr>
      <w:i/>
      <w:iCs/>
      <w:color w:val="0F4761" w:themeColor="accent1" w:themeShade="BF"/>
    </w:rPr>
  </w:style>
  <w:style w:type="character" w:styleId="IntenseReference">
    <w:name w:val="Intense Reference"/>
    <w:basedOn w:val="DefaultParagraphFont"/>
    <w:uiPriority w:val="32"/>
    <w:qFormat/>
    <w:rsid w:val="00ED4C40"/>
    <w:rPr>
      <w:b/>
      <w:bCs/>
      <w:smallCaps/>
      <w:color w:val="0F4761" w:themeColor="accent1" w:themeShade="BF"/>
      <w:spacing w:val="5"/>
    </w:rPr>
  </w:style>
  <w:style w:type="table" w:styleId="TableGrid">
    <w:name w:val="Table Grid"/>
    <w:basedOn w:val="TableNormal"/>
    <w:uiPriority w:val="39"/>
    <w:rsid w:val="00726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26E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9</Pages>
  <Words>3456</Words>
  <Characters>19702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2</cp:revision>
  <dcterms:created xsi:type="dcterms:W3CDTF">2025-12-03T16:29:00Z</dcterms:created>
  <dcterms:modified xsi:type="dcterms:W3CDTF">2025-12-04T11:14:00Z</dcterms:modified>
</cp:coreProperties>
</file>