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Proposed Work: Vision and Approach</w:t>
      </w:r>
    </w:p>
    <w:p>
      <w:pPr>
        <w:pStyle w:val="Heading1"/>
      </w:pPr>
      <w:r>
        <w:t>Vision</w:t>
      </w:r>
    </w:p>
    <w:p>
      <w:pPr/>
      <w:r>
        <w:t>Our proposed work is of excellent quality and importance within and beyond the relevant fields. It addresses critical gaps and introduces innovative concepts that advance current understanding and generate new knowledge.</w:t>
      </w:r>
    </w:p>
    <w:p>
      <w:pPr/>
      <w:r>
        <w:t>The project is timely, aligning with current trends and societal needs, ensuring relevance and impact.</w:t>
      </w:r>
    </w:p>
    <w:p>
      <w:pPr/>
      <w:r>
        <w:t>It will influence world-leading research and deliver benefits to society, the economy, and the environment.</w:t>
      </w:r>
    </w:p>
    <w:p>
      <w:pPr/>
      <w:r>
        <w:t>Potential beneficiaries include academic researchers, industry stakeholders, policymakers, and the wider public through improved practices and knowledge dissemination.</w:t>
      </w:r>
    </w:p>
    <w:p>
      <w:pPr>
        <w:pStyle w:val="Heading1"/>
      </w:pPr>
      <w:r>
        <w:t>Approach</w:t>
      </w:r>
    </w:p>
    <w:p>
      <w:pPr/>
      <w:r>
        <w:t>The work is designed to be effective and appropriate to achieve the stated objectives, using a robust and transparent methodology.</w:t>
      </w:r>
    </w:p>
    <w:p>
      <w:pPr/>
      <w:r>
        <w:t>Feasibility is ensured through comprehensive risk identification and mitigation strategies.</w:t>
      </w:r>
    </w:p>
    <w:p>
      <w:pPr/>
      <w:r>
        <w:t>Previous work provides a strong foundation, and this project builds upon it to deliver significant advancements.</w:t>
      </w:r>
    </w:p>
    <w:p>
      <w:pPr/>
      <w:r>
        <w:t>Outputs will be translated into outcomes and impacts through targeted dissemination and engagement activities.</w:t>
      </w:r>
    </w:p>
    <w:p>
      <w:pPr/>
      <w:r>
        <w:t>Our research environment offers access to state-of-the-art facilities, infrastructure, and equipment essential for success.</w:t>
      </w:r>
    </w:p>
    <w:p>
      <w:pPr/>
      <w:r>
        <w:t>Specific support from the host organisation includes administrative assistance, technical resources, and collaborative networks.</w:t>
      </w:r>
    </w:p>
    <w:sectPr w:rsidR="00A2088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