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CAB0BF3" w14:textId="77777777" w:rsidR="007B68F2" w:rsidRPr="0020231D" w:rsidRDefault="00000000">
      <w:pPr>
        <w:pStyle w:val="Heading1"/>
        <w:rPr>
          <w:rFonts w:ascii="Calibri" w:hAnsi="Calibri" w:cs="Calibri"/>
          <w:sz w:val="24"/>
          <w:szCs w:val="24"/>
        </w:rPr>
      </w:pPr>
      <w:bookmarkStart w:id="0" w:name="resources-and-costs"/>
      <w:r w:rsidRPr="0020231D">
        <w:rPr>
          <w:rFonts w:ascii="Calibri" w:hAnsi="Calibri" w:cs="Calibri"/>
          <w:sz w:val="24"/>
          <w:szCs w:val="24"/>
        </w:rPr>
        <w:t>RESOURCES AND COSTS</w:t>
      </w:r>
    </w:p>
    <w:p w14:paraId="7B9191A5" w14:textId="77777777" w:rsidR="007B68F2" w:rsidRPr="0020231D" w:rsidRDefault="00000000">
      <w:pPr>
        <w:pStyle w:val="Heading2"/>
        <w:rPr>
          <w:rFonts w:ascii="Calibri" w:hAnsi="Calibri" w:cs="Calibri"/>
          <w:sz w:val="24"/>
          <w:szCs w:val="24"/>
        </w:rPr>
      </w:pPr>
      <w:bookmarkStart w:id="1" w:name="staff"/>
      <w:r w:rsidRPr="0020231D">
        <w:rPr>
          <w:rFonts w:ascii="Calibri" w:hAnsi="Calibri" w:cs="Calibri"/>
          <w:sz w:val="24"/>
          <w:szCs w:val="24"/>
        </w:rPr>
        <w:t>Staff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  <w:gridCol w:w="2394"/>
      </w:tblGrid>
      <w:tr w:rsidR="007B68F2" w:rsidRPr="0020231D" w14:paraId="6253376D" w14:textId="77777777" w:rsidTr="007B68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1A8D5AC8" w14:textId="77777777" w:rsidR="007B68F2" w:rsidRPr="0020231D" w:rsidRDefault="00000000">
            <w:pPr>
              <w:pStyle w:val="Compact"/>
              <w:rPr>
                <w:rFonts w:ascii="Calibri" w:hAnsi="Calibri" w:cs="Calibri"/>
                <w:sz w:val="22"/>
                <w:szCs w:val="22"/>
              </w:rPr>
            </w:pPr>
            <w:r w:rsidRPr="0020231D">
              <w:rPr>
                <w:rFonts w:ascii="Calibri" w:hAnsi="Calibri" w:cs="Calibri"/>
                <w:sz w:val="22"/>
                <w:szCs w:val="22"/>
              </w:rPr>
              <w:t>Role</w:t>
            </w:r>
          </w:p>
        </w:tc>
        <w:tc>
          <w:tcPr>
            <w:tcW w:w="1980" w:type="dxa"/>
          </w:tcPr>
          <w:p w14:paraId="3BE07D9A" w14:textId="77777777" w:rsidR="007B68F2" w:rsidRPr="0020231D" w:rsidRDefault="00000000">
            <w:pPr>
              <w:pStyle w:val="Compact"/>
              <w:rPr>
                <w:rFonts w:ascii="Calibri" w:hAnsi="Calibri" w:cs="Calibri"/>
                <w:sz w:val="22"/>
                <w:szCs w:val="22"/>
              </w:rPr>
            </w:pPr>
            <w:r w:rsidRPr="0020231D">
              <w:rPr>
                <w:rFonts w:ascii="Calibri" w:hAnsi="Calibri" w:cs="Calibri"/>
                <w:sz w:val="22"/>
                <w:szCs w:val="22"/>
              </w:rPr>
              <w:t>Effort</w:t>
            </w:r>
          </w:p>
        </w:tc>
        <w:tc>
          <w:tcPr>
            <w:tcW w:w="1980" w:type="dxa"/>
          </w:tcPr>
          <w:p w14:paraId="2E3F59B5" w14:textId="77777777" w:rsidR="007B68F2" w:rsidRPr="0020231D" w:rsidRDefault="00000000">
            <w:pPr>
              <w:pStyle w:val="Compact"/>
              <w:rPr>
                <w:rFonts w:ascii="Calibri" w:hAnsi="Calibri" w:cs="Calibri"/>
                <w:sz w:val="22"/>
                <w:szCs w:val="22"/>
              </w:rPr>
            </w:pPr>
            <w:r w:rsidRPr="0020231D">
              <w:rPr>
                <w:rFonts w:ascii="Calibri" w:hAnsi="Calibri" w:cs="Calibri"/>
                <w:sz w:val="22"/>
                <w:szCs w:val="22"/>
              </w:rPr>
              <w:t>Window</w:t>
            </w:r>
          </w:p>
        </w:tc>
        <w:tc>
          <w:tcPr>
            <w:tcW w:w="1980" w:type="dxa"/>
          </w:tcPr>
          <w:p w14:paraId="4F6149A6" w14:textId="77777777" w:rsidR="007B68F2" w:rsidRPr="0020231D" w:rsidRDefault="00000000">
            <w:pPr>
              <w:pStyle w:val="Compact"/>
              <w:rPr>
                <w:rFonts w:ascii="Calibri" w:hAnsi="Calibri" w:cs="Calibri"/>
                <w:sz w:val="22"/>
                <w:szCs w:val="22"/>
              </w:rPr>
            </w:pPr>
            <w:r w:rsidRPr="0020231D">
              <w:rPr>
                <w:rFonts w:ascii="Calibri" w:hAnsi="Calibri" w:cs="Calibri"/>
                <w:sz w:val="22"/>
                <w:szCs w:val="22"/>
              </w:rPr>
              <w:t>Draft cost (100% fEC)</w:t>
            </w:r>
          </w:p>
        </w:tc>
      </w:tr>
      <w:tr w:rsidR="007B68F2" w:rsidRPr="0020231D" w14:paraId="35D08AC4" w14:textId="77777777">
        <w:tc>
          <w:tcPr>
            <w:tcW w:w="1980" w:type="dxa"/>
          </w:tcPr>
          <w:p w14:paraId="2D822D6F" w14:textId="77777777" w:rsidR="007B68F2" w:rsidRPr="0020231D" w:rsidRDefault="00000000">
            <w:pPr>
              <w:pStyle w:val="Compact"/>
              <w:rPr>
                <w:rFonts w:ascii="Calibri" w:hAnsi="Calibri" w:cs="Calibri"/>
                <w:sz w:val="22"/>
                <w:szCs w:val="22"/>
              </w:rPr>
            </w:pPr>
            <w:r w:rsidRPr="0020231D">
              <w:rPr>
                <w:rFonts w:ascii="Calibri" w:hAnsi="Calibri" w:cs="Calibri"/>
                <w:sz w:val="22"/>
                <w:szCs w:val="22"/>
              </w:rPr>
              <w:t>Research Associate (Grade 7, SP30)</w:t>
            </w:r>
          </w:p>
        </w:tc>
        <w:tc>
          <w:tcPr>
            <w:tcW w:w="1980" w:type="dxa"/>
          </w:tcPr>
          <w:p w14:paraId="7615D72F" w14:textId="77777777" w:rsidR="007B68F2" w:rsidRPr="0020231D" w:rsidRDefault="00000000">
            <w:pPr>
              <w:pStyle w:val="Compact"/>
              <w:rPr>
                <w:rFonts w:ascii="Calibri" w:hAnsi="Calibri" w:cs="Calibri"/>
                <w:sz w:val="22"/>
                <w:szCs w:val="22"/>
              </w:rPr>
            </w:pPr>
            <w:r w:rsidRPr="0020231D">
              <w:rPr>
                <w:rFonts w:ascii="Calibri" w:hAnsi="Calibri" w:cs="Calibri"/>
                <w:sz w:val="22"/>
                <w:szCs w:val="22"/>
              </w:rPr>
              <w:t>1.0 FTE</w:t>
            </w:r>
          </w:p>
        </w:tc>
        <w:tc>
          <w:tcPr>
            <w:tcW w:w="1980" w:type="dxa"/>
          </w:tcPr>
          <w:p w14:paraId="3EED1A70" w14:textId="77777777" w:rsidR="007B68F2" w:rsidRPr="0020231D" w:rsidRDefault="00000000">
            <w:pPr>
              <w:pStyle w:val="Compact"/>
              <w:rPr>
                <w:rFonts w:ascii="Calibri" w:hAnsi="Calibri" w:cs="Calibri"/>
                <w:sz w:val="22"/>
                <w:szCs w:val="22"/>
              </w:rPr>
            </w:pPr>
            <w:r w:rsidRPr="0020231D">
              <w:rPr>
                <w:rFonts w:ascii="Calibri" w:hAnsi="Calibri" w:cs="Calibri"/>
                <w:sz w:val="22"/>
                <w:szCs w:val="22"/>
              </w:rPr>
              <w:t xml:space="preserve">Months </w:t>
            </w:r>
            <w:r w:rsidRPr="0020231D">
              <w:rPr>
                <w:rFonts w:ascii="Calibri" w:hAnsi="Calibri" w:cs="Calibri"/>
                <w:b/>
                <w:bCs/>
                <w:sz w:val="22"/>
                <w:szCs w:val="22"/>
              </w:rPr>
              <w:t>5–10</w:t>
            </w:r>
            <w:r w:rsidRPr="0020231D">
              <w:rPr>
                <w:rFonts w:ascii="Calibri" w:hAnsi="Calibri" w:cs="Calibri"/>
                <w:sz w:val="22"/>
                <w:szCs w:val="22"/>
              </w:rPr>
              <w:t xml:space="preserve"> (6 months)</w:t>
            </w:r>
          </w:p>
        </w:tc>
        <w:tc>
          <w:tcPr>
            <w:tcW w:w="1980" w:type="dxa"/>
          </w:tcPr>
          <w:p w14:paraId="291C17FA" w14:textId="77777777" w:rsidR="007B68F2" w:rsidRPr="0020231D" w:rsidRDefault="00000000">
            <w:pPr>
              <w:pStyle w:val="Compact"/>
              <w:rPr>
                <w:rFonts w:ascii="Calibri" w:hAnsi="Calibri" w:cs="Calibri"/>
                <w:sz w:val="22"/>
                <w:szCs w:val="22"/>
              </w:rPr>
            </w:pPr>
            <w:r w:rsidRPr="0020231D">
              <w:rPr>
                <w:rFonts w:ascii="Calibri" w:hAnsi="Calibri" w:cs="Calibri"/>
                <w:sz w:val="22"/>
                <w:szCs w:val="22"/>
              </w:rPr>
              <w:t>£69,662</w:t>
            </w:r>
          </w:p>
        </w:tc>
      </w:tr>
      <w:tr w:rsidR="007B68F2" w:rsidRPr="0020231D" w14:paraId="5C1C4088" w14:textId="77777777">
        <w:tc>
          <w:tcPr>
            <w:tcW w:w="1980" w:type="dxa"/>
          </w:tcPr>
          <w:p w14:paraId="1C685CD8" w14:textId="77777777" w:rsidR="007B68F2" w:rsidRPr="0020231D" w:rsidRDefault="00000000">
            <w:pPr>
              <w:pStyle w:val="Compact"/>
              <w:rPr>
                <w:rFonts w:ascii="Calibri" w:hAnsi="Calibri" w:cs="Calibri"/>
                <w:sz w:val="22"/>
                <w:szCs w:val="22"/>
              </w:rPr>
            </w:pPr>
            <w:r w:rsidRPr="0020231D">
              <w:rPr>
                <w:rFonts w:ascii="Calibri" w:hAnsi="Calibri" w:cs="Calibri"/>
                <w:sz w:val="22"/>
                <w:szCs w:val="22"/>
              </w:rPr>
              <w:t>PI, Dr Rowan Brown</w:t>
            </w:r>
          </w:p>
        </w:tc>
        <w:tc>
          <w:tcPr>
            <w:tcW w:w="1980" w:type="dxa"/>
          </w:tcPr>
          <w:p w14:paraId="6ABE8390" w14:textId="77777777" w:rsidR="007B68F2" w:rsidRPr="0020231D" w:rsidRDefault="00000000">
            <w:pPr>
              <w:pStyle w:val="Compact"/>
              <w:rPr>
                <w:rFonts w:ascii="Calibri" w:hAnsi="Calibri" w:cs="Calibri"/>
                <w:sz w:val="22"/>
                <w:szCs w:val="22"/>
              </w:rPr>
            </w:pPr>
            <w:r w:rsidRPr="0020231D">
              <w:rPr>
                <w:rFonts w:ascii="Calibri" w:hAnsi="Calibri" w:cs="Calibri"/>
                <w:b/>
                <w:bCs/>
                <w:sz w:val="22"/>
                <w:szCs w:val="22"/>
              </w:rPr>
              <w:t>0.10 FTE</w:t>
            </w:r>
          </w:p>
        </w:tc>
        <w:tc>
          <w:tcPr>
            <w:tcW w:w="1980" w:type="dxa"/>
          </w:tcPr>
          <w:p w14:paraId="29CA14E3" w14:textId="77777777" w:rsidR="007B68F2" w:rsidRPr="0020231D" w:rsidRDefault="00000000">
            <w:pPr>
              <w:pStyle w:val="Compact"/>
              <w:rPr>
                <w:rFonts w:ascii="Calibri" w:hAnsi="Calibri" w:cs="Calibri"/>
                <w:sz w:val="22"/>
                <w:szCs w:val="22"/>
              </w:rPr>
            </w:pPr>
            <w:r w:rsidRPr="0020231D">
              <w:rPr>
                <w:rFonts w:ascii="Calibri" w:hAnsi="Calibri" w:cs="Calibri"/>
                <w:sz w:val="22"/>
                <w:szCs w:val="22"/>
              </w:rPr>
              <w:t>Months 1–12</w:t>
            </w:r>
          </w:p>
        </w:tc>
        <w:tc>
          <w:tcPr>
            <w:tcW w:w="1980" w:type="dxa"/>
          </w:tcPr>
          <w:p w14:paraId="48901FAE" w14:textId="77777777" w:rsidR="007B68F2" w:rsidRPr="0020231D" w:rsidRDefault="00000000">
            <w:pPr>
              <w:pStyle w:val="Compact"/>
              <w:rPr>
                <w:rFonts w:ascii="Calibri" w:hAnsi="Calibri" w:cs="Calibri"/>
                <w:sz w:val="22"/>
                <w:szCs w:val="22"/>
              </w:rPr>
            </w:pPr>
            <w:r w:rsidRPr="0020231D">
              <w:rPr>
                <w:rFonts w:ascii="Calibri" w:hAnsi="Calibri" w:cs="Calibri"/>
                <w:sz w:val="22"/>
                <w:szCs w:val="22"/>
              </w:rPr>
              <w:t>£17,664</w:t>
            </w:r>
          </w:p>
        </w:tc>
      </w:tr>
      <w:tr w:rsidR="007B68F2" w:rsidRPr="0020231D" w14:paraId="04757C76" w14:textId="77777777">
        <w:tc>
          <w:tcPr>
            <w:tcW w:w="1980" w:type="dxa"/>
          </w:tcPr>
          <w:p w14:paraId="42E497F1" w14:textId="77777777" w:rsidR="007B68F2" w:rsidRPr="0020231D" w:rsidRDefault="00000000">
            <w:pPr>
              <w:pStyle w:val="Compact"/>
              <w:rPr>
                <w:rFonts w:ascii="Calibri" w:hAnsi="Calibri" w:cs="Calibri"/>
                <w:sz w:val="22"/>
                <w:szCs w:val="22"/>
              </w:rPr>
            </w:pPr>
            <w:r w:rsidRPr="0020231D">
              <w:rPr>
                <w:rFonts w:ascii="Calibri" w:hAnsi="Calibri" w:cs="Calibri"/>
                <w:sz w:val="22"/>
                <w:szCs w:val="22"/>
              </w:rPr>
              <w:t>Co-I, Dr Nelly Villamizar (Mathematics)</w:t>
            </w:r>
          </w:p>
        </w:tc>
        <w:tc>
          <w:tcPr>
            <w:tcW w:w="1980" w:type="dxa"/>
          </w:tcPr>
          <w:p w14:paraId="56A5E007" w14:textId="77777777" w:rsidR="007B68F2" w:rsidRPr="0020231D" w:rsidRDefault="00000000">
            <w:pPr>
              <w:pStyle w:val="Compact"/>
              <w:rPr>
                <w:rFonts w:ascii="Calibri" w:hAnsi="Calibri" w:cs="Calibri"/>
                <w:sz w:val="22"/>
                <w:szCs w:val="22"/>
              </w:rPr>
            </w:pPr>
            <w:r w:rsidRPr="0020231D">
              <w:rPr>
                <w:rFonts w:ascii="Calibri" w:hAnsi="Calibri" w:cs="Calibri"/>
                <w:b/>
                <w:bCs/>
                <w:sz w:val="22"/>
                <w:szCs w:val="22"/>
              </w:rPr>
              <w:t>0.05 FTE</w:t>
            </w:r>
          </w:p>
        </w:tc>
        <w:tc>
          <w:tcPr>
            <w:tcW w:w="1980" w:type="dxa"/>
          </w:tcPr>
          <w:p w14:paraId="34904077" w14:textId="77777777" w:rsidR="007B68F2" w:rsidRPr="0020231D" w:rsidRDefault="00000000">
            <w:pPr>
              <w:pStyle w:val="Compact"/>
              <w:rPr>
                <w:rFonts w:ascii="Calibri" w:hAnsi="Calibri" w:cs="Calibri"/>
                <w:sz w:val="22"/>
                <w:szCs w:val="22"/>
              </w:rPr>
            </w:pPr>
            <w:r w:rsidRPr="0020231D">
              <w:rPr>
                <w:rFonts w:ascii="Calibri" w:hAnsi="Calibri" w:cs="Calibri"/>
                <w:sz w:val="22"/>
                <w:szCs w:val="22"/>
              </w:rPr>
              <w:t>Months 1–12; peak O2 Months 5–10</w:t>
            </w:r>
          </w:p>
        </w:tc>
        <w:tc>
          <w:tcPr>
            <w:tcW w:w="1980" w:type="dxa"/>
          </w:tcPr>
          <w:p w14:paraId="1D05D97E" w14:textId="77777777" w:rsidR="007B68F2" w:rsidRPr="0020231D" w:rsidRDefault="00000000">
            <w:pPr>
              <w:pStyle w:val="Compact"/>
              <w:rPr>
                <w:rFonts w:ascii="Calibri" w:hAnsi="Calibri" w:cs="Calibri"/>
                <w:sz w:val="22"/>
                <w:szCs w:val="22"/>
              </w:rPr>
            </w:pPr>
            <w:r w:rsidRPr="0020231D">
              <w:rPr>
                <w:rFonts w:ascii="Calibri" w:hAnsi="Calibri" w:cs="Calibri"/>
                <w:sz w:val="22"/>
                <w:szCs w:val="22"/>
              </w:rPr>
              <w:t>£7,862</w:t>
            </w:r>
          </w:p>
        </w:tc>
      </w:tr>
    </w:tbl>
    <w:p w14:paraId="2A346B7F" w14:textId="4E22FBE9" w:rsidR="007B68F2" w:rsidRPr="0020231D" w:rsidRDefault="00000000">
      <w:pPr>
        <w:pStyle w:val="BodyText"/>
        <w:rPr>
          <w:rFonts w:ascii="Calibri" w:hAnsi="Calibri" w:cs="Calibri"/>
          <w:sz w:val="22"/>
          <w:szCs w:val="22"/>
        </w:rPr>
      </w:pPr>
      <w:r w:rsidRPr="0020231D">
        <w:rPr>
          <w:rFonts w:ascii="Calibri" w:hAnsi="Calibri" w:cs="Calibri"/>
          <w:b/>
          <w:bCs/>
          <w:sz w:val="22"/>
          <w:szCs w:val="22"/>
        </w:rPr>
        <w:t>Swansea total:</w:t>
      </w:r>
      <w:r w:rsidRPr="0020231D">
        <w:rPr>
          <w:rFonts w:ascii="Calibri" w:hAnsi="Calibri" w:cs="Calibri"/>
          <w:sz w:val="22"/>
          <w:szCs w:val="22"/>
        </w:rPr>
        <w:t xml:space="preserve"> £95,188 at 100% fEC; £76,150 at 80%. Estates, infrastructure technicians and indirects are included in the staff subtotals above as costed by Finance.</w:t>
      </w:r>
    </w:p>
    <w:p w14:paraId="380CBC8E" w14:textId="4D37CA92" w:rsidR="007B68F2" w:rsidRPr="0020231D" w:rsidRDefault="00000000">
      <w:pPr>
        <w:pStyle w:val="BodyText"/>
        <w:rPr>
          <w:rFonts w:ascii="Calibri" w:hAnsi="Calibri" w:cs="Calibri"/>
          <w:sz w:val="22"/>
          <w:szCs w:val="22"/>
        </w:rPr>
      </w:pPr>
      <w:r w:rsidRPr="0020231D">
        <w:rPr>
          <w:rFonts w:ascii="Calibri" w:hAnsi="Calibri" w:cs="Calibri"/>
          <w:sz w:val="22"/>
          <w:szCs w:val="22"/>
        </w:rPr>
        <w:t xml:space="preserve">Open-access publication costs: UKRI block grant; not requested on this award. No equipment line: Supercomputing Wales and 100 TB storage are in-kind (§7). </w:t>
      </w:r>
    </w:p>
    <w:p w14:paraId="5BAA701F" w14:textId="77777777" w:rsidR="007B68F2" w:rsidRPr="0020231D" w:rsidRDefault="00000000">
      <w:pPr>
        <w:pStyle w:val="Heading2"/>
        <w:rPr>
          <w:rFonts w:ascii="Calibri" w:hAnsi="Calibri" w:cs="Calibri"/>
          <w:sz w:val="24"/>
          <w:szCs w:val="24"/>
        </w:rPr>
      </w:pPr>
      <w:bookmarkStart w:id="2" w:name="justification-timeline"/>
      <w:bookmarkEnd w:id="1"/>
      <w:r w:rsidRPr="0020231D">
        <w:rPr>
          <w:rFonts w:ascii="Calibri" w:hAnsi="Calibri" w:cs="Calibri"/>
          <w:sz w:val="24"/>
          <w:szCs w:val="24"/>
        </w:rPr>
        <w:t>Justification (timeline)</w:t>
      </w:r>
    </w:p>
    <w:p w14:paraId="349C3B9D" w14:textId="77777777" w:rsidR="007B68F2" w:rsidRPr="0020231D" w:rsidRDefault="00000000">
      <w:pPr>
        <w:pStyle w:val="FirstParagraph"/>
        <w:rPr>
          <w:rFonts w:ascii="Calibri" w:hAnsi="Calibri" w:cs="Calibri"/>
          <w:sz w:val="22"/>
          <w:szCs w:val="22"/>
        </w:rPr>
      </w:pPr>
      <w:r w:rsidRPr="0020231D">
        <w:rPr>
          <w:rFonts w:ascii="Calibri" w:hAnsi="Calibri" w:cs="Calibri"/>
          <w:b/>
          <w:bCs/>
          <w:sz w:val="22"/>
          <w:szCs w:val="22"/>
        </w:rPr>
        <w:t>Research Associate (Months 5–10).</w:t>
      </w:r>
      <w:r w:rsidRPr="0020231D">
        <w:rPr>
          <w:rFonts w:ascii="Calibri" w:hAnsi="Calibri" w:cs="Calibri"/>
          <w:sz w:val="22"/>
          <w:szCs w:val="22"/>
        </w:rPr>
        <w:t xml:space="preserve"> Specialist computational post for O1 scale-up and O2 implementation. Six months at 100% FTE is the delivery maximum under the £100k cap with PI 0.10 and Co-I 0.05.</w:t>
      </w:r>
    </w:p>
    <w:p w14:paraId="68A7D484" w14:textId="77777777" w:rsidR="007B68F2" w:rsidRPr="0020231D" w:rsidRDefault="00000000">
      <w:pPr>
        <w:pStyle w:val="Compact"/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20231D">
        <w:rPr>
          <w:rFonts w:ascii="Calibri" w:hAnsi="Calibri" w:cs="Calibri"/>
          <w:b/>
          <w:bCs/>
          <w:sz w:val="22"/>
          <w:szCs w:val="22"/>
        </w:rPr>
        <w:t>Months 1–4 (PI):</w:t>
      </w:r>
      <w:r w:rsidRPr="0020231D">
        <w:rPr>
          <w:rFonts w:ascii="Calibri" w:hAnsi="Calibri" w:cs="Calibri"/>
          <w:sz w:val="22"/>
          <w:szCs w:val="22"/>
        </w:rPr>
        <w:t xml:space="preserve"> runnable containerised pipeline; Month-2 cutoff gate and OSF pre-registration; O2 landscape/CUSUM specification so the RA inherits a working stack.</w:t>
      </w:r>
    </w:p>
    <w:p w14:paraId="0990CE08" w14:textId="77777777" w:rsidR="007B68F2" w:rsidRPr="0020231D" w:rsidRDefault="00000000">
      <w:pPr>
        <w:pStyle w:val="Compact"/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20231D">
        <w:rPr>
          <w:rFonts w:ascii="Calibri" w:hAnsi="Calibri" w:cs="Calibri"/>
          <w:b/>
          <w:bCs/>
          <w:sz w:val="22"/>
          <w:szCs w:val="22"/>
        </w:rPr>
        <w:t>O1 (RA Months 5–9):</w:t>
      </w:r>
      <w:r w:rsidRPr="0020231D">
        <w:rPr>
          <w:rFonts w:ascii="Calibri" w:hAnsi="Calibri" w:cs="Calibri"/>
          <w:sz w:val="22"/>
          <w:szCs w:val="22"/>
        </w:rPr>
        <w:t xml:space="preserve"> concurrent pipeline on Supercomputing Wales; full-season barcode database at Month 7 (D1). Comparison-geometry </w:t>
      </w:r>
      <w:r w:rsidRPr="0020231D">
        <w:rPr>
          <w:rFonts w:ascii="Calibri" w:hAnsi="Calibri" w:cs="Calibri"/>
          <w:i/>
          <w:iCs/>
          <w:sz w:val="22"/>
          <w:szCs w:val="22"/>
        </w:rPr>
        <w:t>results</w:t>
      </w:r>
      <w:r w:rsidRPr="0020231D">
        <w:rPr>
          <w:rFonts w:ascii="Calibri" w:hAnsi="Calibri" w:cs="Calibri"/>
          <w:sz w:val="22"/>
          <w:szCs w:val="22"/>
        </w:rPr>
        <w:t xml:space="preserve"> (Month 9) are PI-led; the RA maintains the library they use.</w:t>
      </w:r>
    </w:p>
    <w:p w14:paraId="133CC8F9" w14:textId="77777777" w:rsidR="007B68F2" w:rsidRPr="0020231D" w:rsidRDefault="00000000">
      <w:pPr>
        <w:pStyle w:val="Compact"/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20231D">
        <w:rPr>
          <w:rFonts w:ascii="Calibri" w:hAnsi="Calibri" w:cs="Calibri"/>
          <w:b/>
          <w:bCs/>
          <w:sz w:val="22"/>
          <w:szCs w:val="22"/>
        </w:rPr>
        <w:t>O2 (RA Months 5–10):</w:t>
      </w:r>
      <w:r w:rsidRPr="0020231D">
        <w:rPr>
          <w:rFonts w:ascii="Calibri" w:hAnsi="Calibri" w:cs="Calibri"/>
          <w:sz w:val="22"/>
          <w:szCs w:val="22"/>
        </w:rPr>
        <w:t xml:space="preserve"> landscape module at Month 8 (D2); support for T1/T2 statements and calibrated change-point outputs at Month 9; results finalised for the season paper at Month 10 (D3 handover).</w:t>
      </w:r>
    </w:p>
    <w:p w14:paraId="1DF6B78D" w14:textId="77777777" w:rsidR="007B68F2" w:rsidRPr="0020231D" w:rsidRDefault="00000000">
      <w:pPr>
        <w:pStyle w:val="Compact"/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20231D">
        <w:rPr>
          <w:rFonts w:ascii="Calibri" w:hAnsi="Calibri" w:cs="Calibri"/>
          <w:b/>
          <w:bCs/>
          <w:sz w:val="22"/>
          <w:szCs w:val="22"/>
        </w:rPr>
        <w:t>Evidence pack:</w:t>
      </w:r>
      <w:r w:rsidRPr="0020231D">
        <w:rPr>
          <w:rFonts w:ascii="Calibri" w:hAnsi="Calibri" w:cs="Calibri"/>
          <w:sz w:val="22"/>
          <w:szCs w:val="22"/>
        </w:rPr>
        <w:t xml:space="preserve"> RA handover at Month 10. Standard Grant </w:t>
      </w:r>
      <w:r w:rsidRPr="0020231D">
        <w:rPr>
          <w:rFonts w:ascii="Calibri" w:hAnsi="Calibri" w:cs="Calibri"/>
          <w:i/>
          <w:iCs/>
          <w:sz w:val="22"/>
          <w:szCs w:val="22"/>
        </w:rPr>
        <w:t>drafting</w:t>
      </w:r>
      <w:r w:rsidRPr="0020231D">
        <w:rPr>
          <w:rFonts w:ascii="Calibri" w:hAnsi="Calibri" w:cs="Calibri"/>
          <w:sz w:val="22"/>
          <w:szCs w:val="22"/>
        </w:rPr>
        <w:t xml:space="preserve"> begins Months 9–10 with RA input (career development). The Month-12 Standard Grant pack is PI-owned.</w:t>
      </w:r>
    </w:p>
    <w:p w14:paraId="1CEC4D74" w14:textId="77777777" w:rsidR="007B68F2" w:rsidRPr="0020231D" w:rsidRDefault="00000000">
      <w:pPr>
        <w:pStyle w:val="FirstParagraph"/>
        <w:rPr>
          <w:rFonts w:ascii="Calibri" w:hAnsi="Calibri" w:cs="Calibri"/>
          <w:sz w:val="22"/>
          <w:szCs w:val="22"/>
        </w:rPr>
      </w:pPr>
      <w:r w:rsidRPr="0020231D">
        <w:rPr>
          <w:rFonts w:ascii="Calibri" w:hAnsi="Calibri" w:cs="Calibri"/>
          <w:b/>
          <w:bCs/>
          <w:sz w:val="22"/>
          <w:szCs w:val="22"/>
        </w:rPr>
        <w:t>PI (0.10 FTE, Months 1–12).</w:t>
      </w:r>
      <w:r w:rsidRPr="0020231D">
        <w:rPr>
          <w:rFonts w:ascii="Calibri" w:hAnsi="Calibri" w:cs="Calibri"/>
          <w:sz w:val="22"/>
          <w:szCs w:val="22"/>
        </w:rPr>
        <w:t xml:space="preserve"> Pipeline and Month-2 gate; O2 specification (Month 4); O1 comparison geometry (Months 6–9); theorem work and change-point calibration with RA implementation (Months 5–9); Month-10 handover; Month-12 evidence pack; publications (methodology Months 1–2; full-season results Month 11; football-analytics paper Month 12); partnership management; PDRA recruitment, supervision and training.</w:t>
      </w:r>
    </w:p>
    <w:p w14:paraId="30641B95" w14:textId="77777777" w:rsidR="007B68F2" w:rsidRPr="0020231D" w:rsidRDefault="00000000">
      <w:pPr>
        <w:pStyle w:val="BodyText"/>
        <w:rPr>
          <w:rFonts w:ascii="Calibri" w:hAnsi="Calibri" w:cs="Calibri"/>
          <w:sz w:val="22"/>
          <w:szCs w:val="22"/>
        </w:rPr>
      </w:pPr>
      <w:r w:rsidRPr="0020231D">
        <w:rPr>
          <w:rFonts w:ascii="Calibri" w:hAnsi="Calibri" w:cs="Calibri"/>
          <w:b/>
          <w:bCs/>
          <w:sz w:val="22"/>
          <w:szCs w:val="22"/>
        </w:rPr>
        <w:t>Co-I Villamizar (0.05 FTE).</w:t>
      </w:r>
      <w:r w:rsidRPr="0020231D">
        <w:rPr>
          <w:rFonts w:ascii="Calibri" w:hAnsi="Calibri" w:cs="Calibri"/>
          <w:sz w:val="22"/>
          <w:szCs w:val="22"/>
        </w:rPr>
        <w:t xml:space="preserve"> Applied algebraic and topological mathematics guidance for landscapes, Fréchet means and the O2 well-posedness/stability targets; structured input to RA training in algebraic/topological methods; co-supervision of Month-9 inference outputs.</w:t>
      </w:r>
    </w:p>
    <w:p w14:paraId="0B82DEB3" w14:textId="77777777" w:rsidR="007B68F2" w:rsidRPr="0020231D" w:rsidRDefault="00000000">
      <w:pPr>
        <w:pStyle w:val="BodyText"/>
        <w:rPr>
          <w:rFonts w:ascii="Calibri" w:hAnsi="Calibri" w:cs="Calibri"/>
          <w:sz w:val="22"/>
          <w:szCs w:val="22"/>
        </w:rPr>
      </w:pPr>
      <w:r w:rsidRPr="0020231D">
        <w:rPr>
          <w:rFonts w:ascii="Calibri" w:hAnsi="Calibri" w:cs="Calibri"/>
          <w:b/>
          <w:bCs/>
          <w:sz w:val="22"/>
          <w:szCs w:val="22"/>
        </w:rPr>
        <w:t>Compute.</w:t>
      </w:r>
      <w:r w:rsidRPr="0020231D">
        <w:rPr>
          <w:rFonts w:ascii="Calibri" w:hAnsi="Calibri" w:cs="Calibri"/>
          <w:sz w:val="22"/>
          <w:szCs w:val="22"/>
        </w:rPr>
        <w:t xml:space="preserve"> ~1,600 CPU-hours of the PI’s 5,000-hour Supercomputing Wales allocation; 1 Hz barcodes/landscapes; embarrassingly parallel by match. No additional HPC purchase.</w:t>
      </w:r>
      <w:bookmarkEnd w:id="0"/>
      <w:bookmarkEnd w:id="2"/>
    </w:p>
    <w:sectPr w:rsidR="007B68F2" w:rsidRPr="0020231D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02F2420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2C6E40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592616768">
    <w:abstractNumId w:val="0"/>
  </w:num>
  <w:num w:numId="2" w16cid:durableId="1105417255">
    <w:abstractNumId w:val="1"/>
  </w:num>
  <w:num w:numId="3" w16cid:durableId="1409620399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5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B68F2"/>
    <w:rsid w:val="0020231D"/>
    <w:rsid w:val="007B68F2"/>
    <w:rsid w:val="00EB2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69958D"/>
  <w15:docId w15:val="{AD16CBAF-8F9D-8A43-AB61-A72D5F4E58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339</Words>
  <Characters>2069</Characters>
  <Application>Microsoft Office Word</Application>
  <DocSecurity>0</DocSecurity>
  <Lines>28</Lines>
  <Paragraphs>10</Paragraphs>
  <ScaleCrop>false</ScaleCrop>
  <Company/>
  <LinksUpToDate>false</LinksUpToDate>
  <CharactersWithSpaces>2398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Rowan Brown</cp:lastModifiedBy>
  <cp:revision>2</cp:revision>
  <dcterms:created xsi:type="dcterms:W3CDTF">2026-09-11T13:16:00Z</dcterms:created>
  <dcterms:modified xsi:type="dcterms:W3CDTF">2026-09-11T13:25:00Z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ettlr">
    <vt:lpwstr/>
  </property>
</Properties>
</file>