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63484" w14:textId="77777777" w:rsidR="003451B3" w:rsidRPr="00261144" w:rsidRDefault="00000000">
      <w:pPr>
        <w:pStyle w:val="Heading1"/>
        <w:rPr>
          <w:rFonts w:ascii="Calibri" w:hAnsi="Calibri" w:cs="Calibri"/>
          <w:sz w:val="22"/>
          <w:szCs w:val="22"/>
        </w:rPr>
      </w:pPr>
      <w:bookmarkStart w:id="0" w:name="data-management-plan"/>
      <w:r w:rsidRPr="00261144">
        <w:rPr>
          <w:rFonts w:ascii="Calibri" w:hAnsi="Calibri" w:cs="Calibri"/>
          <w:sz w:val="22"/>
          <w:szCs w:val="22"/>
        </w:rPr>
        <w:t>DATA MANAGEMENT PLAN</w:t>
      </w:r>
    </w:p>
    <w:p w14:paraId="0D73B501" w14:textId="77777777" w:rsidR="003451B3" w:rsidRPr="00261144" w:rsidRDefault="00000000">
      <w:pPr>
        <w:pStyle w:val="Heading2"/>
        <w:rPr>
          <w:rFonts w:ascii="Calibri" w:hAnsi="Calibri" w:cs="Calibri"/>
          <w:sz w:val="22"/>
          <w:szCs w:val="22"/>
        </w:rPr>
      </w:pPr>
      <w:bookmarkStart w:id="1" w:name="data-types-and-volumes"/>
      <w:r w:rsidRPr="00261144">
        <w:rPr>
          <w:rFonts w:ascii="Calibri" w:hAnsi="Calibri" w:cs="Calibri"/>
          <w:sz w:val="22"/>
          <w:szCs w:val="22"/>
        </w:rPr>
        <w:t>Data types and volumes</w:t>
      </w:r>
    </w:p>
    <w:p w14:paraId="2AF3948C" w14:textId="77777777" w:rsidR="003451B3" w:rsidRPr="00261144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261144">
        <w:rPr>
          <w:rFonts w:ascii="Calibri" w:hAnsi="Calibri" w:cs="Calibri"/>
          <w:b/>
          <w:bCs/>
          <w:sz w:val="22"/>
          <w:szCs w:val="22"/>
        </w:rPr>
        <w:t>Input (restricted).</w:t>
      </w:r>
      <w:r w:rsidRPr="00261144">
        <w:rPr>
          <w:rFonts w:ascii="Calibri" w:hAnsi="Calibri" w:cs="Calibri"/>
          <w:sz w:val="22"/>
          <w:szCs w:val="22"/>
        </w:rPr>
        <w:t xml:space="preserve"> Championship broadcast tracking and tactical labels for ~540 matches, via the Swansea City AFC–StatsBomb agreement. CSV/JSON positional coordinates. Raw volume ~50–100 GB.</w:t>
      </w:r>
    </w:p>
    <w:p w14:paraId="5D9686A4" w14:textId="77777777" w:rsidR="003451B3" w:rsidRPr="00261144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261144">
        <w:rPr>
          <w:rFonts w:ascii="Calibri" w:hAnsi="Calibri" w:cs="Calibri"/>
          <w:b/>
          <w:bCs/>
          <w:sz w:val="22"/>
          <w:szCs w:val="22"/>
        </w:rPr>
        <w:t>Generated (project).</w:t>
      </w:r>
      <w:r w:rsidRPr="00261144">
        <w:rPr>
          <w:rFonts w:ascii="Calibri" w:hAnsi="Calibri" w:cs="Calibri"/>
          <w:sz w:val="22"/>
          <w:szCs w:val="22"/>
        </w:rPr>
        <w:t xml:space="preserve"> At 1 Hz the pipeline writes barcodes, persistence landscapes and vectorised summaries per scale (§8). Season-scale processing is ~1,600 CPU-hours of the 5,000-hour Supercomputing Wales allocation. Per-match archives (compressed), not one JSON file per historical 150-frame subsample. Derived volume ~20–40 GB plus figures.</w:t>
      </w:r>
    </w:p>
    <w:p w14:paraId="72B81BDD" w14:textId="77777777" w:rsidR="003451B3" w:rsidRPr="00261144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261144">
        <w:rPr>
          <w:rFonts w:ascii="Calibri" w:hAnsi="Calibri" w:cs="Calibri"/>
          <w:b/>
          <w:bCs/>
          <w:sz w:val="22"/>
          <w:szCs w:val="22"/>
        </w:rPr>
        <w:t>Code.</w:t>
      </w:r>
      <w:r w:rsidRPr="00261144">
        <w:rPr>
          <w:rFonts w:ascii="Calibri" w:hAnsi="Calibri" w:cs="Calibri"/>
          <w:sz w:val="22"/>
          <w:szCs w:val="22"/>
        </w:rPr>
        <w:t xml:space="preserve"> Containerised Python (Ripser, GUDHI, giotto-tda); version-controlled.</w:t>
      </w:r>
    </w:p>
    <w:p w14:paraId="1C11E8C5" w14:textId="77777777" w:rsidR="003451B3" w:rsidRPr="00261144" w:rsidRDefault="00000000">
      <w:pPr>
        <w:pStyle w:val="Heading2"/>
        <w:rPr>
          <w:rFonts w:ascii="Calibri" w:hAnsi="Calibri" w:cs="Calibri"/>
          <w:sz w:val="22"/>
          <w:szCs w:val="22"/>
        </w:rPr>
      </w:pPr>
      <w:bookmarkStart w:id="2" w:name="storage-and-backup"/>
      <w:bookmarkEnd w:id="1"/>
      <w:r w:rsidRPr="00261144">
        <w:rPr>
          <w:rFonts w:ascii="Calibri" w:hAnsi="Calibri" w:cs="Calibri"/>
          <w:sz w:val="22"/>
          <w:szCs w:val="22"/>
        </w:rPr>
        <w:t>Storage and backup</w:t>
      </w:r>
    </w:p>
    <w:p w14:paraId="761B8E3A" w14:textId="77777777" w:rsidR="003451B3" w:rsidRPr="00261144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261144">
        <w:rPr>
          <w:rFonts w:ascii="Calibri" w:hAnsi="Calibri" w:cs="Calibri"/>
          <w:sz w:val="22"/>
          <w:szCs w:val="22"/>
        </w:rPr>
        <w:t>During the award: institutional research storage (daily backup), encrypted working copies, Git for code. Long-term: institutional repository (10+ years); Zenodo DOI for software and permitted aggregates; GitHub for the public codebase.</w:t>
      </w:r>
    </w:p>
    <w:p w14:paraId="1A2C3DE9" w14:textId="77777777" w:rsidR="003451B3" w:rsidRPr="00261144" w:rsidRDefault="00000000">
      <w:pPr>
        <w:pStyle w:val="Heading2"/>
        <w:rPr>
          <w:rFonts w:ascii="Calibri" w:hAnsi="Calibri" w:cs="Calibri"/>
          <w:sz w:val="22"/>
          <w:szCs w:val="22"/>
        </w:rPr>
      </w:pPr>
      <w:bookmarkStart w:id="3" w:name="what-can-be-shared"/>
      <w:bookmarkEnd w:id="2"/>
      <w:r w:rsidRPr="00261144">
        <w:rPr>
          <w:rFonts w:ascii="Calibri" w:hAnsi="Calibri" w:cs="Calibri"/>
          <w:sz w:val="22"/>
          <w:szCs w:val="22"/>
        </w:rPr>
        <w:t>What can be shared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451B3" w:rsidRPr="00261144" w14:paraId="34F72021" w14:textId="77777777" w:rsidTr="00345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4FCA6B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Asset</w:t>
            </w:r>
          </w:p>
        </w:tc>
        <w:tc>
          <w:tcPr>
            <w:tcW w:w="2640" w:type="dxa"/>
          </w:tcPr>
          <w:p w14:paraId="46153C3E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Access</w:t>
            </w:r>
          </w:p>
        </w:tc>
        <w:tc>
          <w:tcPr>
            <w:tcW w:w="2640" w:type="dxa"/>
          </w:tcPr>
          <w:p w14:paraId="37B4FA67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</w:tr>
      <w:tr w:rsidR="003451B3" w:rsidRPr="00261144" w14:paraId="321FCCA4" w14:textId="77777777">
        <w:tc>
          <w:tcPr>
            <w:tcW w:w="2640" w:type="dxa"/>
          </w:tcPr>
          <w:p w14:paraId="07985C3F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OSF pre-registration (O1/O2 plan)</w:t>
            </w:r>
          </w:p>
        </w:tc>
        <w:tc>
          <w:tcPr>
            <w:tcW w:w="2640" w:type="dxa"/>
          </w:tcPr>
          <w:p w14:paraId="7B179095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Public</w:t>
            </w:r>
          </w:p>
        </w:tc>
        <w:tc>
          <w:tcPr>
            <w:tcW w:w="2640" w:type="dxa"/>
          </w:tcPr>
          <w:p w14:paraId="5212B111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b/>
                <w:bCs/>
                <w:sz w:val="22"/>
                <w:szCs w:val="22"/>
              </w:rPr>
              <w:t>Month 2</w:t>
            </w:r>
          </w:p>
        </w:tc>
      </w:tr>
      <w:tr w:rsidR="003451B3" w:rsidRPr="00261144" w14:paraId="6A9BC928" w14:textId="77777777">
        <w:tc>
          <w:tcPr>
            <w:tcW w:w="2640" w:type="dxa"/>
          </w:tcPr>
          <w:p w14:paraId="08FA85E6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Containerised pipeline (Apptainer/Docker)</w:t>
            </w:r>
          </w:p>
        </w:tc>
        <w:tc>
          <w:tcPr>
            <w:tcW w:w="2640" w:type="dxa"/>
          </w:tcPr>
          <w:p w14:paraId="0DEF85A0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Public, DOI</w:t>
            </w:r>
          </w:p>
        </w:tc>
        <w:tc>
          <w:tcPr>
            <w:tcW w:w="2640" w:type="dxa"/>
          </w:tcPr>
          <w:p w14:paraId="38E60006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b/>
                <w:bCs/>
                <w:sz w:val="22"/>
                <w:szCs w:val="22"/>
              </w:rPr>
              <w:t>Month 10</w:t>
            </w:r>
            <w:r w:rsidRPr="00261144">
              <w:rPr>
                <w:rFonts w:ascii="Calibri" w:hAnsi="Calibri" w:cs="Calibri"/>
                <w:sz w:val="22"/>
                <w:szCs w:val="22"/>
              </w:rPr>
              <w:t xml:space="preserve"> working release; </w:t>
            </w:r>
            <w:r w:rsidRPr="00261144">
              <w:rPr>
                <w:rFonts w:ascii="Calibri" w:hAnsi="Calibri" w:cs="Calibri"/>
                <w:b/>
                <w:bCs/>
                <w:sz w:val="22"/>
                <w:szCs w:val="22"/>
              </w:rPr>
              <w:t>Month 12</w:t>
            </w:r>
            <w:r w:rsidRPr="00261144">
              <w:rPr>
                <w:rFonts w:ascii="Calibri" w:hAnsi="Calibri" w:cs="Calibri"/>
                <w:sz w:val="22"/>
                <w:szCs w:val="22"/>
              </w:rPr>
              <w:t xml:space="preserve"> archival DOI (Zenodo)</w:t>
            </w:r>
          </w:p>
        </w:tc>
      </w:tr>
      <w:tr w:rsidR="003451B3" w:rsidRPr="00261144" w14:paraId="778798BD" w14:textId="77777777">
        <w:tc>
          <w:tcPr>
            <w:tcW w:w="2640" w:type="dxa"/>
          </w:tcPr>
          <w:p w14:paraId="758101B5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Aggregated topological summaries (no recoverable player identity)</w:t>
            </w:r>
          </w:p>
        </w:tc>
        <w:tc>
          <w:tcPr>
            <w:tcW w:w="2640" w:type="dxa"/>
          </w:tcPr>
          <w:p w14:paraId="712B7875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Public, subject to partner agreement</w:t>
            </w:r>
          </w:p>
        </w:tc>
        <w:tc>
          <w:tcPr>
            <w:tcW w:w="2640" w:type="dxa"/>
          </w:tcPr>
          <w:p w14:paraId="2BB91C83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b/>
                <w:bCs/>
                <w:sz w:val="22"/>
                <w:szCs w:val="22"/>
              </w:rPr>
              <w:t>Month 12</w:t>
            </w:r>
            <w:r w:rsidRPr="00261144">
              <w:rPr>
                <w:rFonts w:ascii="Calibri" w:hAnsi="Calibri" w:cs="Calibri"/>
                <w:sz w:val="22"/>
                <w:szCs w:val="22"/>
              </w:rPr>
              <w:t>, with the full-season paper</w:t>
            </w:r>
          </w:p>
        </w:tc>
      </w:tr>
      <w:tr w:rsidR="003451B3" w:rsidRPr="00261144" w14:paraId="0899311D" w14:textId="77777777">
        <w:tc>
          <w:tcPr>
            <w:tcW w:w="2640" w:type="dxa"/>
          </w:tcPr>
          <w:p w14:paraId="27FB91FC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Methodology documentation</w:t>
            </w:r>
          </w:p>
        </w:tc>
        <w:tc>
          <w:tcPr>
            <w:tcW w:w="2640" w:type="dxa"/>
          </w:tcPr>
          <w:p w14:paraId="791C25D1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Public</w:t>
            </w:r>
          </w:p>
        </w:tc>
        <w:tc>
          <w:tcPr>
            <w:tcW w:w="2640" w:type="dxa"/>
          </w:tcPr>
          <w:p w14:paraId="47E3C8BF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With papers (methodology Months 1–2; results Month 11)</w:t>
            </w:r>
          </w:p>
        </w:tc>
      </w:tr>
      <w:tr w:rsidR="003451B3" w:rsidRPr="00261144" w14:paraId="732BFF25" w14:textId="77777777">
        <w:tc>
          <w:tcPr>
            <w:tcW w:w="2640" w:type="dxa"/>
          </w:tcPr>
          <w:p w14:paraId="77FDE452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Raw tracking and named-match feeds</w:t>
            </w:r>
          </w:p>
        </w:tc>
        <w:tc>
          <w:tcPr>
            <w:tcW w:w="2640" w:type="dxa"/>
          </w:tcPr>
          <w:p w14:paraId="622D263B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Restricted to the project team under the SCAFC–StatsBomb agreement</w:t>
            </w:r>
          </w:p>
        </w:tc>
        <w:tc>
          <w:tcPr>
            <w:tcW w:w="2640" w:type="dxa"/>
          </w:tcPr>
          <w:p w14:paraId="79209CCB" w14:textId="77777777" w:rsidR="003451B3" w:rsidRPr="00261144" w:rsidRDefault="0000000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261144">
              <w:rPr>
                <w:rFonts w:ascii="Calibri" w:hAnsi="Calibri" w:cs="Calibri"/>
                <w:sz w:val="22"/>
                <w:szCs w:val="22"/>
              </w:rPr>
              <w:t>Not for public release</w:t>
            </w:r>
          </w:p>
        </w:tc>
      </w:tr>
    </w:tbl>
    <w:p w14:paraId="79E821C1" w14:textId="77777777" w:rsidR="003451B3" w:rsidRPr="00261144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261144">
        <w:rPr>
          <w:rFonts w:ascii="Calibri" w:hAnsi="Calibri" w:cs="Calibri"/>
          <w:sz w:val="22"/>
          <w:szCs w:val="22"/>
        </w:rPr>
        <w:t>A synthetic 22-agent exemplar with known loop structure ships with the container so the method can be run without proprietary tracks.</w:t>
      </w:r>
    </w:p>
    <w:p w14:paraId="5963D7EE" w14:textId="77777777" w:rsidR="003451B3" w:rsidRPr="00261144" w:rsidRDefault="00000000">
      <w:pPr>
        <w:pStyle w:val="Heading2"/>
        <w:rPr>
          <w:rFonts w:ascii="Calibri" w:hAnsi="Calibri" w:cs="Calibri"/>
          <w:sz w:val="22"/>
          <w:szCs w:val="22"/>
        </w:rPr>
      </w:pPr>
      <w:bookmarkStart w:id="4" w:name="fair"/>
      <w:bookmarkEnd w:id="3"/>
      <w:r w:rsidRPr="00261144">
        <w:rPr>
          <w:rFonts w:ascii="Calibri" w:hAnsi="Calibri" w:cs="Calibri"/>
          <w:sz w:val="22"/>
          <w:szCs w:val="22"/>
        </w:rPr>
        <w:t>FAIR</w:t>
      </w:r>
    </w:p>
    <w:p w14:paraId="665FB82D" w14:textId="77777777" w:rsidR="003451B3" w:rsidRPr="00261144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261144">
        <w:rPr>
          <w:rFonts w:ascii="Calibri" w:hAnsi="Calibri" w:cs="Calibri"/>
          <w:sz w:val="22"/>
          <w:szCs w:val="22"/>
        </w:rPr>
        <w:t>Findable (DOIs, metadata); accessible (open software and aggregates); interoperable (CSV/JSON, documented schemas); reusable (licence, pinned dependencies, pass/fail exemplar). Raw tracks remain non-open by contract; the DMP does not promise their release.</w:t>
      </w:r>
    </w:p>
    <w:p w14:paraId="012973B6" w14:textId="77777777" w:rsidR="003451B3" w:rsidRPr="00261144" w:rsidRDefault="00000000">
      <w:pPr>
        <w:pStyle w:val="Heading2"/>
        <w:rPr>
          <w:rFonts w:ascii="Calibri" w:hAnsi="Calibri" w:cs="Calibri"/>
          <w:sz w:val="22"/>
          <w:szCs w:val="22"/>
        </w:rPr>
      </w:pPr>
      <w:bookmarkStart w:id="5" w:name="stewardship"/>
      <w:bookmarkEnd w:id="4"/>
      <w:r w:rsidRPr="00261144">
        <w:rPr>
          <w:rFonts w:ascii="Calibri" w:hAnsi="Calibri" w:cs="Calibri"/>
          <w:sz w:val="22"/>
          <w:szCs w:val="22"/>
        </w:rPr>
        <w:t>Stewardship</w:t>
      </w:r>
    </w:p>
    <w:p w14:paraId="2E48CD08" w14:textId="77777777" w:rsidR="003451B3" w:rsidRPr="00261144" w:rsidRDefault="00000000">
      <w:pPr>
        <w:pStyle w:val="FirstParagraph"/>
        <w:rPr>
          <w:rFonts w:ascii="Calibri" w:hAnsi="Calibri" w:cs="Calibri"/>
          <w:sz w:val="22"/>
          <w:szCs w:val="22"/>
        </w:rPr>
      </w:pPr>
      <w:r w:rsidRPr="00261144">
        <w:rPr>
          <w:rFonts w:ascii="Calibri" w:hAnsi="Calibri" w:cs="Calibri"/>
          <w:sz w:val="22"/>
          <w:szCs w:val="22"/>
        </w:rPr>
        <w:t>PI is data steward. RA (Months 5–10) maintains hashes and the barcode/landscape store (D1–D2). At Month 10 the store and container pass to the PI with the evidence-pack handover.</w:t>
      </w:r>
      <w:bookmarkEnd w:id="0"/>
      <w:bookmarkEnd w:id="5"/>
    </w:p>
    <w:sectPr w:rsidR="003451B3" w:rsidRPr="002611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BFE2E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45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1B3"/>
    <w:rsid w:val="00261144"/>
    <w:rsid w:val="003451B3"/>
    <w:rsid w:val="00EB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D3BFA"/>
  <w15:docId w15:val="{AD16CBAF-8F9D-8A43-AB61-A72D5F4E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289</Words>
  <Characters>1765</Characters>
  <Application>Microsoft Office Word</Application>
  <DocSecurity>0</DocSecurity>
  <Lines>24</Lines>
  <Paragraphs>8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Rowan Brown</cp:lastModifiedBy>
  <cp:revision>2</cp:revision>
  <dcterms:created xsi:type="dcterms:W3CDTF">2026-09-11T13:24:00Z</dcterms:created>
  <dcterms:modified xsi:type="dcterms:W3CDTF">2026-09-11T13:25:00Z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