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D831A" w14:textId="2EEEB5E1"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Vision</w:t>
      </w:r>
    </w:p>
    <w:p w14:paraId="6AD3DF06" w14:textId="16C4489D"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1. Quality and Mathematical Importance</w:t>
      </w:r>
    </w:p>
    <w:p w14:paraId="2C68C501" w14:textId="77777777"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Competitive collective systems are spatially distributed multi-agent systems in a bounded domain, where agents coordinate internally while responding to an active adversary. They arise in autonomous multi-agent coordination, biological collectives and tactical team sports. Statistical topology can already summarise spatial organisation in cooperative collectives, or when observations can be treated as independent. However, no unified statistical-topological framework exists to quantify how large-scale organisation emerges, evolves and undergoes structural transitions under competition. This project seeks to establish that framework.</w:t>
      </w:r>
    </w:p>
    <w:p w14:paraId="69697EE8" w14:textId="3EC57874" w:rsidR="00EF035A" w:rsidRPr="00EF035A" w:rsidRDefault="00EF035A" w:rsidP="00EF035A">
      <w:pPr>
        <w:spacing w:afterLines="30" w:after="72"/>
        <w:jc w:val="both"/>
        <w:rPr>
          <w:rFonts w:ascii="Calibri" w:hAnsi="Calibri" w:cs="Calibri"/>
          <w:sz w:val="22"/>
          <w:szCs w:val="22"/>
        </w:rPr>
      </w:pPr>
      <w:r w:rsidRPr="00EF035A">
        <w:rPr>
          <w:rFonts w:ascii="Calibri" w:hAnsi="Calibri" w:cs="Calibri"/>
          <w:b/>
          <w:bCs/>
          <w:sz w:val="22"/>
          <w:szCs w:val="22"/>
        </w:rPr>
        <w:t>Importance</w:t>
      </w:r>
      <w:r w:rsidRPr="00EF035A">
        <w:rPr>
          <w:rFonts w:ascii="Calibri" w:hAnsi="Calibri" w:cs="Calibri"/>
          <w:sz w:val="22"/>
          <w:szCs w:val="22"/>
        </w:rPr>
        <w:t>. Two obstacles limit existing approaches. Organisational structure exists at several spatial scales at once. Small interaction groups, larger formations and enclosed coverage regions coexist, yet single-threshold persistent homology [1–3] folds their signatures into one picture and hides scale-specific structure. Observations are also strongly dependent. Each agent continuously adapts to its opponents. That violates the exchangeability assumptions that underpin current statistical topology [6,8]. Multiparameter persistence [4,5] offers a theoretical route, but it remains computationally intractable at competitive data rates.</w:t>
      </w:r>
      <w:r>
        <w:rPr>
          <w:rFonts w:ascii="Calibri" w:hAnsi="Calibri" w:cs="Calibri"/>
          <w:sz w:val="22"/>
          <w:szCs w:val="22"/>
        </w:rPr>
        <w:t xml:space="preserve"> </w:t>
      </w:r>
      <w:r w:rsidRPr="00EF035A">
        <w:rPr>
          <w:rFonts w:ascii="Calibri" w:hAnsi="Calibri" w:cs="Calibri"/>
          <w:b/>
          <w:bCs/>
          <w:sz w:val="22"/>
          <w:szCs w:val="22"/>
        </w:rPr>
        <w:t>Mathematical contribution</w:t>
      </w:r>
      <w:r w:rsidRPr="00EF035A">
        <w:rPr>
          <w:rFonts w:ascii="Calibri" w:hAnsi="Calibri" w:cs="Calibri"/>
          <w:sz w:val="22"/>
          <w:szCs w:val="22"/>
        </w:rPr>
        <w:t>. Two theorem-level results are targeted. (</w:t>
      </w:r>
      <w:r w:rsidRPr="00EF035A">
        <w:rPr>
          <w:rFonts w:ascii="Calibri" w:hAnsi="Calibri" w:cs="Calibri"/>
          <w:b/>
          <w:bCs/>
          <w:sz w:val="22"/>
          <w:szCs w:val="22"/>
        </w:rPr>
        <w:t>T1</w:t>
      </w:r>
      <w:r w:rsidRPr="00EF035A">
        <w:rPr>
          <w:rFonts w:ascii="Calibri" w:hAnsi="Calibri" w:cs="Calibri"/>
          <w:sz w:val="22"/>
          <w:szCs w:val="22"/>
        </w:rPr>
        <w:t>) A unique mean path of landscape-valued topological summaries exists when observations are dependent and competitive, not only when they are exchangeable [6]. The landscape representation's linear structure secures uniqueness; boundedness of the domain discharges the integrability condition. (</w:t>
      </w:r>
      <w:r w:rsidRPr="00EF035A">
        <w:rPr>
          <w:rFonts w:ascii="Calibri" w:hAnsi="Calibri" w:cs="Calibri"/>
          <w:b/>
          <w:bCs/>
          <w:sz w:val="22"/>
          <w:szCs w:val="22"/>
        </w:rPr>
        <w:t>T2</w:t>
      </w:r>
      <w:r w:rsidRPr="00EF035A">
        <w:rPr>
          <w:rFonts w:ascii="Calibri" w:hAnsi="Calibri" w:cs="Calibri"/>
          <w:sz w:val="22"/>
          <w:szCs w:val="22"/>
        </w:rPr>
        <w:t>) Detected transitions can be localised with a proven error bound. The bound is a Wasserstein-stability result for a sequential change-point (CUSUM) statistic on landscape-valued series, under temporal dependence and a bounded domain. Both results are proved and tested at season scale (§7, Objective 2 (O2)).</w:t>
      </w:r>
      <w:r>
        <w:rPr>
          <w:rFonts w:ascii="Calibri" w:hAnsi="Calibri" w:cs="Calibri"/>
          <w:sz w:val="22"/>
          <w:szCs w:val="22"/>
        </w:rPr>
        <w:t xml:space="preserve"> </w:t>
      </w:r>
      <w:r w:rsidRPr="00EF035A">
        <w:rPr>
          <w:rFonts w:ascii="Calibri" w:hAnsi="Calibri" w:cs="Calibri"/>
          <w:b/>
          <w:bCs/>
          <w:sz w:val="22"/>
          <w:szCs w:val="22"/>
        </w:rPr>
        <w:t>Quality</w:t>
      </w:r>
      <w:r w:rsidRPr="00EF035A">
        <w:rPr>
          <w:rFonts w:ascii="Calibri" w:hAnsi="Calibri" w:cs="Calibri"/>
          <w:sz w:val="22"/>
          <w:szCs w:val="22"/>
        </w:rPr>
        <w:t>. This proposal grounds theorem-level targets in a population-scale platform capable of falsifying them. T1 and T2 are stated as explicit, checkable claims (landscape-valued uniqueness and a proven localisation error under dependence), so the results are proved or they are not. Interaction lengths are set by stability-validated spatial scales rather than arbitrary thresholds; those scales have already been recovered at pilot scale (§2) and are re-derived if they fail to transfer. Professional football tracking data then provide a fully observed, spatially bounded, population-scale platform on which both theorems are calibrated and tested.</w:t>
      </w:r>
    </w:p>
    <w:p w14:paraId="37270E5A" w14:textId="23DA14A7"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2. Background: Building on Previous Work</w:t>
      </w:r>
    </w:p>
    <w:p w14:paraId="72E3A504" w14:textId="77777777"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Topological methods have shown that spatial organisation in multi-agent systems carries structure. That structure has been demonstrated in biological aggregation, collective motion and flocking [11–13], and in topological change-point detection [14]. Those applications rely on persistent homology [1,2] and its statistical summaries [6,8,9] to track qualitative shape features across spatial scales. These summaries are stable under small measurement error [7], enabling formal statistical comparison and averaging. Multi-scale methods exist for cooperative, slowly evolving systems [10], but not for hierarchical competitive dynamics. Conventional approaches to this problem remain single-scale geometric descriptors [15,16]; none resolves the multi-scale topological structure this project targets. Our own pilot [17] takes a first step toward closing that gap, recovering three stable connected-component regimes and two complementary loop regimes across 10 realisations of a competitive collective system, in which the scales carry largely independent information.</w:t>
      </w:r>
    </w:p>
    <w:p w14:paraId="509A0BF9" w14:textId="00571A52"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3. Advancing Current Understanding and Generating New Knowledge</w:t>
      </w:r>
    </w:p>
    <w:p w14:paraId="26E6F70D" w14:textId="397F1F18"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Building on the scale decomposition from our pilot [17], two research objectives structure the project. O1 establishes the population-scale geometry on which averaging and comparison are defined, supplying moment and stability conditions for topological summaries and a metric that distinguishes competitive organisational states. O2 delivers the principal theoretical advance on that geometry, proving T1 and T2 (§1) under season-scale dependent dynamics. Together, these results extend statistical topology [6,8,9] to non-exchangeable, multi-scale competitive systems.</w:t>
      </w:r>
    </w:p>
    <w:p w14:paraId="7728CBFB" w14:textId="77777777" w:rsidR="00EF035A" w:rsidRDefault="00EF035A" w:rsidP="00EF035A">
      <w:pPr>
        <w:jc w:val="both"/>
        <w:rPr>
          <w:rFonts w:ascii="Calibri" w:hAnsi="Calibri" w:cs="Calibri"/>
          <w:b/>
          <w:bCs/>
          <w:sz w:val="22"/>
          <w:szCs w:val="22"/>
        </w:rPr>
      </w:pPr>
      <w:r w:rsidRPr="00EF035A">
        <w:rPr>
          <w:rFonts w:ascii="Calibri" w:hAnsi="Calibri" w:cs="Calibri"/>
          <w:b/>
          <w:bCs/>
          <w:sz w:val="22"/>
          <w:szCs w:val="22"/>
        </w:rPr>
        <w:t>4. Timeliness, Need and Opportunity</w:t>
      </w:r>
    </w:p>
    <w:p w14:paraId="3592FC5D" w14:textId="220D047D" w:rsidR="00EF035A" w:rsidRPr="00EF035A" w:rsidRDefault="00EF035A" w:rsidP="00EF035A">
      <w:pPr>
        <w:spacing w:after="60"/>
        <w:jc w:val="both"/>
        <w:rPr>
          <w:rFonts w:ascii="Calibri" w:hAnsi="Calibri" w:cs="Calibri"/>
          <w:b/>
          <w:bCs/>
          <w:sz w:val="22"/>
          <w:szCs w:val="22"/>
        </w:rPr>
      </w:pPr>
      <w:r w:rsidRPr="00EF035A">
        <w:rPr>
          <w:rFonts w:ascii="Calibri" w:hAnsi="Calibri" w:cs="Calibri"/>
          <w:b/>
          <w:bCs/>
          <w:i/>
          <w:iCs/>
          <w:sz w:val="22"/>
          <w:szCs w:val="22"/>
        </w:rPr>
        <w:lastRenderedPageBreak/>
        <w:t>Timeliness</w:t>
      </w:r>
      <w:r w:rsidRPr="00EF035A">
        <w:rPr>
          <w:rFonts w:ascii="Calibri" w:hAnsi="Calibri" w:cs="Calibri"/>
          <w:b/>
          <w:bCs/>
          <w:sz w:val="22"/>
          <w:szCs w:val="22"/>
        </w:rPr>
        <w:t>.</w:t>
      </w:r>
      <w:r>
        <w:rPr>
          <w:rFonts w:ascii="Calibri" w:hAnsi="Calibri" w:cs="Calibri"/>
          <w:sz w:val="22"/>
          <w:szCs w:val="22"/>
        </w:rPr>
        <w:t xml:space="preserve"> </w:t>
      </w:r>
      <w:r w:rsidRPr="00EF035A">
        <w:rPr>
          <w:rFonts w:ascii="Calibri" w:hAnsi="Calibri" w:cs="Calibri"/>
          <w:sz w:val="22"/>
          <w:szCs w:val="22"/>
        </w:rPr>
        <w:t>Three developments converge to make this project viable now. On the theoretical front, multi-scale topological statistics have reached maturity [4,6,8,9,11–14], while scalable computing (§8) and high-frequency tracking data now enable continuous observation at population scale.</w:t>
      </w:r>
      <w:r>
        <w:rPr>
          <w:rFonts w:ascii="Calibri" w:hAnsi="Calibri" w:cs="Calibri"/>
          <w:sz w:val="22"/>
          <w:szCs w:val="22"/>
        </w:rPr>
        <w:t xml:space="preserve"> </w:t>
      </w:r>
      <w:r w:rsidRPr="00EF035A">
        <w:rPr>
          <w:rFonts w:ascii="Calibri" w:hAnsi="Calibri" w:cs="Calibri"/>
          <w:b/>
          <w:bCs/>
          <w:i/>
          <w:iCs/>
          <w:sz w:val="22"/>
          <w:szCs w:val="22"/>
        </w:rPr>
        <w:t>Need</w:t>
      </w:r>
      <w:r w:rsidRPr="00EF035A">
        <w:rPr>
          <w:rFonts w:ascii="Calibri" w:hAnsi="Calibri" w:cs="Calibri"/>
          <w:b/>
          <w:bCs/>
          <w:sz w:val="22"/>
          <w:szCs w:val="22"/>
        </w:rPr>
        <w:t>.</w:t>
      </w:r>
      <w:r>
        <w:rPr>
          <w:rFonts w:ascii="Calibri" w:hAnsi="Calibri" w:cs="Calibri"/>
          <w:sz w:val="22"/>
          <w:szCs w:val="22"/>
        </w:rPr>
        <w:t xml:space="preserve"> </w:t>
      </w:r>
      <w:r w:rsidRPr="00EF035A">
        <w:rPr>
          <w:rFonts w:ascii="Calibri" w:hAnsi="Calibri" w:cs="Calibri"/>
          <w:sz w:val="22"/>
          <w:szCs w:val="22"/>
        </w:rPr>
        <w:t xml:space="preserve">Existing inference methods provide theoretical guarantees only in static, single-scale, or exchangeable settings. Applying standard statistical topology to inherently coupled, non-exchangeable competitive systems </w:t>
      </w:r>
      <w:r w:rsidRPr="00EF035A">
        <w:rPr>
          <w:rFonts w:ascii="Calibri" w:hAnsi="Calibri" w:cs="Calibri"/>
          <w:sz w:val="22"/>
          <w:szCs w:val="22"/>
        </w:rPr>
        <w:t>lead</w:t>
      </w:r>
      <w:r w:rsidRPr="00EF035A">
        <w:rPr>
          <w:rFonts w:ascii="Calibri" w:hAnsi="Calibri" w:cs="Calibri"/>
          <w:sz w:val="22"/>
          <w:szCs w:val="22"/>
        </w:rPr>
        <w:t xml:space="preserve"> to invalid inferences, leaving structural uncertainty and organisational transitions without known error bounds.</w:t>
      </w:r>
      <w:r>
        <w:rPr>
          <w:rFonts w:ascii="Calibri" w:hAnsi="Calibri" w:cs="Calibri"/>
          <w:sz w:val="22"/>
          <w:szCs w:val="22"/>
        </w:rPr>
        <w:t xml:space="preserve"> </w:t>
      </w:r>
      <w:r w:rsidRPr="00EF035A">
        <w:rPr>
          <w:rFonts w:ascii="Calibri" w:hAnsi="Calibri" w:cs="Calibri"/>
          <w:b/>
          <w:bCs/>
          <w:i/>
          <w:iCs/>
          <w:sz w:val="22"/>
          <w:szCs w:val="22"/>
        </w:rPr>
        <w:t>Opportunity</w:t>
      </w:r>
      <w:r w:rsidRPr="00EF035A">
        <w:rPr>
          <w:rFonts w:ascii="Calibri" w:hAnsi="Calibri" w:cs="Calibri"/>
          <w:b/>
          <w:bCs/>
          <w:sz w:val="22"/>
          <w:szCs w:val="22"/>
        </w:rPr>
        <w:t>.</w:t>
      </w:r>
      <w:r>
        <w:rPr>
          <w:rFonts w:ascii="Calibri" w:hAnsi="Calibri" w:cs="Calibri"/>
          <w:sz w:val="22"/>
          <w:szCs w:val="22"/>
        </w:rPr>
        <w:t xml:space="preserve"> </w:t>
      </w:r>
      <w:r w:rsidRPr="00EF035A">
        <w:rPr>
          <w:rFonts w:ascii="Calibri" w:hAnsi="Calibri" w:cs="Calibri"/>
          <w:sz w:val="22"/>
          <w:szCs w:val="22"/>
        </w:rPr>
        <w:t>Professional football serves as a fully observed, spatially bounded testbed for adversarial geometry. Solving this benchmark yields a validated mathematical framework that generalises across multi-agent competitive domains, such as autonomous swarms and territorial biology, once interaction lengths are re-derived.</w:t>
      </w:r>
    </w:p>
    <w:p w14:paraId="0860E6E0" w14:textId="21C9EFD1"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5. Impact</w:t>
      </w:r>
    </w:p>
    <w:p w14:paraId="1410232D" w14:textId="4D40E2DB" w:rsidR="00EF035A" w:rsidRPr="00EF035A" w:rsidRDefault="00EF035A" w:rsidP="00EF035A">
      <w:pPr>
        <w:spacing w:afterLines="30" w:after="72"/>
        <w:jc w:val="both"/>
        <w:rPr>
          <w:rFonts w:ascii="Calibri" w:hAnsi="Calibri" w:cs="Calibri"/>
          <w:sz w:val="22"/>
          <w:szCs w:val="22"/>
        </w:rPr>
      </w:pPr>
      <w:r w:rsidRPr="00EF035A">
        <w:rPr>
          <w:rFonts w:ascii="Calibri" w:hAnsi="Calibri" w:cs="Calibri"/>
          <w:b/>
          <w:bCs/>
          <w:i/>
          <w:iCs/>
          <w:sz w:val="22"/>
          <w:szCs w:val="22"/>
        </w:rPr>
        <w:t>Mathematical impact</w:t>
      </w:r>
      <w:r w:rsidRPr="00EF035A">
        <w:rPr>
          <w:rFonts w:ascii="Calibri" w:hAnsi="Calibri" w:cs="Calibri"/>
          <w:sz w:val="22"/>
          <w:szCs w:val="22"/>
        </w:rPr>
        <w:t xml:space="preserve">. The primary contribution is new statistical-topology theory for dependent competitive systems: the mean-path and Wasserstein-stability results extend current foundations [6,8] to sequential adversarial dynamics. Both theorems are implemented as algorithms in an open-source library for competitive point-cloud analysis, supporting reproducible research and wider adoption. </w:t>
      </w:r>
      <w:r w:rsidRPr="00EF035A">
        <w:rPr>
          <w:rFonts w:ascii="Calibri" w:hAnsi="Calibri" w:cs="Calibri"/>
          <w:b/>
          <w:bCs/>
          <w:i/>
          <w:iCs/>
          <w:sz w:val="22"/>
          <w:szCs w:val="22"/>
        </w:rPr>
        <w:t>National importance</w:t>
      </w:r>
      <w:r w:rsidRPr="00EF035A">
        <w:rPr>
          <w:rFonts w:ascii="Calibri" w:hAnsi="Calibri" w:cs="Calibri"/>
          <w:sz w:val="22"/>
          <w:szCs w:val="22"/>
        </w:rPr>
        <w:t xml:space="preserve">. UK groups lead internationally in statistical topology [6,8] and stochastic geometry, but current methods remain confined to static or exchangeable settings. Dependent competitive dynamics are a theoretical frontier across statistical topological data analysis (TDA), spatial point processes and sequential inference on abstract metric spaces, a frontier at which this project develops UK capability. It aligns with EPSRC priorities in mathematical sciences, AI-enabled modelling and complex systems. </w:t>
      </w:r>
      <w:r w:rsidRPr="00EF035A">
        <w:rPr>
          <w:rFonts w:ascii="Calibri" w:hAnsi="Calibri" w:cs="Calibri"/>
          <w:b/>
          <w:bCs/>
          <w:i/>
          <w:iCs/>
          <w:sz w:val="22"/>
          <w:szCs w:val="22"/>
        </w:rPr>
        <w:t>Economic and industry impact</w:t>
      </w:r>
      <w:r w:rsidRPr="00EF035A">
        <w:rPr>
          <w:rFonts w:ascii="Calibri" w:hAnsi="Calibri" w:cs="Calibri"/>
          <w:sz w:val="22"/>
          <w:szCs w:val="22"/>
        </w:rPr>
        <w:t xml:space="preserve">. The project is co-developed with Swansea City AFC (SCAFC), delivering practitioner outputs unavailable from conventional geometric measures. Stepping-stone. The project prepares a follow-on Standard Grant that tests whether the T1/T2 guarantees transfer to a second bounded competitive system. The nearest setting is spatial predator–prey dynamics, </w:t>
      </w:r>
      <w:r>
        <w:rPr>
          <w:rFonts w:ascii="Calibri" w:hAnsi="Calibri" w:cs="Calibri"/>
          <w:sz w:val="22"/>
          <w:szCs w:val="22"/>
        </w:rPr>
        <w:t xml:space="preserve">which will </w:t>
      </w:r>
      <w:r w:rsidRPr="00EF035A">
        <w:rPr>
          <w:rFonts w:ascii="Calibri" w:hAnsi="Calibri" w:cs="Calibri"/>
          <w:sz w:val="22"/>
          <w:szCs w:val="22"/>
        </w:rPr>
        <w:t xml:space="preserve">including tumour–immune competition with Co-I </w:t>
      </w:r>
      <w:proofErr w:type="spellStart"/>
      <w:r w:rsidRPr="00EF035A">
        <w:rPr>
          <w:rFonts w:ascii="Calibri" w:hAnsi="Calibri" w:cs="Calibri"/>
          <w:sz w:val="22"/>
          <w:szCs w:val="22"/>
        </w:rPr>
        <w:t>Powathil</w:t>
      </w:r>
      <w:proofErr w:type="spellEnd"/>
      <w:r w:rsidRPr="00EF035A">
        <w:rPr>
          <w:rFonts w:ascii="Calibri" w:hAnsi="Calibri" w:cs="Calibri"/>
          <w:sz w:val="22"/>
          <w:szCs w:val="22"/>
        </w:rPr>
        <w:t>.</w:t>
      </w:r>
    </w:p>
    <w:p w14:paraId="1D7921D3" w14:textId="5B01F4F3"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6. Benefits and Beneficiaries</w:t>
      </w:r>
    </w:p>
    <w:p w14:paraId="40846301" w14:textId="77777777"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The primary beneficiaries are researchers in topology, statistics and complex systems, who gain new theoretical foundations for inference on dependent spatial data and an open-source library that implements the proposed methodology. Secondary beneficiaries are sports analytics researchers and practitioners, including SCAFC, who co-develop the framework and receive interpretable measures of collective organisation that conventional geometry does not provide. Broader beneficiaries in related competitive domains will be addressed through the follow-on Standard Grant (§5, §10).</w:t>
      </w:r>
    </w:p>
    <w:p w14:paraId="1CE22E11" w14:textId="751EE7D0"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Approach</w:t>
      </w:r>
    </w:p>
    <w:p w14:paraId="327E2C56" w14:textId="3DB01917"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7. Research Design and Objectives</w:t>
      </w:r>
    </w:p>
    <w:p w14:paraId="62BF866C" w14:textId="6B39279F" w:rsidR="00EF035A" w:rsidRPr="00EF035A" w:rsidRDefault="00EF035A" w:rsidP="00EF035A">
      <w:pPr>
        <w:jc w:val="both"/>
        <w:rPr>
          <w:rFonts w:ascii="Calibri" w:hAnsi="Calibri" w:cs="Calibri"/>
          <w:sz w:val="22"/>
          <w:szCs w:val="22"/>
        </w:rPr>
      </w:pPr>
      <w:r w:rsidRPr="00EF035A">
        <w:rPr>
          <w:rFonts w:ascii="Calibri" w:hAnsi="Calibri" w:cs="Calibri"/>
          <w:b/>
          <w:bCs/>
          <w:i/>
          <w:iCs/>
          <w:sz w:val="22"/>
          <w:szCs w:val="22"/>
        </w:rPr>
        <w:t>Project structure</w:t>
      </w:r>
      <w:r w:rsidRPr="00EF035A">
        <w:rPr>
          <w:rFonts w:ascii="Calibri" w:hAnsi="Calibri" w:cs="Calibri"/>
          <w:sz w:val="22"/>
          <w:szCs w:val="22"/>
        </w:rPr>
        <w:t xml:space="preserve">. The PI (0.2 FTE) leads the framework, analysis and publication. Two Co-Investigators (0.1 FTE combined) supply statistical and domain expertise. A Research Associate (Months 2–10) implements the pipeline and the full-season analysis; SCAFC provides tracking data and tactical labels. </w:t>
      </w:r>
      <w:r w:rsidRPr="00EF035A">
        <w:rPr>
          <w:rFonts w:ascii="Calibri" w:hAnsi="Calibri" w:cs="Calibri"/>
          <w:b/>
          <w:bCs/>
          <w:i/>
          <w:iCs/>
          <w:sz w:val="22"/>
          <w:szCs w:val="22"/>
        </w:rPr>
        <w:t>Sample-size rationale</w:t>
      </w:r>
      <w:r w:rsidRPr="00EF035A">
        <w:rPr>
          <w:rFonts w:ascii="Calibri" w:hAnsi="Calibri" w:cs="Calibri"/>
          <w:sz w:val="22"/>
          <w:szCs w:val="22"/>
        </w:rPr>
        <w:t xml:space="preserve">. A Championship season (≈540 matches) supplies the replication the 10-realisation pilot cannot. Approximately 32 matches per covariate subgroup (phase of play, opponent strength or venue) yield a 95% CI half-width of 0.025 for the match-level tactical-scale loop-presence rate (pilot across-match </w:t>
      </w:r>
      <w:proofErr w:type="spellStart"/>
      <w:r w:rsidRPr="00EF035A">
        <w:rPr>
          <w:rFonts w:ascii="Calibri" w:hAnsi="Calibri" w:cs="Calibri"/>
          <w:sz w:val="22"/>
          <w:szCs w:val="22"/>
        </w:rPr>
        <w:t>s.d.</w:t>
      </w:r>
      <w:proofErr w:type="spellEnd"/>
      <w:r w:rsidRPr="00EF035A">
        <w:rPr>
          <w:rFonts w:ascii="Calibri" w:hAnsi="Calibri" w:cs="Calibri"/>
          <w:sz w:val="22"/>
          <w:szCs w:val="22"/>
        </w:rPr>
        <w:t xml:space="preserve"> 0.072 [17]). Separately, 180 matches per tactical formation detect Cohen's d ≥ 0.30 at 80% power (α=0.05, Benjamini–Hochberg false discovery rate (FDR)). A borderline within-match pilot effect (p=0.051) is the replication target.</w:t>
      </w:r>
    </w:p>
    <w:p w14:paraId="1428219D" w14:textId="748920C8" w:rsidR="00EF035A" w:rsidRDefault="00EF035A" w:rsidP="00EF035A">
      <w:pPr>
        <w:jc w:val="both"/>
        <w:rPr>
          <w:rFonts w:ascii="Calibri" w:hAnsi="Calibri" w:cs="Calibri"/>
          <w:sz w:val="22"/>
          <w:szCs w:val="22"/>
        </w:rPr>
      </w:pPr>
      <w:r w:rsidRPr="00EF035A">
        <w:rPr>
          <w:rFonts w:ascii="Calibri" w:hAnsi="Calibri" w:cs="Calibri"/>
          <w:b/>
          <w:bCs/>
          <w:sz w:val="22"/>
          <w:szCs w:val="22"/>
        </w:rPr>
        <w:t>O1: Population-scale geometry (PI, Months 1–9; RA, Months 2–9).</w:t>
      </w:r>
      <w:r w:rsidRPr="00EF035A">
        <w:rPr>
          <w:rFonts w:ascii="Calibri" w:hAnsi="Calibri" w:cs="Calibri"/>
          <w:sz w:val="22"/>
          <w:szCs w:val="22"/>
        </w:rPr>
        <w:t xml:space="preserve"> O1 asks whether the pilot scales remain stable enough to average, and whether distances between summaries distinguish competitive organisational states beyond conventional geometric descriptors [6,8]. Month 1 is PI-only setup. A 20-match batch tests cutoff transfer; if stability falls below 0.80, interaction lengths are re-derived. Comparison-geometry results are PI-led; the RA maintains the library they use. Success requires moment conditions documented at season scale and discriminable signatures for at least three tactical formations (FDR-corrected differences, p&lt;0.05). Those conditions are the hypotheses under which O2 proves T1 and T2. </w:t>
      </w:r>
      <w:r w:rsidRPr="00EF035A">
        <w:rPr>
          <w:rFonts w:ascii="Calibri" w:hAnsi="Calibri" w:cs="Calibri"/>
          <w:b/>
          <w:bCs/>
          <w:i/>
          <w:iCs/>
          <w:sz w:val="22"/>
          <w:szCs w:val="22"/>
        </w:rPr>
        <w:t>Milestones</w:t>
      </w:r>
      <w:r w:rsidRPr="00EF035A">
        <w:rPr>
          <w:rFonts w:ascii="Calibri" w:hAnsi="Calibri" w:cs="Calibri"/>
          <w:sz w:val="22"/>
          <w:szCs w:val="22"/>
        </w:rPr>
        <w:t xml:space="preserve">: OSF deposit of hypotheses and the cutoff-transfer test (Month 2); </w:t>
      </w:r>
      <w:r w:rsidRPr="00EF035A">
        <w:rPr>
          <w:rFonts w:ascii="Calibri" w:hAnsi="Calibri" w:cs="Calibri"/>
          <w:sz w:val="22"/>
          <w:szCs w:val="22"/>
        </w:rPr>
        <w:lastRenderedPageBreak/>
        <w:t>season-scale barcode archive and the moment conditions T1/T2 need (Month 7); whether tactical formations are distinguishable (Month 9).</w:t>
      </w:r>
    </w:p>
    <w:p w14:paraId="61B2EE58" w14:textId="68BE1CC1" w:rsidR="00EF035A" w:rsidRDefault="00EF035A" w:rsidP="00EF035A">
      <w:pPr>
        <w:spacing w:afterLines="30" w:after="72"/>
        <w:jc w:val="both"/>
        <w:rPr>
          <w:rFonts w:ascii="Calibri" w:hAnsi="Calibri" w:cs="Calibri"/>
          <w:sz w:val="22"/>
          <w:szCs w:val="22"/>
        </w:rPr>
      </w:pPr>
      <w:r w:rsidRPr="00EF035A">
        <w:rPr>
          <w:rFonts w:ascii="Calibri" w:hAnsi="Calibri" w:cs="Calibri"/>
          <w:b/>
          <w:bCs/>
          <w:sz w:val="22"/>
          <w:szCs w:val="22"/>
        </w:rPr>
        <w:t>O2: Inference for dependent topological processes (PI and RA, Months 4–10).</w:t>
      </w:r>
      <w:r w:rsidRPr="00EF035A">
        <w:rPr>
          <w:rFonts w:ascii="Calibri" w:hAnsi="Calibri" w:cs="Calibri"/>
          <w:sz w:val="22"/>
          <w:szCs w:val="22"/>
        </w:rPr>
        <w:t xml:space="preserve"> O2 proves T1 and T2 on that geometry. The sequential procedure is tested with functional principal component analysis (FPCA) [18], CUSUM [19] and bootstrap calibration [6]. Success requires both theorems proved under the O1 </w:t>
      </w:r>
      <w:r w:rsidRPr="00EF035A">
        <w:rPr>
          <w:rFonts w:ascii="Calibri" w:hAnsi="Calibri" w:cs="Calibri"/>
          <w:sz w:val="22"/>
          <w:szCs w:val="22"/>
        </w:rPr>
        <w:t>conditions and</w:t>
      </w:r>
      <w:r w:rsidRPr="00EF035A">
        <w:rPr>
          <w:rFonts w:ascii="Calibri" w:hAnsi="Calibri" w:cs="Calibri"/>
          <w:sz w:val="22"/>
          <w:szCs w:val="22"/>
        </w:rPr>
        <w:t xml:space="preserve"> detected change-points agreeing with held-out annotations at ≥70% (permutation p&lt;0.05). If the landscape argument proves intractable, the fallback is the Wasserstein diagram comparison already </w:t>
      </w:r>
      <w:r>
        <w:rPr>
          <w:rFonts w:ascii="Calibri" w:hAnsi="Calibri" w:cs="Calibri"/>
          <w:sz w:val="22"/>
          <w:szCs w:val="22"/>
        </w:rPr>
        <w:t>demonstrated</w:t>
      </w:r>
      <w:r w:rsidRPr="00EF035A">
        <w:rPr>
          <w:rFonts w:ascii="Calibri" w:hAnsi="Calibri" w:cs="Calibri"/>
          <w:sz w:val="22"/>
          <w:szCs w:val="22"/>
        </w:rPr>
        <w:t xml:space="preserve"> in the pilot (R3); uniqueness is then not claimed. </w:t>
      </w:r>
      <w:bookmarkStart w:id="0" w:name="OLE_LINK1"/>
      <w:r w:rsidRPr="00EF035A">
        <w:rPr>
          <w:rFonts w:ascii="Calibri" w:hAnsi="Calibri" w:cs="Calibri"/>
          <w:b/>
          <w:bCs/>
          <w:i/>
          <w:iCs/>
          <w:sz w:val="22"/>
          <w:szCs w:val="22"/>
        </w:rPr>
        <w:t>Milestones</w:t>
      </w:r>
      <w:r w:rsidRPr="00EF035A">
        <w:rPr>
          <w:rFonts w:ascii="Calibri" w:hAnsi="Calibri" w:cs="Calibri"/>
          <w:sz w:val="22"/>
          <w:szCs w:val="22"/>
        </w:rPr>
        <w:t>: landscape-summary software (Month 8); proved T1/T2 statements (Month 9); calibrated change-point detections and RA handover (Month 10).</w:t>
      </w:r>
    </w:p>
    <w:bookmarkEnd w:id="0"/>
    <w:p w14:paraId="340164AA" w14:textId="27BF4B04"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8. Methodology</w:t>
      </w:r>
    </w:p>
    <w:p w14:paraId="1CAFD3E6" w14:textId="77777777"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 xml:space="preserve">A containerised Python pipeline processes each frame as a point cloud, partitioning agents using empirically derived interaction lengths. Persistent homology is then computed at each scale using </w:t>
      </w:r>
      <w:proofErr w:type="spellStart"/>
      <w:r w:rsidRPr="00EF035A">
        <w:rPr>
          <w:rFonts w:ascii="Calibri" w:hAnsi="Calibri" w:cs="Calibri"/>
          <w:sz w:val="22"/>
          <w:szCs w:val="22"/>
        </w:rPr>
        <w:t>Ripser</w:t>
      </w:r>
      <w:proofErr w:type="spellEnd"/>
      <w:r w:rsidRPr="00EF035A">
        <w:rPr>
          <w:rFonts w:ascii="Calibri" w:hAnsi="Calibri" w:cs="Calibri"/>
          <w:sz w:val="22"/>
          <w:szCs w:val="22"/>
        </w:rPr>
        <w:t xml:space="preserve"> [20], GUDHI [21] and </w:t>
      </w:r>
      <w:proofErr w:type="spellStart"/>
      <w:r w:rsidRPr="00EF035A">
        <w:rPr>
          <w:rFonts w:ascii="Calibri" w:hAnsi="Calibri" w:cs="Calibri"/>
          <w:sz w:val="22"/>
          <w:szCs w:val="22"/>
        </w:rPr>
        <w:t>giotto-tda</w:t>
      </w:r>
      <w:proofErr w:type="spellEnd"/>
      <w:r w:rsidRPr="00EF035A">
        <w:rPr>
          <w:rFonts w:ascii="Calibri" w:hAnsi="Calibri" w:cs="Calibri"/>
          <w:sz w:val="22"/>
          <w:szCs w:val="22"/>
        </w:rPr>
        <w:t xml:space="preserve"> [22], producing barcodes, persistence landscapes and vectorised summaries at 1 Hz for production processing on Supercomputing Wales (§12). O1 compares organisational states through persistence-based distances and diagram-image features, while O2 applies FPCA, CUSUM and bootstrap calibration to the resulting time series. Reproducibility is through containerisation, version-controlled code, OSF pre-registration and DOI-archived releases.</w:t>
      </w:r>
    </w:p>
    <w:p w14:paraId="40B9284C" w14:textId="70ADB31D"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9. Feasibility and Risk Management</w:t>
      </w:r>
    </w:p>
    <w:p w14:paraId="70E9A2B7" w14:textId="53A67165"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 xml:space="preserve">The project is feasible in twelve months because the method is </w:t>
      </w:r>
      <w:proofErr w:type="gramStart"/>
      <w:r w:rsidRPr="00EF035A">
        <w:rPr>
          <w:rFonts w:ascii="Calibri" w:hAnsi="Calibri" w:cs="Calibri"/>
          <w:sz w:val="22"/>
          <w:szCs w:val="22"/>
        </w:rPr>
        <w:t>pilot-validated</w:t>
      </w:r>
      <w:proofErr w:type="gramEnd"/>
      <w:r w:rsidRPr="00EF035A">
        <w:rPr>
          <w:rFonts w:ascii="Calibri" w:hAnsi="Calibri" w:cs="Calibri"/>
          <w:sz w:val="22"/>
          <w:szCs w:val="22"/>
        </w:rPr>
        <w:t xml:space="preserve"> (§2), data access is secured through the SCAFC agreement, and the computational budget is modest relative to the available allocation (§12). The pilot study has already fixed the parameter ranges over which T1 and T2 are stated, so O2 begins from established conditions rather than from scoping work.</w:t>
      </w:r>
      <w:r>
        <w:rPr>
          <w:rFonts w:ascii="Calibri" w:hAnsi="Calibri" w:cs="Calibri"/>
          <w:sz w:val="22"/>
          <w:szCs w:val="22"/>
        </w:rPr>
        <w:t xml:space="preserve"> </w:t>
      </w:r>
      <w:r w:rsidRPr="00EF035A">
        <w:rPr>
          <w:rFonts w:ascii="Calibri" w:hAnsi="Calibri" w:cs="Calibri"/>
          <w:sz w:val="22"/>
          <w:szCs w:val="22"/>
        </w:rPr>
        <w:t>Three residual risks remain. (R1) Scale transferability (medium likelihood, high impact): without transferable interaction lengths, averaging is ill-posed; the Month-2 gate re-derives them if stability falls below 0.80. (R2) Tactical label uncertainty (medium likelihood, low impact): dual-source verification, Cohen's κ and pre-registered exclusions mitigate this; labels affect O1 interpretation, not the theorems. (R3) Landscape theory (low likelihood, medium impact): if the landscape argument is intractable, O2 uses the Wasserstein diagram comparison demonstrated in the pilot</w:t>
      </w:r>
      <w:r>
        <w:rPr>
          <w:rFonts w:ascii="Calibri" w:hAnsi="Calibri" w:cs="Calibri"/>
          <w:sz w:val="22"/>
          <w:szCs w:val="22"/>
        </w:rPr>
        <w:t xml:space="preserve"> [17]</w:t>
      </w:r>
      <w:r w:rsidRPr="00EF035A">
        <w:rPr>
          <w:rFonts w:ascii="Calibri" w:hAnsi="Calibri" w:cs="Calibri"/>
          <w:sz w:val="22"/>
          <w:szCs w:val="22"/>
        </w:rPr>
        <w:t>, and T1 uniqueness is not claimed.</w:t>
      </w:r>
    </w:p>
    <w:p w14:paraId="0AF6D380" w14:textId="77777777"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10. Translation to Outcomes and Impact</w:t>
      </w:r>
    </w:p>
    <w:p w14:paraId="3A1C9DA8" w14:textId="77777777"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 xml:space="preserve">Publications and software. The methodology paper [17] is submitted in Months 1–2; a full-season results paper at Month 11; and the companion football-analytics paper [22] at Month 12. The library is released as a documented package with DOI via Swansea University's </w:t>
      </w:r>
      <w:proofErr w:type="spellStart"/>
      <w:r w:rsidRPr="00EF035A">
        <w:rPr>
          <w:rFonts w:ascii="Calibri" w:hAnsi="Calibri" w:cs="Calibri"/>
          <w:sz w:val="22"/>
          <w:szCs w:val="22"/>
        </w:rPr>
        <w:t>Zenodo</w:t>
      </w:r>
      <w:proofErr w:type="spellEnd"/>
      <w:r w:rsidRPr="00EF035A">
        <w:rPr>
          <w:rFonts w:ascii="Calibri" w:hAnsi="Calibri" w:cs="Calibri"/>
          <w:sz w:val="22"/>
          <w:szCs w:val="22"/>
        </w:rPr>
        <w:t xml:space="preserve"> community. Practitioner impact. Practitioner outputs with SCAFC (Month 11) let analysts review how collective organisation changes around important match events, so interpretation is no longer limited to conventional geometric descriptors (length, width, centroid) [15,16]. Evidence base. Together, the library, publications and practitioner outputs form the Month-12 evidence pack that feeds the follow-on Standard Grant (§5).</w:t>
      </w:r>
    </w:p>
    <w:p w14:paraId="76D90CCC" w14:textId="77777777"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11. Research Environment</w:t>
      </w:r>
    </w:p>
    <w:p w14:paraId="7FCCD4FB" w14:textId="7D83F0B9"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 xml:space="preserve">The project is based at Swansea University's Zienkiewicz Institute for Modelling, Data and AI (ZI). Complementary expertise underwrites the §10 outputs. Prof Liam Kilduff </w:t>
      </w:r>
      <w:r>
        <w:rPr>
          <w:rFonts w:ascii="Calibri" w:hAnsi="Calibri" w:cs="Calibri"/>
          <w:sz w:val="22"/>
          <w:szCs w:val="22"/>
        </w:rPr>
        <w:t xml:space="preserve">with </w:t>
      </w:r>
      <w:r>
        <w:rPr>
          <w:rFonts w:ascii="Calibri" w:hAnsi="Calibri" w:cs="Calibri"/>
          <w:sz w:val="22"/>
          <w:szCs w:val="22"/>
        </w:rPr>
        <w:t>SCAFC</w:t>
      </w:r>
      <w:r w:rsidRPr="00EF035A">
        <w:rPr>
          <w:rFonts w:ascii="Calibri" w:hAnsi="Calibri" w:cs="Calibri"/>
          <w:sz w:val="22"/>
          <w:szCs w:val="22"/>
        </w:rPr>
        <w:t xml:space="preserve"> </w:t>
      </w:r>
      <w:r>
        <w:rPr>
          <w:rFonts w:ascii="Calibri" w:hAnsi="Calibri" w:cs="Calibri"/>
          <w:sz w:val="22"/>
          <w:szCs w:val="22"/>
        </w:rPr>
        <w:t xml:space="preserve">will </w:t>
      </w:r>
      <w:r w:rsidRPr="00EF035A">
        <w:rPr>
          <w:rFonts w:ascii="Calibri" w:hAnsi="Calibri" w:cs="Calibri"/>
          <w:sz w:val="22"/>
          <w:szCs w:val="22"/>
        </w:rPr>
        <w:t>co-develop</w:t>
      </w:r>
      <w:r>
        <w:rPr>
          <w:rFonts w:ascii="Calibri" w:hAnsi="Calibri" w:cs="Calibri"/>
          <w:sz w:val="22"/>
          <w:szCs w:val="22"/>
        </w:rPr>
        <w:t xml:space="preserve"> strategies to integrate </w:t>
      </w:r>
      <w:r w:rsidRPr="00EF035A">
        <w:rPr>
          <w:rFonts w:ascii="Calibri" w:hAnsi="Calibri" w:cs="Calibri"/>
          <w:b/>
          <w:bCs/>
          <w:sz w:val="22"/>
          <w:szCs w:val="22"/>
        </w:rPr>
        <w:t xml:space="preserve">Population-scale geometry </w:t>
      </w:r>
      <w:r>
        <w:rPr>
          <w:rFonts w:ascii="Calibri" w:hAnsi="Calibri" w:cs="Calibri"/>
          <w:sz w:val="22"/>
          <w:szCs w:val="22"/>
        </w:rPr>
        <w:t>within current tactical analysis pipelines</w:t>
      </w:r>
      <w:r w:rsidRPr="00EF035A">
        <w:rPr>
          <w:rFonts w:ascii="Calibri" w:hAnsi="Calibri" w:cs="Calibri"/>
          <w:sz w:val="22"/>
          <w:szCs w:val="22"/>
        </w:rPr>
        <w:t xml:space="preserve">. Prof </w:t>
      </w:r>
      <w:proofErr w:type="spellStart"/>
      <w:r w:rsidRPr="00EF035A">
        <w:rPr>
          <w:rFonts w:ascii="Calibri" w:hAnsi="Calibri" w:cs="Calibri"/>
          <w:sz w:val="22"/>
          <w:szCs w:val="22"/>
        </w:rPr>
        <w:t>Gibin</w:t>
      </w:r>
      <w:proofErr w:type="spellEnd"/>
      <w:r w:rsidRPr="00EF035A">
        <w:rPr>
          <w:rFonts w:ascii="Calibri" w:hAnsi="Calibri" w:cs="Calibri"/>
          <w:sz w:val="22"/>
          <w:szCs w:val="22"/>
        </w:rPr>
        <w:t xml:space="preserve"> </w:t>
      </w:r>
      <w:proofErr w:type="spellStart"/>
      <w:r w:rsidRPr="00EF035A">
        <w:rPr>
          <w:rFonts w:ascii="Calibri" w:hAnsi="Calibri" w:cs="Calibri"/>
          <w:sz w:val="22"/>
          <w:szCs w:val="22"/>
        </w:rPr>
        <w:t>Powathil</w:t>
      </w:r>
      <w:proofErr w:type="spellEnd"/>
      <w:r w:rsidRPr="00EF035A">
        <w:rPr>
          <w:rFonts w:ascii="Calibri" w:hAnsi="Calibri" w:cs="Calibri"/>
          <w:sz w:val="22"/>
          <w:szCs w:val="22"/>
        </w:rPr>
        <w:t xml:space="preserve"> </w:t>
      </w:r>
      <w:r>
        <w:rPr>
          <w:rFonts w:ascii="Calibri" w:hAnsi="Calibri" w:cs="Calibri"/>
          <w:sz w:val="22"/>
          <w:szCs w:val="22"/>
        </w:rPr>
        <w:t xml:space="preserve">will work with the PI </w:t>
      </w:r>
      <w:r w:rsidRPr="00EF035A">
        <w:rPr>
          <w:rFonts w:ascii="Calibri" w:hAnsi="Calibri" w:cs="Calibri"/>
          <w:sz w:val="22"/>
          <w:szCs w:val="22"/>
        </w:rPr>
        <w:t>contributes competitive-biology expertise for the follow-on Standard Grant</w:t>
      </w:r>
      <w:r>
        <w:rPr>
          <w:rFonts w:ascii="Calibri" w:hAnsi="Calibri" w:cs="Calibri"/>
          <w:sz w:val="22"/>
          <w:szCs w:val="22"/>
        </w:rPr>
        <w:t xml:space="preserve"> </w:t>
      </w:r>
      <w:r w:rsidRPr="00EF035A">
        <w:rPr>
          <w:rFonts w:ascii="Calibri" w:hAnsi="Calibri" w:cs="Calibri"/>
          <w:sz w:val="22"/>
          <w:szCs w:val="22"/>
        </w:rPr>
        <w:t>(§5).</w:t>
      </w:r>
    </w:p>
    <w:p w14:paraId="7013B085" w14:textId="77777777" w:rsidR="00EF035A" w:rsidRPr="00EF035A" w:rsidRDefault="00EF035A" w:rsidP="00EF035A">
      <w:pPr>
        <w:jc w:val="both"/>
        <w:rPr>
          <w:rFonts w:ascii="Calibri" w:hAnsi="Calibri" w:cs="Calibri"/>
          <w:b/>
          <w:bCs/>
          <w:sz w:val="22"/>
          <w:szCs w:val="22"/>
        </w:rPr>
      </w:pPr>
      <w:r w:rsidRPr="00EF035A">
        <w:rPr>
          <w:rFonts w:ascii="Calibri" w:hAnsi="Calibri" w:cs="Calibri"/>
          <w:b/>
          <w:bCs/>
          <w:sz w:val="22"/>
          <w:szCs w:val="22"/>
        </w:rPr>
        <w:t>12. Facilities, Infrastructure and Host Support</w:t>
      </w:r>
    </w:p>
    <w:p w14:paraId="3E67CA97" w14:textId="77777777" w:rsidR="00EF035A" w:rsidRPr="00EF035A" w:rsidRDefault="00EF035A" w:rsidP="00EF035A">
      <w:pPr>
        <w:spacing w:afterLines="30" w:after="72"/>
        <w:jc w:val="both"/>
        <w:rPr>
          <w:rFonts w:ascii="Calibri" w:hAnsi="Calibri" w:cs="Calibri"/>
          <w:sz w:val="22"/>
          <w:szCs w:val="22"/>
        </w:rPr>
      </w:pPr>
      <w:r w:rsidRPr="00EF035A">
        <w:rPr>
          <w:rFonts w:ascii="Calibri" w:hAnsi="Calibri" w:cs="Calibri"/>
          <w:sz w:val="22"/>
          <w:szCs w:val="22"/>
        </w:rPr>
        <w:t xml:space="preserve">Full-season processing uses the PI's Supercomputing Wales allocation: approximately 1,600 core-hours of the 5,000 core-hour available </w:t>
      </w:r>
      <w:proofErr w:type="gramStart"/>
      <w:r w:rsidRPr="00EF035A">
        <w:rPr>
          <w:rFonts w:ascii="Calibri" w:hAnsi="Calibri" w:cs="Calibri"/>
          <w:sz w:val="22"/>
          <w:szCs w:val="22"/>
        </w:rPr>
        <w:t>budget</w:t>
      </w:r>
      <w:proofErr w:type="gramEnd"/>
      <w:r w:rsidRPr="00EF035A">
        <w:rPr>
          <w:rFonts w:ascii="Calibri" w:hAnsi="Calibri" w:cs="Calibri"/>
          <w:sz w:val="22"/>
          <w:szCs w:val="22"/>
        </w:rPr>
        <w:t>. The containerised pipeline will be executable on local machines and high-performance computing clusters. Swansea University provides host and research support through ZI and the university's Research Office, respectively, with data-governance and ethics processes established for the SCAFC–</w:t>
      </w:r>
      <w:proofErr w:type="spellStart"/>
      <w:r w:rsidRPr="00EF035A">
        <w:rPr>
          <w:rFonts w:ascii="Calibri" w:hAnsi="Calibri" w:cs="Calibri"/>
          <w:sz w:val="22"/>
          <w:szCs w:val="22"/>
        </w:rPr>
        <w:t>StatsBomb</w:t>
      </w:r>
      <w:proofErr w:type="spellEnd"/>
      <w:r w:rsidRPr="00EF035A">
        <w:rPr>
          <w:rFonts w:ascii="Calibri" w:hAnsi="Calibri" w:cs="Calibri"/>
          <w:sz w:val="22"/>
          <w:szCs w:val="22"/>
        </w:rPr>
        <w:t xml:space="preserve"> data.</w:t>
      </w:r>
    </w:p>
    <w:p w14:paraId="38EB90AC" w14:textId="77777777" w:rsidR="00EF035A" w:rsidRPr="00EF035A" w:rsidRDefault="00EF035A">
      <w:pPr>
        <w:spacing w:afterLines="30" w:after="72"/>
        <w:jc w:val="both"/>
        <w:rPr>
          <w:rFonts w:ascii="Calibri" w:hAnsi="Calibri" w:cs="Calibri"/>
          <w:sz w:val="22"/>
          <w:szCs w:val="22"/>
        </w:rPr>
      </w:pPr>
    </w:p>
    <w:sectPr w:rsidR="00EF035A" w:rsidRPr="00EF035A"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5A"/>
    <w:rsid w:val="0039664B"/>
    <w:rsid w:val="005D7D6A"/>
    <w:rsid w:val="00716867"/>
    <w:rsid w:val="00736938"/>
    <w:rsid w:val="008C5AD8"/>
    <w:rsid w:val="009F2263"/>
    <w:rsid w:val="00B03625"/>
    <w:rsid w:val="00B80347"/>
    <w:rsid w:val="00C436ED"/>
    <w:rsid w:val="00C63905"/>
    <w:rsid w:val="00C8460E"/>
    <w:rsid w:val="00EA1C93"/>
    <w:rsid w:val="00EF035A"/>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F6173A"/>
  <w15:chartTrackingRefBased/>
  <w15:docId w15:val="{82B0CD51-A1D3-2848-A1F0-F1B02DB9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3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3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3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35A"/>
    <w:rPr>
      <w:rFonts w:eastAsiaTheme="majorEastAsia" w:cstheme="majorBidi"/>
      <w:color w:val="272727" w:themeColor="text1" w:themeTint="D8"/>
    </w:rPr>
  </w:style>
  <w:style w:type="paragraph" w:styleId="Title">
    <w:name w:val="Title"/>
    <w:basedOn w:val="Normal"/>
    <w:next w:val="Normal"/>
    <w:link w:val="TitleChar"/>
    <w:uiPriority w:val="10"/>
    <w:qFormat/>
    <w:rsid w:val="00EF03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35A"/>
    <w:rPr>
      <w:i/>
      <w:iCs/>
      <w:color w:val="404040" w:themeColor="text1" w:themeTint="BF"/>
    </w:rPr>
  </w:style>
  <w:style w:type="paragraph" w:styleId="ListParagraph">
    <w:name w:val="List Paragraph"/>
    <w:basedOn w:val="Normal"/>
    <w:uiPriority w:val="34"/>
    <w:qFormat/>
    <w:rsid w:val="00EF035A"/>
    <w:pPr>
      <w:ind w:left="720"/>
      <w:contextualSpacing/>
    </w:pPr>
  </w:style>
  <w:style w:type="character" w:styleId="IntenseEmphasis">
    <w:name w:val="Intense Emphasis"/>
    <w:basedOn w:val="DefaultParagraphFont"/>
    <w:uiPriority w:val="21"/>
    <w:qFormat/>
    <w:rsid w:val="00EF035A"/>
    <w:rPr>
      <w:i/>
      <w:iCs/>
      <w:color w:val="0F4761" w:themeColor="accent1" w:themeShade="BF"/>
    </w:rPr>
  </w:style>
  <w:style w:type="paragraph" w:styleId="IntenseQuote">
    <w:name w:val="Intense Quote"/>
    <w:basedOn w:val="Normal"/>
    <w:next w:val="Normal"/>
    <w:link w:val="IntenseQuoteChar"/>
    <w:uiPriority w:val="30"/>
    <w:qFormat/>
    <w:rsid w:val="00EF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5A"/>
    <w:rPr>
      <w:i/>
      <w:iCs/>
      <w:color w:val="0F4761" w:themeColor="accent1" w:themeShade="BF"/>
    </w:rPr>
  </w:style>
  <w:style w:type="character" w:styleId="IntenseReference">
    <w:name w:val="Intense Reference"/>
    <w:basedOn w:val="DefaultParagraphFont"/>
    <w:uiPriority w:val="32"/>
    <w:qFormat/>
    <w:rsid w:val="00EF0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1241</TotalTime>
  <Pages>4</Pages>
  <Words>1738</Words>
  <Characters>11597</Characters>
  <Application>Microsoft Office Word</Application>
  <DocSecurity>0</DocSecurity>
  <Lines>148</Lines>
  <Paragraphs>29</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2026-08-19T13:27:00Z</dcterms:created>
  <dcterms:modified xsi:type="dcterms:W3CDTF">2026-08-23T09:19:00Z</dcterms:modified>
</cp:coreProperties>
</file>