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D35AA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 VISION AND APPROACH</w:t>
      </w:r>
    </w:p>
    <w:p w14:paraId="084911DC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763ED4F3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proofErr w:type="gramStart"/>
      <w:r w:rsidRPr="00013D57">
        <w:rPr>
          <w:rFonts w:ascii="Calibri" w:hAnsi="Calibri" w:cs="Calibri"/>
          <w:sz w:val="22"/>
          <w:szCs w:val="22"/>
        </w:rPr>
        <w:t>&lt;!--</w:t>
      </w:r>
      <w:proofErr w:type="gramEnd"/>
      <w:r w:rsidRPr="00013D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13D57">
        <w:rPr>
          <w:rFonts w:ascii="Calibri" w:hAnsi="Calibri" w:cs="Calibri"/>
          <w:sz w:val="22"/>
          <w:szCs w:val="22"/>
        </w:rPr>
        <w:t>JeS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Vision &amp; Approach. Restructured 2026-08-21: 7 sections (3 Vision + 4 Approach),</w:t>
      </w:r>
    </w:p>
    <w:p w14:paraId="637C58AC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 replacing 12-section structure. Merges: §1+§3 → new §1; §2+§4 → new §2; §5+§6 → new §3;</w:t>
      </w:r>
    </w:p>
    <w:p w14:paraId="3462BBFE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 §10+§11+§12 → new §7. Items 2–4 from EPSRC criteria review incorporated.</w:t>
      </w:r>
    </w:p>
    <w:p w14:paraId="4AD2BC4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 Strip this comment before </w:t>
      </w:r>
      <w:proofErr w:type="spellStart"/>
      <w:r w:rsidRPr="00013D57">
        <w:rPr>
          <w:rFonts w:ascii="Calibri" w:hAnsi="Calibri" w:cs="Calibri"/>
          <w:sz w:val="22"/>
          <w:szCs w:val="22"/>
        </w:rPr>
        <w:t>JeS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submission. --&gt;</w:t>
      </w:r>
    </w:p>
    <w:p w14:paraId="118D5100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1196ADB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br w:type="page"/>
      </w:r>
    </w:p>
    <w:p w14:paraId="75692DBC" w14:textId="44C9ED05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lastRenderedPageBreak/>
        <w:t>## Vision</w:t>
      </w:r>
    </w:p>
    <w:p w14:paraId="7E0E5562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1. Research Problem and Mathematical Contribution</w:t>
      </w:r>
    </w:p>
    <w:p w14:paraId="7118793E" w14:textId="3D5ACBE8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Competitive collective systems are spatially distributed multi-agent systems in a bounded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domain, where agents coordinate internally while responding to an active adversary. They arise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in autonomous multi-agent coordination, biological collectives and tactical team sports.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Statistical topology can already summarise spatial organisation in cooperative collectives, or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when observations can be treated as independent. No unified statistical-topological framework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yet exists to quantify how large-scale organisation emerges, evolves and undergoes structural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transitions under competition. This grant is a proof-of-principle for that framework: it proves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the foundational theorems and builds the full-season evidence base that a follow-on Standard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Grant will transfer across domains.</w:t>
      </w:r>
    </w:p>
    <w:p w14:paraId="4BC5C0F1" w14:textId="546FC951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</w:t>
      </w:r>
      <w:proofErr w:type="gramStart"/>
      <w:r w:rsidRPr="00013D57">
        <w:rPr>
          <w:rFonts w:ascii="Calibri" w:hAnsi="Calibri" w:cs="Calibri"/>
          <w:sz w:val="22"/>
          <w:szCs w:val="22"/>
        </w:rPr>
        <w:t>Importance.*</w:t>
      </w:r>
      <w:proofErr w:type="gramEnd"/>
      <w:r w:rsidRPr="00013D57">
        <w:rPr>
          <w:rFonts w:ascii="Calibri" w:hAnsi="Calibri" w:cs="Calibri"/>
          <w:sz w:val="22"/>
          <w:szCs w:val="22"/>
        </w:rPr>
        <w:t>* Two obstacles limit existing approaches. Organisational structure exists at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several spatial scales at once: small interaction groups, larger formations and </w:t>
      </w:r>
      <w:r w:rsidRPr="00013D57">
        <w:rPr>
          <w:rFonts w:ascii="Calibri" w:hAnsi="Calibri" w:cs="Calibri"/>
          <w:sz w:val="22"/>
          <w:szCs w:val="22"/>
        </w:rPr>
        <w:t>enclosed coverage</w:t>
      </w:r>
      <w:r w:rsidRPr="00013D57">
        <w:rPr>
          <w:rFonts w:ascii="Calibri" w:hAnsi="Calibri" w:cs="Calibri"/>
          <w:sz w:val="22"/>
          <w:szCs w:val="22"/>
        </w:rPr>
        <w:t xml:space="preserve"> regions coexist, yet single-threshold persistent homology [1–3] folds their signatures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into one picture and hides scale-specific structure. Observations are also strongly dependent: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each agent continuously adapts to its opponents, violating the exchangeability assumptions that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underpin current statistical topology [6,8]. Multiparameter persistence [4,5] offers a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theoretical route but remains computationally intractable at competitive data rates.</w:t>
      </w:r>
    </w:p>
    <w:p w14:paraId="27C379AA" w14:textId="51D60226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**Mathematical </w:t>
      </w:r>
      <w:proofErr w:type="gramStart"/>
      <w:r w:rsidRPr="00013D57">
        <w:rPr>
          <w:rFonts w:ascii="Calibri" w:hAnsi="Calibri" w:cs="Calibri"/>
          <w:sz w:val="22"/>
          <w:szCs w:val="22"/>
        </w:rPr>
        <w:t>contribution.*</w:t>
      </w:r>
      <w:proofErr w:type="gramEnd"/>
      <w:r w:rsidRPr="00013D57">
        <w:rPr>
          <w:rFonts w:ascii="Calibri" w:hAnsi="Calibri" w:cs="Calibri"/>
          <w:sz w:val="22"/>
          <w:szCs w:val="22"/>
        </w:rPr>
        <w:t>* Two theorem-level results are targeted. (T1) A unique mean path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of landscape-valued topological summaries exists when observations are dependent and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competitive, not only when they are exchangeable [6]. The landscape representation's linear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structure secures uniqueness; boundedness of the domain discharges the integrability condition.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(T2) Detected transitions can be localised with a proven error bound: a Wasserstein-stability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result for a sequential change-point (CUSUM) statistic on landscape-valued series, under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temporal dependence and a bounded domain. T1 and T2 are proved and tested through two research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objectives: O1 establishes the population-scale geometry on which T1 rests; O2 delivers 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proofs and validates T2 at season scale (§4).</w:t>
      </w:r>
    </w:p>
    <w:p w14:paraId="5BF36B1C" w14:textId="27123AA0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</w:t>
      </w:r>
      <w:proofErr w:type="gramStart"/>
      <w:r w:rsidRPr="00013D57">
        <w:rPr>
          <w:rFonts w:ascii="Calibri" w:hAnsi="Calibri" w:cs="Calibri"/>
          <w:sz w:val="22"/>
          <w:szCs w:val="22"/>
        </w:rPr>
        <w:t>Quality.*</w:t>
      </w:r>
      <w:proofErr w:type="gramEnd"/>
      <w:r w:rsidRPr="00013D57">
        <w:rPr>
          <w:rFonts w:ascii="Calibri" w:hAnsi="Calibri" w:cs="Calibri"/>
          <w:sz w:val="22"/>
          <w:szCs w:val="22"/>
        </w:rPr>
        <w:t>* T1 and T2 are stated as explicit, checkable claims — the results are proved or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they are not. Interaction lengths are set by stability-validated spatial scales already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recovered at pilot scale [17] and re-derived if they fail to transfer. Professional football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tracking data provide a fully observed, spatially bounded, population-scale testbed on which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both theorems are calibrated and tested.</w:t>
      </w:r>
      <w:r w:rsidRPr="00013D57">
        <w:rPr>
          <w:rFonts w:ascii="Calibri" w:hAnsi="Calibri" w:cs="Calibri"/>
          <w:sz w:val="22"/>
          <w:szCs w:val="22"/>
        </w:rPr>
        <w:t xml:space="preserve"> </w:t>
      </w:r>
    </w:p>
    <w:p w14:paraId="2460F13B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36133907" w14:textId="317659B8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2. Background, Timeliness</w:t>
      </w:r>
      <w:r w:rsidRPr="00013D57">
        <w:rPr>
          <w:rFonts w:ascii="Calibri" w:hAnsi="Calibri" w:cs="Calibri"/>
          <w:sz w:val="22"/>
          <w:szCs w:val="22"/>
        </w:rPr>
        <w:t>, Need</w:t>
      </w:r>
      <w:r w:rsidRPr="00013D57">
        <w:rPr>
          <w:rFonts w:ascii="Calibri" w:hAnsi="Calibri" w:cs="Calibri"/>
          <w:sz w:val="22"/>
          <w:szCs w:val="22"/>
        </w:rPr>
        <w:t xml:space="preserve"> and Opportunity</w:t>
      </w:r>
    </w:p>
    <w:p w14:paraId="5613E942" w14:textId="2B68C1B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Topological methods have shown that spatial organisation in multi-agent systems </w:t>
      </w:r>
      <w:r w:rsidRPr="00013D57">
        <w:rPr>
          <w:rFonts w:ascii="Calibri" w:hAnsi="Calibri" w:cs="Calibri"/>
          <w:sz w:val="22"/>
          <w:szCs w:val="22"/>
        </w:rPr>
        <w:t>carries structure</w:t>
      </w:r>
      <w:r w:rsidRPr="00013D57">
        <w:rPr>
          <w:rFonts w:ascii="Calibri" w:hAnsi="Calibri" w:cs="Calibri"/>
          <w:sz w:val="22"/>
          <w:szCs w:val="22"/>
        </w:rPr>
        <w:t>, demonstrated in biological aggregation, collective motion and flocking [11–13] and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topological change-point detection [14]. These applications rely on persistent homology [1,2]and its statistical summaries [6,8,9] to track qualitative shape features across scales —summaries stable under small measurement error [7], enabling formal comparison and averaging.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Multi-scale methods exist for cooperative, slowly evolving systems [10], but not </w:t>
      </w:r>
      <w:r w:rsidRPr="00013D57">
        <w:rPr>
          <w:rFonts w:ascii="Calibri" w:hAnsi="Calibri" w:cs="Calibri"/>
          <w:sz w:val="22"/>
          <w:szCs w:val="22"/>
        </w:rPr>
        <w:t>for hierarchical</w:t>
      </w:r>
      <w:r w:rsidRPr="00013D57">
        <w:rPr>
          <w:rFonts w:ascii="Calibri" w:hAnsi="Calibri" w:cs="Calibri"/>
          <w:sz w:val="22"/>
          <w:szCs w:val="22"/>
        </w:rPr>
        <w:t xml:space="preserve"> competitive dynamics. </w:t>
      </w:r>
      <w:r w:rsidRPr="00013D57">
        <w:rPr>
          <w:rFonts w:ascii="Calibri" w:hAnsi="Calibri" w:cs="Calibri"/>
          <w:sz w:val="22"/>
          <w:szCs w:val="22"/>
        </w:rPr>
        <w:t>C</w:t>
      </w:r>
      <w:r w:rsidRPr="00013D57">
        <w:rPr>
          <w:rFonts w:ascii="Calibri" w:hAnsi="Calibri" w:cs="Calibri"/>
          <w:sz w:val="22"/>
          <w:szCs w:val="22"/>
        </w:rPr>
        <w:t xml:space="preserve">onventional approaches remain single-scale </w:t>
      </w:r>
      <w:r w:rsidRPr="00013D57">
        <w:rPr>
          <w:rFonts w:ascii="Calibri" w:hAnsi="Calibri" w:cs="Calibri"/>
          <w:sz w:val="22"/>
          <w:szCs w:val="22"/>
        </w:rPr>
        <w:t>geometric descriptors</w:t>
      </w:r>
      <w:r w:rsidRPr="00013D57">
        <w:rPr>
          <w:rFonts w:ascii="Calibri" w:hAnsi="Calibri" w:cs="Calibri"/>
          <w:sz w:val="22"/>
          <w:szCs w:val="22"/>
        </w:rPr>
        <w:t xml:space="preserve"> [15,16]. Our pilot [17] takes a first step, recovering three stable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connected-component regimes and two complementary loop regimes across 10 realisations of a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competitive collective system, in which the scales carry largely independent information.</w:t>
      </w:r>
    </w:p>
    <w:p w14:paraId="3CB4B901" w14:textId="27C668BF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</w:t>
      </w:r>
      <w:proofErr w:type="gramStart"/>
      <w:r w:rsidRPr="00013D57">
        <w:rPr>
          <w:rFonts w:ascii="Calibri" w:hAnsi="Calibri" w:cs="Calibri"/>
          <w:sz w:val="22"/>
          <w:szCs w:val="22"/>
        </w:rPr>
        <w:t>Timeliness.*</w:t>
      </w:r>
      <w:proofErr w:type="gramEnd"/>
      <w:r w:rsidRPr="00013D57">
        <w:rPr>
          <w:rFonts w:ascii="Calibri" w:hAnsi="Calibri" w:cs="Calibri"/>
          <w:sz w:val="22"/>
          <w:szCs w:val="22"/>
        </w:rPr>
        <w:t>* Three developments have converged: multi-scale topology and statistical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comparison tools have reached maturity [4,6,8,9,11–14]; scalable computation now supports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rigorous analysis of high-frequency interaction data at population scale (§5); and fully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labelled competitive tracking data have become available at the same scale. No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statistical-topology treatment of competitive collective systems yet combines these three.</w:t>
      </w:r>
    </w:p>
    <w:p w14:paraId="1340D541" w14:textId="55BCA38E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**Need and </w:t>
      </w:r>
      <w:proofErr w:type="gramStart"/>
      <w:r w:rsidRPr="00013D57">
        <w:rPr>
          <w:rFonts w:ascii="Calibri" w:hAnsi="Calibri" w:cs="Calibri"/>
          <w:sz w:val="22"/>
          <w:szCs w:val="22"/>
        </w:rPr>
        <w:t>opportunity.*</w:t>
      </w:r>
      <w:proofErr w:type="gramEnd"/>
      <w:r w:rsidRPr="00013D57">
        <w:rPr>
          <w:rFonts w:ascii="Calibri" w:hAnsi="Calibri" w:cs="Calibri"/>
          <w:sz w:val="22"/>
          <w:szCs w:val="22"/>
        </w:rPr>
        <w:t>* The mathematical gap is specific: no validated statistical-topology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workflow exists for systems generated by continuous competitive interaction, because existing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inference methods provide theoretical guarantees only in static, single-scale or exchangeable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settings. Professional football provides the opportunity to close it — a well-observed platform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where all agents </w:t>
      </w:r>
      <w:r w:rsidRPr="00013D57">
        <w:rPr>
          <w:rFonts w:ascii="Calibri" w:hAnsi="Calibri" w:cs="Calibri"/>
          <w:sz w:val="22"/>
          <w:szCs w:val="22"/>
        </w:rPr>
        <w:lastRenderedPageBreak/>
        <w:t>are continuously tracked within strict spatial boundaries and domain experts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can verify results. The resulting framework generalises to any bounded competitive system once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interaction lengths are re-derived.</w:t>
      </w:r>
    </w:p>
    <w:p w14:paraId="3941D22A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2D286DE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3. Impact and Beneficiaries</w:t>
      </w:r>
    </w:p>
    <w:p w14:paraId="40327669" w14:textId="1DA08DE6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**Mathematical </w:t>
      </w:r>
      <w:proofErr w:type="gramStart"/>
      <w:r w:rsidRPr="00013D57">
        <w:rPr>
          <w:rFonts w:ascii="Calibri" w:hAnsi="Calibri" w:cs="Calibri"/>
          <w:sz w:val="22"/>
          <w:szCs w:val="22"/>
        </w:rPr>
        <w:t>impact.*</w:t>
      </w:r>
      <w:proofErr w:type="gramEnd"/>
      <w:r w:rsidRPr="00013D57">
        <w:rPr>
          <w:rFonts w:ascii="Calibri" w:hAnsi="Calibri" w:cs="Calibri"/>
          <w:sz w:val="22"/>
          <w:szCs w:val="22"/>
        </w:rPr>
        <w:t>* The primary contribution is new statistical-topology theory for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dependent competitive systems: the mean-path (T1) and Wasserstein-stability (T2) results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extend current foundations [6,8] to sequential adversarial dynamics. Both are implemented in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an open-source library for competitive point-cloud analysis, and the primary beneficiaries —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researchers in topology, statistics and complex systems — gain new theoretical foundations for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inference on dependent spatial data and the software to apply them. **National </w:t>
      </w:r>
      <w:proofErr w:type="gramStart"/>
      <w:r w:rsidRPr="00013D57">
        <w:rPr>
          <w:rFonts w:ascii="Calibri" w:hAnsi="Calibri" w:cs="Calibri"/>
          <w:sz w:val="22"/>
          <w:szCs w:val="22"/>
        </w:rPr>
        <w:t>importance.*</w:t>
      </w:r>
      <w:proofErr w:type="gramEnd"/>
      <w:r w:rsidRPr="00013D57">
        <w:rPr>
          <w:rFonts w:ascii="Calibri" w:hAnsi="Calibri" w:cs="Calibri"/>
          <w:sz w:val="22"/>
          <w:szCs w:val="22"/>
        </w:rPr>
        <w:t>* UK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groups lead internationally in statistical topology [6,8] and stochastic geometry, but current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methods remain confined to static or exchangeable settings. This project develops UK capability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at the frontier of statistical TDA, spatial point processes and sequential inference on abstract</w:t>
      </w:r>
    </w:p>
    <w:p w14:paraId="36F453FD" w14:textId="1AA41593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metric spaces, aligning with EPSRC priorities in mathematical sciences, AI-enabled modelling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and complex systems. **Economic and industry </w:t>
      </w:r>
      <w:proofErr w:type="gramStart"/>
      <w:r w:rsidRPr="00013D57">
        <w:rPr>
          <w:rFonts w:ascii="Calibri" w:hAnsi="Calibri" w:cs="Calibri"/>
          <w:sz w:val="22"/>
          <w:szCs w:val="22"/>
        </w:rPr>
        <w:t>impact.*</w:t>
      </w:r>
      <w:proofErr w:type="gramEnd"/>
      <w:r w:rsidRPr="00013D57">
        <w:rPr>
          <w:rFonts w:ascii="Calibri" w:hAnsi="Calibri" w:cs="Calibri"/>
          <w:sz w:val="22"/>
          <w:szCs w:val="22"/>
        </w:rPr>
        <w:t>* The project is co-developed with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Swansea City AFC (SCAFC), delivering practitioner outputs unavailable from conventional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geometric measures; secondary beneficiaries are sports analytics researchers and practitioners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who receive interpretable structural measures of collective organisation. **Standard Grant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013D57">
        <w:rPr>
          <w:rFonts w:ascii="Calibri" w:hAnsi="Calibri" w:cs="Calibri"/>
          <w:sz w:val="22"/>
          <w:szCs w:val="22"/>
        </w:rPr>
        <w:t>pathway.*</w:t>
      </w:r>
      <w:proofErr w:type="gramEnd"/>
      <w:r w:rsidRPr="00013D57">
        <w:rPr>
          <w:rFonts w:ascii="Calibri" w:hAnsi="Calibri" w:cs="Calibri"/>
          <w:sz w:val="22"/>
          <w:szCs w:val="22"/>
        </w:rPr>
        <w:t>* The T1/T2 foundations proved here prepare a follow-on Standard Grant transferring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the guarantees to spatial predator–prey dynamics, including tumour–immune competition with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Co-I </w:t>
      </w:r>
      <w:proofErr w:type="spellStart"/>
      <w:r w:rsidRPr="00013D57">
        <w:rPr>
          <w:rFonts w:ascii="Calibri" w:hAnsi="Calibri" w:cs="Calibri"/>
          <w:sz w:val="22"/>
          <w:szCs w:val="22"/>
        </w:rPr>
        <w:t>Powathil</w:t>
      </w:r>
      <w:proofErr w:type="spellEnd"/>
      <w:r w:rsidRPr="00013D57">
        <w:rPr>
          <w:rFonts w:ascii="Calibri" w:hAnsi="Calibri" w:cs="Calibri"/>
          <w:sz w:val="22"/>
          <w:szCs w:val="22"/>
        </w:rPr>
        <w:t>; broader competitive-domain beneficiaries will be addressed in that programme.</w:t>
      </w:r>
    </w:p>
    <w:p w14:paraId="5646E3EE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78A30530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Approach</w:t>
      </w:r>
    </w:p>
    <w:p w14:paraId="3D154F0C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4. Research Design and Objectives</w:t>
      </w:r>
    </w:p>
    <w:p w14:paraId="600D613E" w14:textId="7D1A222C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**Project </w:t>
      </w:r>
      <w:proofErr w:type="gramStart"/>
      <w:r w:rsidRPr="00013D57">
        <w:rPr>
          <w:rFonts w:ascii="Calibri" w:hAnsi="Calibri" w:cs="Calibri"/>
          <w:sz w:val="22"/>
          <w:szCs w:val="22"/>
        </w:rPr>
        <w:t>structure.*</w:t>
      </w:r>
      <w:proofErr w:type="gramEnd"/>
      <w:r w:rsidRPr="00013D57">
        <w:rPr>
          <w:rFonts w:ascii="Calibri" w:hAnsi="Calibri" w:cs="Calibri"/>
          <w:sz w:val="22"/>
          <w:szCs w:val="22"/>
        </w:rPr>
        <w:t>* The PI (0.2 FTE) leads framework development, analysis and publication.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Two Co-Investigators (0.1 FTE combined) supply statistical and domain expertise. A Research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Associate (Months 2–10) implements the computational pipeline and conducts the full-season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analysis, developing cross-disciplinary competence in statistical topology, sequential inference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and applied sport science — a combination that constitutes structured postdoctoral training in</w:t>
      </w:r>
      <w:r w:rsidRPr="00013D57"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competitive-systems methodology. SCAFC provides tracking data and tactical labels.</w:t>
      </w:r>
    </w:p>
    <w:p w14:paraId="3565BED4" w14:textId="2BBAD9F0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**Sample-size </w:t>
      </w:r>
      <w:proofErr w:type="gramStart"/>
      <w:r w:rsidRPr="00013D57">
        <w:rPr>
          <w:rFonts w:ascii="Calibri" w:hAnsi="Calibri" w:cs="Calibri"/>
          <w:sz w:val="22"/>
          <w:szCs w:val="22"/>
        </w:rPr>
        <w:t>rationale.*</w:t>
      </w:r>
      <w:proofErr w:type="gramEnd"/>
      <w:r w:rsidRPr="00013D57">
        <w:rPr>
          <w:rFonts w:ascii="Calibri" w:hAnsi="Calibri" w:cs="Calibri"/>
          <w:sz w:val="22"/>
          <w:szCs w:val="22"/>
        </w:rPr>
        <w:t>* A Championship season (≈540 matches) supplies the replication the</w:t>
      </w:r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013D57">
        <w:rPr>
          <w:rFonts w:ascii="Calibri" w:hAnsi="Calibri" w:cs="Calibri"/>
          <w:sz w:val="22"/>
          <w:szCs w:val="22"/>
        </w:rPr>
        <w:t>10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realisation</w:t>
      </w:r>
      <w:proofErr w:type="gramEnd"/>
      <w:r w:rsidRPr="00013D57">
        <w:rPr>
          <w:rFonts w:ascii="Calibri" w:hAnsi="Calibri" w:cs="Calibri"/>
          <w:sz w:val="22"/>
          <w:szCs w:val="22"/>
        </w:rPr>
        <w:t xml:space="preserve"> pilot cannot. Approximately 32 matches per covariate subgroup (phase of play,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opponent strength or venue) yield a 95% CI half-width of 0.025 for the match-level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tactical-scale loop-presence rate (pilot across-match </w:t>
      </w:r>
      <w:proofErr w:type="spellStart"/>
      <w:r w:rsidRPr="00013D57">
        <w:rPr>
          <w:rFonts w:ascii="Calibri" w:hAnsi="Calibri" w:cs="Calibri"/>
          <w:sz w:val="22"/>
          <w:szCs w:val="22"/>
        </w:rPr>
        <w:t>s.d.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0.072 [17]). Separately, 180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matches per tactical formation detect Cohen's d ≥ 0.30 at 80% power (α=0.05, Benjamini–Hochberg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FDR). A borderline within-match pilot effect (p=0.051) is the replication target.</w:t>
      </w:r>
    </w:p>
    <w:p w14:paraId="4C492AB2" w14:textId="4D5FDFE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**O1: Population-scale geometry (PI Months 1–9; RA Months 2–9</w:t>
      </w:r>
      <w:proofErr w:type="gramStart"/>
      <w:r w:rsidRPr="00013D57">
        <w:rPr>
          <w:rFonts w:ascii="Calibri" w:hAnsi="Calibri" w:cs="Calibri"/>
          <w:sz w:val="22"/>
          <w:szCs w:val="22"/>
        </w:rPr>
        <w:t>).*</w:t>
      </w:r>
      <w:proofErr w:type="gramEnd"/>
      <w:r w:rsidRPr="00013D57">
        <w:rPr>
          <w:rFonts w:ascii="Calibri" w:hAnsi="Calibri" w:cs="Calibri"/>
          <w:sz w:val="22"/>
          <w:szCs w:val="22"/>
        </w:rPr>
        <w:t>* O1 determines whether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scale-specific topological summaries are stable enough to average at population scale, and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whether distances between those summaries distinguish competitive organisational states beyond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conventional geometric descriptors [6,8], using a 20-match validation batch to test cutoff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transferability. Success criteria: cutoff stability ≥ 0.80 (below this, interaction lengths are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re-derived); moment conditions documented at season scale; discriminable signatures for ≥3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tactical formations (FDR-corrected differences, p&lt;0.05). Milestones: OSF pre-registration of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hypotheses and exclusion rules, Month 2; cutoff gate, Month 2; barcode database and moment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conditions, Month 7; comparison-geometry results, Month 9.</w:t>
      </w:r>
    </w:p>
    <w:p w14:paraId="55C279F7" w14:textId="5D188E7F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**O2: Inference for dependent topological processes (PI and RA, Months 4–10</w:t>
      </w:r>
      <w:proofErr w:type="gramStart"/>
      <w:r w:rsidRPr="00013D57">
        <w:rPr>
          <w:rFonts w:ascii="Calibri" w:hAnsi="Calibri" w:cs="Calibri"/>
          <w:sz w:val="22"/>
          <w:szCs w:val="22"/>
        </w:rPr>
        <w:t>).*</w:t>
      </w:r>
      <w:proofErr w:type="gramEnd"/>
      <w:r w:rsidRPr="00013D57">
        <w:rPr>
          <w:rFonts w:ascii="Calibri" w:hAnsi="Calibri" w:cs="Calibri"/>
          <w:sz w:val="22"/>
          <w:szCs w:val="22"/>
        </w:rPr>
        <w:t>* O2 proves 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§1 theorems using functional principal component analysis (FPCA) [18], CUSUM [19] and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bootstrap calibration [6]. Success criterion: change-points agree with held-out annotations at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≥70% (permutation p &lt; 0.05); fallback is direct Wasserstein diagram comparison, already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demonstrated in the pilot. </w:t>
      </w:r>
      <w:r w:rsidRPr="00013D57">
        <w:rPr>
          <w:rFonts w:ascii="Calibri" w:hAnsi="Calibri" w:cs="Calibri"/>
          <w:sz w:val="22"/>
          <w:szCs w:val="22"/>
        </w:rPr>
        <w:lastRenderedPageBreak/>
        <w:t>Milestones: landscape module Month 8; T1/T2 statements and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calibrated change-point outputs, Month 9; results finalised for the season paper, Month 10.</w:t>
      </w:r>
    </w:p>
    <w:p w14:paraId="20CDEC4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16EDF05B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5. Methodology</w:t>
      </w:r>
    </w:p>
    <w:p w14:paraId="2913AC47" w14:textId="12738FB1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A containerised Python pipeline processes each match frame as a point cloud. Agents are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partitioned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using empirically derived interaction lengths validated against a three-scale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stability criterion: H₀ and H₁ barcode profiles must reproduce the pilot's three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connected-component and two loop regimes within tolerance across a 20-match validation batch;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scales that fail are re-derived before production processing begins. Persistent homology is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computed at each accepted scale using </w:t>
      </w:r>
      <w:proofErr w:type="spellStart"/>
      <w:r w:rsidRPr="00013D57">
        <w:rPr>
          <w:rFonts w:ascii="Calibri" w:hAnsi="Calibri" w:cs="Calibri"/>
          <w:sz w:val="22"/>
          <w:szCs w:val="22"/>
        </w:rPr>
        <w:t>Ripser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[20], GUDHI [21] and </w:t>
      </w:r>
      <w:proofErr w:type="spellStart"/>
      <w:r w:rsidRPr="00013D57">
        <w:rPr>
          <w:rFonts w:ascii="Calibri" w:hAnsi="Calibri" w:cs="Calibri"/>
          <w:sz w:val="22"/>
          <w:szCs w:val="22"/>
        </w:rPr>
        <w:t>giotto-tda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[22], producing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barcodes converted to persistence landscapes for the O2 time-series analysis and to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diagram-image features [9] for the O1 classification task. Production processing runs at 1 Hz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on Supercomputing Wales (§7).</w:t>
      </w:r>
    </w:p>
    <w:p w14:paraId="390F344A" w14:textId="1DDBE725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For O1, landscape distributions are compared across tactical formations and covariate subgroups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using persistence-based distances, with discriminability tested by permutation tests under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BH-FDR correction. Hypotheses and exclusion criteria are pre-registered on OSF (Month 2) to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prevent post-hoc selection.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For O2, landscape-valued time series are summarised using FPCA [18], reducing each topological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trajectory to a low-dimensional functional representation while retaining within-landscape</w:t>
      </w:r>
    </w:p>
    <w:p w14:paraId="1B215A74" w14:textId="483088DE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structure that scalar features discard. CUSUM statistics [19] are applied to the FPCA scores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with detection thresholds calibrated by block bootstrap, using the pilot's inter-match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dependence structure as the resampling block length. T1 is established by verifying that 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coordinate</w:t>
      </w:r>
      <w:r>
        <w:rPr>
          <w:rFonts w:ascii="Calibri" w:hAnsi="Calibri" w:cs="Calibri"/>
          <w:sz w:val="22"/>
          <w:szCs w:val="22"/>
        </w:rPr>
        <w:t>-</w:t>
      </w:r>
      <w:r w:rsidRPr="00013D57">
        <w:rPr>
          <w:rFonts w:ascii="Calibri" w:hAnsi="Calibri" w:cs="Calibri"/>
          <w:sz w:val="22"/>
          <w:szCs w:val="22"/>
        </w:rPr>
        <w:t>wise landscape mean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is stable under the seasonal dependent data distribution; T2 is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validated by comparing detected change-points against held-out event annotations.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Reproducibility is ensured throughout via containerisation, version-controlled code, OSF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pre-registration and DOI-archived software releases.</w:t>
      </w:r>
    </w:p>
    <w:p w14:paraId="6997D480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6891131F" w14:textId="21D0A01F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6. Feasibility and Risk Management</w:t>
      </w:r>
    </w:p>
    <w:p w14:paraId="5EBA8914" w14:textId="1D3677D8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The project is feasible in twelve months because the method is </w:t>
      </w:r>
      <w:proofErr w:type="gramStart"/>
      <w:r w:rsidRPr="00013D57">
        <w:rPr>
          <w:rFonts w:ascii="Calibri" w:hAnsi="Calibri" w:cs="Calibri"/>
          <w:sz w:val="22"/>
          <w:szCs w:val="22"/>
        </w:rPr>
        <w:t>pilot-validated</w:t>
      </w:r>
      <w:proofErr w:type="gramEnd"/>
      <w:r w:rsidRPr="00013D57">
        <w:rPr>
          <w:rFonts w:ascii="Calibri" w:hAnsi="Calibri" w:cs="Calibri"/>
          <w:sz w:val="22"/>
          <w:szCs w:val="22"/>
        </w:rPr>
        <w:t xml:space="preserve"> (§2), data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access is secured through the SCAFC agreement, and the computational budget is modest relative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to the available allocation (§7). The pilot has already fixed the parameter ranges over which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T1 and T2 are stated, so O2 begins from established conditions rather than from scoping work.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Three residual risks remain. (R1) Scale transferability (medium likelihood, high impact):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without transferable interaction lengths, averaging is not meaningful; the Month-2 cutoff gate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re-derives them if stability falls below 0.80. (R2) Tactical label uncertainty (medium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likelihood, low impact): dual-source verification, Cohen's κ and pre-registered exclusions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mitigate this; labels affect O1 interpretation, not the theorems. (R3) Landscape theory (low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likelihood, medium impact): if the landscape argument is intractable, O2 uses the Wasserstein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diagram comparison already demonstrated in the pilot, and T1 uniqueness is not claimed.</w:t>
      </w:r>
      <w:r>
        <w:rPr>
          <w:rFonts w:ascii="Calibri" w:hAnsi="Calibri" w:cs="Calibri"/>
          <w:sz w:val="22"/>
          <w:szCs w:val="22"/>
        </w:rPr>
        <w:t xml:space="preserve"> </w:t>
      </w:r>
    </w:p>
    <w:p w14:paraId="3529A4B3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32950574" w14:textId="121F7AC0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## 7. Outcomes, Team and Resources</w:t>
      </w:r>
    </w:p>
    <w:p w14:paraId="52775D73" w14:textId="78F0D29A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**Publications and </w:t>
      </w:r>
      <w:proofErr w:type="gramStart"/>
      <w:r w:rsidRPr="00013D57">
        <w:rPr>
          <w:rFonts w:ascii="Calibri" w:hAnsi="Calibri" w:cs="Calibri"/>
          <w:sz w:val="22"/>
          <w:szCs w:val="22"/>
        </w:rPr>
        <w:t>software.*</w:t>
      </w:r>
      <w:proofErr w:type="gramEnd"/>
      <w:r w:rsidRPr="00013D57">
        <w:rPr>
          <w:rFonts w:ascii="Calibri" w:hAnsi="Calibri" w:cs="Calibri"/>
          <w:sz w:val="22"/>
          <w:szCs w:val="22"/>
        </w:rPr>
        <w:t>* The methodology paper [17] is submitted in Months 1–2; a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full-season results paper at Month 11; and the companion football-analytics paper [23] at Month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12. The open-source library is released as a documented package with DOI via Swansea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University's </w:t>
      </w:r>
      <w:proofErr w:type="spellStart"/>
      <w:r w:rsidRPr="00013D57">
        <w:rPr>
          <w:rFonts w:ascii="Calibri" w:hAnsi="Calibri" w:cs="Calibri"/>
          <w:sz w:val="22"/>
          <w:szCs w:val="22"/>
        </w:rPr>
        <w:t>Zenodo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community, forming the principal reproducibility artefact for both papers.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Practitioner outputs with SCAFC (Month 11) let analysts review how collective organisation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changes around important match events, going beyond conventional geometric descriptors (length,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width, centroid) [15,16]. Library, publications and practitioner outputs together form 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Month-12 evidence pack for the follow-on Standard Grant (§3).</w:t>
      </w:r>
    </w:p>
    <w:p w14:paraId="7E846F11" w14:textId="534E5193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**Team.** The project is based at Swansea University's Zienkiewicz Institute for Modelling,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Data and AI (ZI) and brings together expertise not previously combined in a single grant: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statistical topology (PI), mathematical oncology (Co-I </w:t>
      </w:r>
      <w:proofErr w:type="spellStart"/>
      <w:r w:rsidRPr="00013D57">
        <w:rPr>
          <w:rFonts w:ascii="Calibri" w:hAnsi="Calibri" w:cs="Calibri"/>
          <w:sz w:val="22"/>
          <w:szCs w:val="22"/>
        </w:rPr>
        <w:t>Powathil</w:t>
      </w:r>
      <w:proofErr w:type="spellEnd"/>
      <w:r w:rsidRPr="00013D57">
        <w:rPr>
          <w:rFonts w:ascii="Calibri" w:hAnsi="Calibri" w:cs="Calibri"/>
          <w:sz w:val="22"/>
          <w:szCs w:val="22"/>
        </w:rPr>
        <w:t>) and sport and exercise science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(Co-I Kilduff), with SCAFC as the live industry co-development setting. This new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interdisciplinary collaboration bridges communities with distinct analytical traditions —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mathematical, biological and sporting — through a shared </w:t>
      </w:r>
      <w:r w:rsidRPr="00013D57">
        <w:rPr>
          <w:rFonts w:ascii="Calibri" w:hAnsi="Calibri" w:cs="Calibri"/>
          <w:sz w:val="22"/>
          <w:szCs w:val="22"/>
        </w:rPr>
        <w:lastRenderedPageBreak/>
        <w:t>topological framework, making it a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natural fit for the Small Grant scheme's new-collaboration remit. Prof Kilduff supplies the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sport-science judgement that turns organisational-state distinctions into tactically meaningful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 xml:space="preserve">categories, grounding the practitioner outputs; Prof </w:t>
      </w:r>
      <w:proofErr w:type="spellStart"/>
      <w:r w:rsidRPr="00013D57">
        <w:rPr>
          <w:rFonts w:ascii="Calibri" w:hAnsi="Calibri" w:cs="Calibri"/>
          <w:sz w:val="22"/>
          <w:szCs w:val="22"/>
        </w:rPr>
        <w:t>Powathil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positions the T1/T2 results for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the health-science pathway the Standard Grant will pursue.</w:t>
      </w:r>
    </w:p>
    <w:p w14:paraId="3D9C7135" w14:textId="5E72768B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**</w:t>
      </w:r>
      <w:proofErr w:type="gramStart"/>
      <w:r w:rsidRPr="00013D57">
        <w:rPr>
          <w:rFonts w:ascii="Calibri" w:hAnsi="Calibri" w:cs="Calibri"/>
          <w:sz w:val="22"/>
          <w:szCs w:val="22"/>
        </w:rPr>
        <w:t>Resources.*</w:t>
      </w:r>
      <w:proofErr w:type="gramEnd"/>
      <w:r w:rsidRPr="00013D57">
        <w:rPr>
          <w:rFonts w:ascii="Calibri" w:hAnsi="Calibri" w:cs="Calibri"/>
          <w:sz w:val="22"/>
          <w:szCs w:val="22"/>
        </w:rPr>
        <w:t>* Full-season processing uses the PI's Supercomputing Wales allocation: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approximately 1,600 CPU-hours of a 5,000 CPU-hour available budget. The containerised pipeline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is executable on local machines and high-performance computing clusters. Swansea University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provides host and research support through ZI and the University Research Office, with</w:t>
      </w:r>
      <w:r>
        <w:rPr>
          <w:rFonts w:ascii="Calibri" w:hAnsi="Calibri" w:cs="Calibri"/>
          <w:sz w:val="22"/>
          <w:szCs w:val="22"/>
        </w:rPr>
        <w:t xml:space="preserve"> </w:t>
      </w:r>
      <w:r w:rsidRPr="00013D57">
        <w:rPr>
          <w:rFonts w:ascii="Calibri" w:hAnsi="Calibri" w:cs="Calibri"/>
          <w:sz w:val="22"/>
          <w:szCs w:val="22"/>
        </w:rPr>
        <w:t>data-governance and ethics processes established for the SCAFC data.</w:t>
      </w:r>
    </w:p>
    <w:p w14:paraId="35AFC669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2B7D3E4A" w14:textId="77777777" w:rsidR="00013D57" w:rsidRDefault="00013D57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335B80EA" w14:textId="4ED70F92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lastRenderedPageBreak/>
        <w:t>## References</w:t>
      </w:r>
    </w:p>
    <w:p w14:paraId="586D5185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</w:p>
    <w:p w14:paraId="74DD443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1. Carlsson, G. (2009). Topology and data. *Bulletin of the American Mathematical Society*,</w:t>
      </w:r>
    </w:p>
    <w:p w14:paraId="678ED735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46(2), 255–308.</w:t>
      </w:r>
    </w:p>
    <w:p w14:paraId="6DE2F560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2. </w:t>
      </w:r>
      <w:proofErr w:type="spellStart"/>
      <w:r w:rsidRPr="00013D57">
        <w:rPr>
          <w:rFonts w:ascii="Calibri" w:hAnsi="Calibri" w:cs="Calibri"/>
          <w:sz w:val="22"/>
          <w:szCs w:val="22"/>
        </w:rPr>
        <w:t>Zomorodian</w:t>
      </w:r>
      <w:proofErr w:type="spellEnd"/>
      <w:r w:rsidRPr="00013D57">
        <w:rPr>
          <w:rFonts w:ascii="Calibri" w:hAnsi="Calibri" w:cs="Calibri"/>
          <w:sz w:val="22"/>
          <w:szCs w:val="22"/>
        </w:rPr>
        <w:t>, A. &amp; Carlsson, G. (2005). Computing persistent homology. *Discrete &amp;</w:t>
      </w:r>
    </w:p>
    <w:p w14:paraId="36EC5E02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Computational Geometry*, 33(2), 249–274.</w:t>
      </w:r>
    </w:p>
    <w:p w14:paraId="24DF4F91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3. </w:t>
      </w:r>
      <w:proofErr w:type="spellStart"/>
      <w:r w:rsidRPr="00013D57">
        <w:rPr>
          <w:rFonts w:ascii="Calibri" w:hAnsi="Calibri" w:cs="Calibri"/>
          <w:sz w:val="22"/>
          <w:szCs w:val="22"/>
        </w:rPr>
        <w:t>Edelsbrunner</w:t>
      </w:r>
      <w:proofErr w:type="spellEnd"/>
      <w:r w:rsidRPr="00013D57">
        <w:rPr>
          <w:rFonts w:ascii="Calibri" w:hAnsi="Calibri" w:cs="Calibri"/>
          <w:sz w:val="22"/>
          <w:szCs w:val="22"/>
        </w:rPr>
        <w:t>, H. &amp; Harer, J. (2010). *Computational Topology: An Introduction*. American</w:t>
      </w:r>
    </w:p>
    <w:p w14:paraId="25FC232D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Mathematical Society.</w:t>
      </w:r>
    </w:p>
    <w:p w14:paraId="54DE4359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4. </w:t>
      </w:r>
      <w:proofErr w:type="spellStart"/>
      <w:r w:rsidRPr="00013D57">
        <w:rPr>
          <w:rFonts w:ascii="Calibri" w:hAnsi="Calibri" w:cs="Calibri"/>
          <w:sz w:val="22"/>
          <w:szCs w:val="22"/>
        </w:rPr>
        <w:t>Botnan</w:t>
      </w:r>
      <w:proofErr w:type="spellEnd"/>
      <w:r w:rsidRPr="00013D57">
        <w:rPr>
          <w:rFonts w:ascii="Calibri" w:hAnsi="Calibri" w:cs="Calibri"/>
          <w:sz w:val="22"/>
          <w:szCs w:val="22"/>
        </w:rPr>
        <w:t>, M. B. &amp; Lesnick, M. (2022). An introduction to multiparameter persistence. In</w:t>
      </w:r>
    </w:p>
    <w:p w14:paraId="6DCA8A8A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*Representations of Algebras and Related Structures* (pp. 77–150). EMS Press.</w:t>
      </w:r>
    </w:p>
    <w:p w14:paraId="0E31CED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5. Lesnick, M. (2015). The theory of the interleaving distance on multidimensional persistence</w:t>
      </w:r>
    </w:p>
    <w:p w14:paraId="27D8C79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modules. *Foundations of Computational Mathematics*, 15(3), 613–650.</w:t>
      </w:r>
    </w:p>
    <w:p w14:paraId="426D387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6. Chazal, F., Fasy, B. T., </w:t>
      </w:r>
      <w:proofErr w:type="spellStart"/>
      <w:r w:rsidRPr="00013D57">
        <w:rPr>
          <w:rFonts w:ascii="Calibri" w:hAnsi="Calibri" w:cs="Calibri"/>
          <w:sz w:val="22"/>
          <w:szCs w:val="22"/>
        </w:rPr>
        <w:t>Lecci</w:t>
      </w:r>
      <w:proofErr w:type="spellEnd"/>
      <w:r w:rsidRPr="00013D57">
        <w:rPr>
          <w:rFonts w:ascii="Calibri" w:hAnsi="Calibri" w:cs="Calibri"/>
          <w:sz w:val="22"/>
          <w:szCs w:val="22"/>
        </w:rPr>
        <w:t>, F., Rinaldo, A. &amp; Wasserman, L. (2014). Stochastic</w:t>
      </w:r>
    </w:p>
    <w:p w14:paraId="731BA31D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convergence of persistence landscapes and silhouettes. *Proceedings of the 30th Annual</w:t>
      </w:r>
    </w:p>
    <w:p w14:paraId="064D7BBC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Symposium on Computational Geometry*, 474–483.</w:t>
      </w:r>
    </w:p>
    <w:p w14:paraId="659099DC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7. Cohen-Steiner, D., </w:t>
      </w:r>
      <w:proofErr w:type="spellStart"/>
      <w:r w:rsidRPr="00013D57">
        <w:rPr>
          <w:rFonts w:ascii="Calibri" w:hAnsi="Calibri" w:cs="Calibri"/>
          <w:sz w:val="22"/>
          <w:szCs w:val="22"/>
        </w:rPr>
        <w:t>Edelsbrunner</w:t>
      </w:r>
      <w:proofErr w:type="spellEnd"/>
      <w:r w:rsidRPr="00013D57">
        <w:rPr>
          <w:rFonts w:ascii="Calibri" w:hAnsi="Calibri" w:cs="Calibri"/>
          <w:sz w:val="22"/>
          <w:szCs w:val="22"/>
        </w:rPr>
        <w:t>, H. &amp; Harer, J. (2007). Stability of persistence diagrams.</w:t>
      </w:r>
    </w:p>
    <w:p w14:paraId="776B8075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*Discrete &amp; Computational Geometry*, 37(1), 103–120.</w:t>
      </w:r>
    </w:p>
    <w:p w14:paraId="722C0C2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8. Bubenik, P. (2015). Statistical topological data analysis using persistence landscapes.</w:t>
      </w:r>
    </w:p>
    <w:p w14:paraId="1EDB138E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*Journal of Machine Learning Research*, 16(1), 77–102.</w:t>
      </w:r>
    </w:p>
    <w:p w14:paraId="5589EAE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9. Adams, H. et al. (2017). Persistence images: a stable vector representation of persistent</w:t>
      </w:r>
    </w:p>
    <w:p w14:paraId="2705823A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homology. *Journal of Machine Learning Research*, 18(8), 1–35.</w:t>
      </w:r>
    </w:p>
    <w:p w14:paraId="1961AA8A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10. Schindler, D. J. &amp; Barahona, M. (2023). Analysing multiscale </w:t>
      </w:r>
      <w:proofErr w:type="spellStart"/>
      <w:r w:rsidRPr="00013D57">
        <w:rPr>
          <w:rFonts w:ascii="Calibri" w:hAnsi="Calibri" w:cs="Calibri"/>
          <w:sz w:val="22"/>
          <w:szCs w:val="22"/>
        </w:rPr>
        <w:t>clusterings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with persistent</w:t>
      </w:r>
    </w:p>
    <w:p w14:paraId="52D81DD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homology. arXiv:2305.04281.</w:t>
      </w:r>
    </w:p>
    <w:p w14:paraId="47FD934D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11. Topaz, C. M., Ziegelmeier, L. &amp; Halverson, T. (2015). Topological data analysis of</w:t>
      </w:r>
    </w:p>
    <w:p w14:paraId="6608D4C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biological aggregation models. *</w:t>
      </w:r>
      <w:proofErr w:type="spellStart"/>
      <w:r w:rsidRPr="00013D57">
        <w:rPr>
          <w:rFonts w:ascii="Calibri" w:hAnsi="Calibri" w:cs="Calibri"/>
          <w:sz w:val="22"/>
          <w:szCs w:val="22"/>
        </w:rPr>
        <w:t>PLoS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ONE*, 10(5), e0126383.</w:t>
      </w:r>
    </w:p>
    <w:p w14:paraId="7BD7AE08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12. Bhaskar, D. et al. (2019). Analysing collective motion with machine learning and topology.</w:t>
      </w:r>
    </w:p>
    <w:p w14:paraId="1C3C5DA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*Chaos*, 29(12), 123125.</w:t>
      </w:r>
    </w:p>
    <w:p w14:paraId="52E15CC8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13. Ballerini, M. et al. (2008). Interaction ruling animal collective behaviour depends on</w:t>
      </w:r>
    </w:p>
    <w:p w14:paraId="2AB1365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topological rather than metric distance. *PNAS*, 105(4), 1232–1237.</w:t>
      </w:r>
    </w:p>
    <w:p w14:paraId="6B7E0DE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14. Gu, K. et al. (2022). Change point detection in multi-agent systems based on </w:t>
      </w:r>
      <w:proofErr w:type="gramStart"/>
      <w:r w:rsidRPr="00013D57">
        <w:rPr>
          <w:rFonts w:ascii="Calibri" w:hAnsi="Calibri" w:cs="Calibri"/>
          <w:sz w:val="22"/>
          <w:szCs w:val="22"/>
        </w:rPr>
        <w:t>higher-order</w:t>
      </w:r>
      <w:proofErr w:type="gramEnd"/>
    </w:p>
    <w:p w14:paraId="5DE84B81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features. *Chaos*, 32(11), 113117.</w:t>
      </w:r>
    </w:p>
    <w:p w14:paraId="33A585FB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15. </w:t>
      </w:r>
      <w:proofErr w:type="spellStart"/>
      <w:r w:rsidRPr="00013D57">
        <w:rPr>
          <w:rFonts w:ascii="Calibri" w:hAnsi="Calibri" w:cs="Calibri"/>
          <w:sz w:val="22"/>
          <w:szCs w:val="22"/>
        </w:rPr>
        <w:t>Folgado</w:t>
      </w:r>
      <w:proofErr w:type="spellEnd"/>
      <w:r w:rsidRPr="00013D57">
        <w:rPr>
          <w:rFonts w:ascii="Calibri" w:hAnsi="Calibri" w:cs="Calibri"/>
          <w:sz w:val="22"/>
          <w:szCs w:val="22"/>
        </w:rPr>
        <w:t>, H. et al. (2014). Length, width and centroid distance as measures of teams'</w:t>
      </w:r>
    </w:p>
    <w:p w14:paraId="7011BA29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tactical performance in youth football. *European Journal of Sport Science*, 14(S1),</w:t>
      </w:r>
    </w:p>
    <w:p w14:paraId="731F97C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S487–S492.</w:t>
      </w:r>
    </w:p>
    <w:p w14:paraId="1E0E81E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16. Fernández, J. &amp; Bornn, L. (2018). Wide open spaces: a statistical technique for measuring</w:t>
      </w:r>
    </w:p>
    <w:p w14:paraId="2D99BE2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space creation in professional soccer. *Sloan Sports Analytics Conference*.</w:t>
      </w:r>
    </w:p>
    <w:p w14:paraId="7E20AC1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17. Brown, R. et al. (2026). Multi-scale persistent homology for competitive spatial systems:</w:t>
      </w:r>
    </w:p>
    <w:p w14:paraId="4676EAF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measurement-aware methods and validation in professional football. </w:t>
      </w:r>
      <w:proofErr w:type="spellStart"/>
      <w:r w:rsidRPr="00013D57">
        <w:rPr>
          <w:rFonts w:ascii="Calibri" w:hAnsi="Calibri" w:cs="Calibri"/>
          <w:sz w:val="22"/>
          <w:szCs w:val="22"/>
        </w:rPr>
        <w:t>ArXiv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preprint; submitted</w:t>
      </w:r>
    </w:p>
    <w:p w14:paraId="5B20BBE7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to the *Journal of Applied and Computational Topology*.</w:t>
      </w:r>
    </w:p>
    <w:p w14:paraId="11D57346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18. Ramsay, J. O. &amp; Silverman, B. W. (2005). *Functional Data Analysis* (2nd ed.). Springer.</w:t>
      </w:r>
    </w:p>
    <w:p w14:paraId="44B3FC8D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19. Page, E. S. (1954). Continuous inspection schemes. *</w:t>
      </w:r>
      <w:proofErr w:type="spellStart"/>
      <w:r w:rsidRPr="00013D57">
        <w:rPr>
          <w:rFonts w:ascii="Calibri" w:hAnsi="Calibri" w:cs="Calibri"/>
          <w:sz w:val="22"/>
          <w:szCs w:val="22"/>
        </w:rPr>
        <w:t>Biometrika</w:t>
      </w:r>
      <w:proofErr w:type="spellEnd"/>
      <w:r w:rsidRPr="00013D57">
        <w:rPr>
          <w:rFonts w:ascii="Calibri" w:hAnsi="Calibri" w:cs="Calibri"/>
          <w:sz w:val="22"/>
          <w:szCs w:val="22"/>
        </w:rPr>
        <w:t>*, 41(1/2), 100–115.</w:t>
      </w:r>
    </w:p>
    <w:p w14:paraId="47EC88EF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20. Bauer, U. (2021). </w:t>
      </w:r>
      <w:proofErr w:type="spellStart"/>
      <w:r w:rsidRPr="00013D57">
        <w:rPr>
          <w:rFonts w:ascii="Calibri" w:hAnsi="Calibri" w:cs="Calibri"/>
          <w:sz w:val="22"/>
          <w:szCs w:val="22"/>
        </w:rPr>
        <w:t>Ripser</w:t>
      </w:r>
      <w:proofErr w:type="spellEnd"/>
      <w:r w:rsidRPr="00013D57">
        <w:rPr>
          <w:rFonts w:ascii="Calibri" w:hAnsi="Calibri" w:cs="Calibri"/>
          <w:sz w:val="22"/>
          <w:szCs w:val="22"/>
        </w:rPr>
        <w:t>: efficient computation of Vietoris–Rips persistence barcodes.</w:t>
      </w:r>
    </w:p>
    <w:p w14:paraId="584E1F40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*Journal of Applied and Computational Topology*, 5(3), 391–423.</w:t>
      </w:r>
    </w:p>
    <w:p w14:paraId="4811BFB4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21. Maria, C., </w:t>
      </w:r>
      <w:proofErr w:type="spellStart"/>
      <w:r w:rsidRPr="00013D57">
        <w:rPr>
          <w:rFonts w:ascii="Calibri" w:hAnsi="Calibri" w:cs="Calibri"/>
          <w:sz w:val="22"/>
          <w:szCs w:val="22"/>
        </w:rPr>
        <w:t>Boissonnat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, J.-D., </w:t>
      </w:r>
      <w:proofErr w:type="spellStart"/>
      <w:r w:rsidRPr="00013D57">
        <w:rPr>
          <w:rFonts w:ascii="Calibri" w:hAnsi="Calibri" w:cs="Calibri"/>
          <w:sz w:val="22"/>
          <w:szCs w:val="22"/>
        </w:rPr>
        <w:t>Glisse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, M. &amp; </w:t>
      </w:r>
      <w:proofErr w:type="spellStart"/>
      <w:r w:rsidRPr="00013D57">
        <w:rPr>
          <w:rFonts w:ascii="Calibri" w:hAnsi="Calibri" w:cs="Calibri"/>
          <w:sz w:val="22"/>
          <w:szCs w:val="22"/>
        </w:rPr>
        <w:t>Yvinec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, M. (2014). The </w:t>
      </w:r>
      <w:proofErr w:type="spellStart"/>
      <w:r w:rsidRPr="00013D57">
        <w:rPr>
          <w:rFonts w:ascii="Calibri" w:hAnsi="Calibri" w:cs="Calibri"/>
          <w:sz w:val="22"/>
          <w:szCs w:val="22"/>
        </w:rPr>
        <w:t>Gudhi</w:t>
      </w:r>
      <w:proofErr w:type="spellEnd"/>
      <w:r w:rsidRPr="00013D57">
        <w:rPr>
          <w:rFonts w:ascii="Calibri" w:hAnsi="Calibri" w:cs="Calibri"/>
          <w:sz w:val="22"/>
          <w:szCs w:val="22"/>
        </w:rPr>
        <w:t xml:space="preserve"> library:</w:t>
      </w:r>
    </w:p>
    <w:p w14:paraId="6BF433FB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simplicial complexes and persistent homology. In *Mathematical Software – ICMS 2014*</w:t>
      </w:r>
    </w:p>
    <w:p w14:paraId="127B0AFD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(pp. 167–174). Springer.</w:t>
      </w:r>
    </w:p>
    <w:p w14:paraId="1561477B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22. Tauzin, G. et al. (2021). </w:t>
      </w:r>
      <w:proofErr w:type="spellStart"/>
      <w:r w:rsidRPr="00013D57">
        <w:rPr>
          <w:rFonts w:ascii="Calibri" w:hAnsi="Calibri" w:cs="Calibri"/>
          <w:sz w:val="22"/>
          <w:szCs w:val="22"/>
        </w:rPr>
        <w:t>giotto-tda</w:t>
      </w:r>
      <w:proofErr w:type="spellEnd"/>
      <w:r w:rsidRPr="00013D57">
        <w:rPr>
          <w:rFonts w:ascii="Calibri" w:hAnsi="Calibri" w:cs="Calibri"/>
          <w:sz w:val="22"/>
          <w:szCs w:val="22"/>
        </w:rPr>
        <w:t>: a topological data analysis toolkit for machine</w:t>
      </w:r>
    </w:p>
    <w:p w14:paraId="4FFFFCAB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learning and data exploration. *Journal of Machine Learning Research*, 22(39), 1–6.</w:t>
      </w:r>
    </w:p>
    <w:p w14:paraId="2A8D14CC" w14:textId="77777777" w:rsidR="00013D57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>23. Brown, R. et al. (2026). Multi-scale topological signatures of tactical organisation in</w:t>
      </w:r>
    </w:p>
    <w:p w14:paraId="38EB90AC" w14:textId="0163A670" w:rsidR="00EF035A" w:rsidRPr="00013D57" w:rsidRDefault="00013D57" w:rsidP="00013D57">
      <w:pPr>
        <w:jc w:val="both"/>
        <w:rPr>
          <w:rFonts w:ascii="Calibri" w:hAnsi="Calibri" w:cs="Calibri"/>
          <w:sz w:val="22"/>
          <w:szCs w:val="22"/>
        </w:rPr>
      </w:pPr>
      <w:r w:rsidRPr="00013D57">
        <w:rPr>
          <w:rFonts w:ascii="Calibri" w:hAnsi="Calibri" w:cs="Calibri"/>
          <w:sz w:val="22"/>
          <w:szCs w:val="22"/>
        </w:rPr>
        <w:t xml:space="preserve">    professional football. In preparation; to be submitted to the *Journal of Sports Sciences*.</w:t>
      </w:r>
    </w:p>
    <w:sectPr w:rsidR="00EF035A" w:rsidRPr="00013D57" w:rsidSect="00C436E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35A"/>
    <w:rsid w:val="00013D57"/>
    <w:rsid w:val="0015265C"/>
    <w:rsid w:val="0039664B"/>
    <w:rsid w:val="005D7D6A"/>
    <w:rsid w:val="00716867"/>
    <w:rsid w:val="00736938"/>
    <w:rsid w:val="008C5AD8"/>
    <w:rsid w:val="009F2263"/>
    <w:rsid w:val="00B03625"/>
    <w:rsid w:val="00B80347"/>
    <w:rsid w:val="00C436ED"/>
    <w:rsid w:val="00C63905"/>
    <w:rsid w:val="00C8460E"/>
    <w:rsid w:val="00EA1C93"/>
    <w:rsid w:val="00EF035A"/>
    <w:rsid w:val="00F301F7"/>
    <w:rsid w:val="00F406E1"/>
    <w:rsid w:val="00F9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6173A"/>
  <w15:chartTrackingRefBased/>
  <w15:docId w15:val="{82B0CD51-A1D3-2848-A1F0-F1B02DB9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3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3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3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3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3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3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3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2300</Words>
  <Characters>15348</Characters>
  <Application>Microsoft Office Word</Application>
  <DocSecurity>0</DocSecurity>
  <Lines>196</Lines>
  <Paragraphs>39</Paragraphs>
  <ScaleCrop>false</ScaleCrop>
  <Company/>
  <LinksUpToDate>false</LinksUpToDate>
  <CharactersWithSpaces>17609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3</cp:revision>
  <dcterms:created xsi:type="dcterms:W3CDTF">2026-08-23T09:20:00Z</dcterms:created>
  <dcterms:modified xsi:type="dcterms:W3CDTF">2026-08-23T09:33:00Z</dcterms:modified>
</cp:coreProperties>
</file>