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92099" w14:textId="77777777" w:rsidR="002B34AE" w:rsidRPr="00013D57" w:rsidRDefault="002B34AE" w:rsidP="002B34AE">
      <w:pPr>
        <w:spacing w:afterLines="60" w:after="144"/>
        <w:jc w:val="both"/>
        <w:rPr>
          <w:rFonts w:ascii="Calibri" w:hAnsi="Calibri" w:cs="Calibri"/>
          <w:sz w:val="22"/>
          <w:szCs w:val="22"/>
        </w:rPr>
      </w:pPr>
      <w:proofErr w:type="gramStart"/>
      <w:r w:rsidRPr="00013D57">
        <w:rPr>
          <w:rFonts w:ascii="Calibri" w:hAnsi="Calibri" w:cs="Calibri"/>
          <w:sz w:val="22"/>
          <w:szCs w:val="22"/>
        </w:rPr>
        <w:t>&lt;!--</w:t>
      </w:r>
      <w:proofErr w:type="gramEnd"/>
      <w:r w:rsidRPr="00013D57">
        <w:rPr>
          <w:rFonts w:ascii="Calibri" w:hAnsi="Calibri" w:cs="Calibri"/>
          <w:sz w:val="22"/>
          <w:szCs w:val="22"/>
        </w:rPr>
        <w:t xml:space="preserve"> </w:t>
      </w:r>
      <w:proofErr w:type="spellStart"/>
      <w:r w:rsidRPr="00013D57">
        <w:rPr>
          <w:rFonts w:ascii="Calibri" w:hAnsi="Calibri" w:cs="Calibri"/>
          <w:sz w:val="22"/>
          <w:szCs w:val="22"/>
        </w:rPr>
        <w:t>JeS</w:t>
      </w:r>
      <w:proofErr w:type="spellEnd"/>
      <w:r w:rsidRPr="00013D57">
        <w:rPr>
          <w:rFonts w:ascii="Calibri" w:hAnsi="Calibri" w:cs="Calibri"/>
          <w:sz w:val="22"/>
          <w:szCs w:val="22"/>
        </w:rPr>
        <w:t xml:space="preserve"> Vision &amp; Approach. Restructured 2026-08-21: 7 sections (3 Vision + 4 Approach),</w:t>
      </w:r>
    </w:p>
    <w:p w14:paraId="084911DC" w14:textId="1CE9EBDB" w:rsidR="00013D57" w:rsidRDefault="003E6AA7" w:rsidP="003E6AA7">
      <w:pPr>
        <w:spacing w:afterLines="60" w:after="144"/>
        <w:jc w:val="both"/>
        <w:rPr>
          <w:rFonts w:ascii="Calibri" w:hAnsi="Calibri" w:cs="Calibri"/>
          <w:sz w:val="22"/>
          <w:szCs w:val="22"/>
        </w:rPr>
      </w:pPr>
      <w:r>
        <w:rPr>
          <w:rFonts w:ascii="Calibri" w:hAnsi="Calibri" w:cs="Calibri"/>
          <w:sz w:val="22"/>
          <w:szCs w:val="22"/>
        </w:rPr>
        <w:t>Change log:</w:t>
      </w:r>
    </w:p>
    <w:p w14:paraId="40940C9E"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The three merges:</w:t>
      </w:r>
    </w:p>
    <w:p w14:paraId="5802D264"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§1+§3 → new §1. The old §3 existed solely to introduce O1 and O2, which §7 then described in full. That content is now one clause at the end of the mathematical contribution paragraph: "T1 and T2 are proved and tested through two research objectives: O1 establishes the population-scale geometry on which T1 rests; O2 delivers the proofs and validates T2 at season scale (§4)." One introduction, pointing forward to §4 where the substance lives.</w:t>
      </w:r>
    </w:p>
    <w:p w14:paraId="76B2DB12"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§2+§4 → new §2. These were genuinely complementary — §2 described what exists, §4 described why now is the right moment — so they sit naturally as one continuous argument: existing work → our pilot → three developments → the gap and how to close it.</w:t>
      </w:r>
    </w:p>
    <w:p w14:paraId="64FEC372"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§5+§6, §10+§11+§12 → new §3 and §7. Beneficiaries are woven into Impact rather than restated separately. Outcomes, team and resources each get a clearly labelled paragraph within one section rather than three thin standalone headings.</w:t>
      </w:r>
    </w:p>
    <w:p w14:paraId="1C9CCC53" w14:textId="77777777" w:rsidR="002B34AE" w:rsidRPr="002B34AE" w:rsidRDefault="002B34AE" w:rsidP="002B34AE">
      <w:pPr>
        <w:spacing w:afterLines="60" w:after="144"/>
        <w:jc w:val="both"/>
        <w:rPr>
          <w:rFonts w:ascii="Calibri" w:hAnsi="Calibri" w:cs="Calibri"/>
          <w:sz w:val="22"/>
          <w:szCs w:val="22"/>
        </w:rPr>
      </w:pPr>
    </w:p>
    <w:p w14:paraId="465752CF"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Items 2–4:</w:t>
      </w:r>
    </w:p>
    <w:p w14:paraId="5ED8434B"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 xml:space="preserve">Item 2 (proof-of-principle language): closing sentence of the opening paragraph in §1 — "This grant is a proof-of-principle for that framework: it proves the foundational theorems and builds the full-season evidence base that a follow-on Standard Grant will transfer across domains." Placed there so the panel has the scheme-fit signal before reading </w:t>
      </w:r>
      <w:proofErr w:type="spellStart"/>
      <w:r w:rsidRPr="002B34AE">
        <w:rPr>
          <w:rFonts w:ascii="Calibri" w:hAnsi="Calibri" w:cs="Calibri"/>
          <w:sz w:val="22"/>
          <w:szCs w:val="22"/>
        </w:rPr>
        <w:t>any</w:t>
      </w:r>
      <w:proofErr w:type="spellEnd"/>
      <w:r w:rsidRPr="002B34AE">
        <w:rPr>
          <w:rFonts w:ascii="Calibri" w:hAnsi="Calibri" w:cs="Calibri"/>
          <w:sz w:val="22"/>
          <w:szCs w:val="22"/>
        </w:rPr>
        <w:t xml:space="preserve"> mathematics.</w:t>
      </w:r>
    </w:p>
    <w:p w14:paraId="25A0669B"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Item 3 (new collaborations): second paragraph of §7 Team — "This new interdisciplinary collaboration bridges communities with distinct analytical traditions — mathematical, biological and sporting — through a shared topological framework, making it a natural fit for the Small Grant scheme's new-collaboration remit." Explicit rather than implied.</w:t>
      </w:r>
    </w:p>
    <w:p w14:paraId="5D703682" w14:textId="77777777" w:rsidR="002B34AE" w:rsidRP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Item 4 (RA career development): project structure paragraph in §4 — "developing cross-disciplinary competence in statistical topology, sequential inference and applied sport science — a combination that constitutes structured postdoctoral training in competitive-systems methodology."</w:t>
      </w:r>
    </w:p>
    <w:p w14:paraId="0C90A4D9" w14:textId="43786CEC" w:rsidR="002B34AE" w:rsidRDefault="002B34AE" w:rsidP="002B34AE">
      <w:pPr>
        <w:spacing w:afterLines="60" w:after="144"/>
        <w:jc w:val="both"/>
        <w:rPr>
          <w:rFonts w:ascii="Calibri" w:hAnsi="Calibri" w:cs="Calibri"/>
          <w:sz w:val="22"/>
          <w:szCs w:val="22"/>
        </w:rPr>
      </w:pPr>
      <w:r w:rsidRPr="002B34AE">
        <w:rPr>
          <w:rFonts w:ascii="Calibri" w:hAnsi="Calibri" w:cs="Calibri"/>
          <w:sz w:val="22"/>
          <w:szCs w:val="22"/>
        </w:rPr>
        <w:t>The Approach gain: with roughly 350 words freed from Vision redundancy, §5 Methodology is now substantively expanded — it describes the three-scale validation criterion, the FPCA dimensionality reduction step, and the block bootstrap threshold-setting procedure, all of which a mathematical sciences reviewer is likely to probe and which were previously invisible in one short paragraph.</w:t>
      </w:r>
    </w:p>
    <w:p w14:paraId="385B11D7" w14:textId="252615D8" w:rsidR="002B34AE" w:rsidRPr="00013D57" w:rsidRDefault="002B34AE" w:rsidP="002B34AE">
      <w:pPr>
        <w:spacing w:afterLines="60" w:after="144"/>
        <w:jc w:val="both"/>
        <w:rPr>
          <w:rFonts w:ascii="Calibri" w:hAnsi="Calibri" w:cs="Calibri"/>
          <w:sz w:val="22"/>
          <w:szCs w:val="22"/>
        </w:rPr>
      </w:pPr>
      <w:r>
        <w:rPr>
          <w:rFonts w:ascii="Calibri" w:hAnsi="Calibri" w:cs="Calibri"/>
          <w:sz w:val="22"/>
          <w:szCs w:val="22"/>
        </w:rPr>
        <w:t>Summary of merge</w:t>
      </w:r>
    </w:p>
    <w:p w14:paraId="637C58AC"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replacing 12-section structure. Merges: §1+§3 → new §1; §2+§4 → new §2; §5+§6 → new §3;</w:t>
      </w:r>
    </w:p>
    <w:p w14:paraId="3462BBFE" w14:textId="77777777" w:rsid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§10+§11+§12 → new §7. Items 2–4 from EPSRC criteria review incorporated.</w:t>
      </w:r>
    </w:p>
    <w:p w14:paraId="226BD253" w14:textId="77777777" w:rsidR="002B34AE" w:rsidRDefault="002B34AE" w:rsidP="003E6AA7">
      <w:pPr>
        <w:spacing w:afterLines="60" w:after="144"/>
        <w:jc w:val="both"/>
        <w:rPr>
          <w:rFonts w:ascii="Calibri" w:hAnsi="Calibri" w:cs="Calibri"/>
          <w:sz w:val="22"/>
          <w:szCs w:val="22"/>
        </w:rPr>
      </w:pPr>
    </w:p>
    <w:p w14:paraId="7F69714B" w14:textId="30FE4384" w:rsidR="002B34AE" w:rsidRPr="00013D57" w:rsidRDefault="002B34AE" w:rsidP="003E6AA7">
      <w:pPr>
        <w:spacing w:afterLines="60" w:after="144"/>
        <w:jc w:val="both"/>
        <w:rPr>
          <w:rFonts w:ascii="Calibri" w:hAnsi="Calibri" w:cs="Calibri"/>
          <w:sz w:val="22"/>
          <w:szCs w:val="22"/>
        </w:rPr>
      </w:pPr>
      <w:r>
        <w:rPr>
          <w:rFonts w:ascii="Calibri" w:hAnsi="Calibri" w:cs="Calibri"/>
          <w:sz w:val="22"/>
          <w:szCs w:val="22"/>
        </w:rPr>
        <w:t>Additional changes</w:t>
      </w:r>
    </w:p>
    <w:p w14:paraId="647C8F1F" w14:textId="77777777" w:rsidR="003E6AA7" w:rsidRPr="003E6AA7" w:rsidRDefault="003E6AA7" w:rsidP="003E6AA7">
      <w:pPr>
        <w:spacing w:afterLines="60" w:after="144"/>
        <w:jc w:val="both"/>
        <w:rPr>
          <w:rFonts w:ascii="Calibri" w:hAnsi="Calibri" w:cs="Calibri"/>
          <w:sz w:val="22"/>
          <w:szCs w:val="22"/>
        </w:rPr>
      </w:pPr>
      <w:r w:rsidRPr="003E6AA7">
        <w:rPr>
          <w:rFonts w:ascii="Calibri" w:hAnsi="Calibri" w:cs="Calibri"/>
          <w:sz w:val="22"/>
          <w:szCs w:val="22"/>
        </w:rPr>
        <w:t>§4 — three changes</w:t>
      </w:r>
    </w:p>
    <w:p w14:paraId="17DE4783" w14:textId="77777777" w:rsidR="003E6AA7" w:rsidRPr="003E6AA7" w:rsidRDefault="003E6AA7" w:rsidP="003E6AA7">
      <w:pPr>
        <w:spacing w:afterLines="60" w:after="144"/>
        <w:jc w:val="both"/>
        <w:rPr>
          <w:rFonts w:ascii="Calibri" w:hAnsi="Calibri" w:cs="Calibri"/>
          <w:sz w:val="22"/>
          <w:szCs w:val="22"/>
        </w:rPr>
      </w:pPr>
      <w:r w:rsidRPr="003E6AA7">
        <w:rPr>
          <w:rFonts w:ascii="Calibri" w:hAnsi="Calibri" w:cs="Calibri"/>
          <w:sz w:val="22"/>
          <w:szCs w:val="22"/>
        </w:rPr>
        <w:t xml:space="preserve">The tool list (FPCA, CUSUM, bootstrap) was stripped from the O2 objective description and replaced with a pointer to §5. Tools belong where they are explained, not where the objective is stated; keeping them in §4 created a preview-then-detail structure that generated redundancy without adding information. The fallback sentence ("direct Wasserstein diagram comparison, already demonstrated </w:t>
      </w:r>
      <w:r w:rsidRPr="003E6AA7">
        <w:rPr>
          <w:rFonts w:ascii="Calibri" w:hAnsi="Calibri" w:cs="Calibri"/>
          <w:sz w:val="22"/>
          <w:szCs w:val="22"/>
        </w:rPr>
        <w:lastRenderedPageBreak/>
        <w:t>in the pilot") was removed — it appeared word-for-word in §6 R3, its correct home as a risk mitigation. The success criterion is now a clean standalone sentence.</w:t>
      </w:r>
    </w:p>
    <w:p w14:paraId="456A3BA4" w14:textId="77777777" w:rsidR="003E6AA7" w:rsidRPr="003E6AA7" w:rsidRDefault="003E6AA7" w:rsidP="003E6AA7">
      <w:pPr>
        <w:spacing w:afterLines="60" w:after="144"/>
        <w:jc w:val="both"/>
        <w:rPr>
          <w:rFonts w:ascii="Calibri" w:hAnsi="Calibri" w:cs="Calibri"/>
          <w:sz w:val="22"/>
          <w:szCs w:val="22"/>
        </w:rPr>
      </w:pPr>
    </w:p>
    <w:p w14:paraId="177ECE42" w14:textId="77777777" w:rsidR="003E6AA7" w:rsidRPr="003E6AA7" w:rsidRDefault="003E6AA7" w:rsidP="003E6AA7">
      <w:pPr>
        <w:spacing w:afterLines="60" w:after="144"/>
        <w:jc w:val="both"/>
        <w:rPr>
          <w:rFonts w:ascii="Calibri" w:hAnsi="Calibri" w:cs="Calibri"/>
          <w:sz w:val="22"/>
          <w:szCs w:val="22"/>
        </w:rPr>
      </w:pPr>
      <w:r w:rsidRPr="003E6AA7">
        <w:rPr>
          <w:rFonts w:ascii="Calibri" w:hAnsi="Calibri" w:cs="Calibri"/>
          <w:sz w:val="22"/>
          <w:szCs w:val="22"/>
        </w:rPr>
        <w:t>§5 — four changes, one substantive</w:t>
      </w:r>
    </w:p>
    <w:p w14:paraId="12036E8E" w14:textId="77777777" w:rsidR="003E6AA7" w:rsidRPr="003E6AA7" w:rsidRDefault="003E6AA7" w:rsidP="003E6AA7">
      <w:pPr>
        <w:spacing w:afterLines="60" w:after="144"/>
        <w:jc w:val="both"/>
        <w:rPr>
          <w:rFonts w:ascii="Calibri" w:hAnsi="Calibri" w:cs="Calibri"/>
          <w:sz w:val="22"/>
          <w:szCs w:val="22"/>
        </w:rPr>
      </w:pPr>
      <w:r w:rsidRPr="003E6AA7">
        <w:rPr>
          <w:rFonts w:ascii="Calibri" w:hAnsi="Calibri" w:cs="Calibri"/>
          <w:sz w:val="22"/>
          <w:szCs w:val="22"/>
        </w:rPr>
        <w:t>The scale-stability consequence ("re-derived before production processing begins") was replaced by a cross-reference to the §4 cutoff gate, eliminating the duplicate while making the §4–§5 logical connection visible. The OSF pre-registration date was stripped from the §5 mention and left only in the §4 milestone list where it belongs.</w:t>
      </w:r>
    </w:p>
    <w:p w14:paraId="118D5100" w14:textId="3FB64E50" w:rsidR="00013D57" w:rsidRDefault="003E6AA7" w:rsidP="003E6AA7">
      <w:pPr>
        <w:spacing w:afterLines="60" w:after="144"/>
        <w:jc w:val="both"/>
        <w:rPr>
          <w:rFonts w:ascii="Calibri" w:hAnsi="Calibri" w:cs="Calibri"/>
          <w:sz w:val="22"/>
          <w:szCs w:val="22"/>
        </w:rPr>
      </w:pPr>
      <w:r w:rsidRPr="003E6AA7">
        <w:rPr>
          <w:rFonts w:ascii="Calibri" w:hAnsi="Calibri" w:cs="Calibri"/>
          <w:sz w:val="22"/>
          <w:szCs w:val="22"/>
        </w:rPr>
        <w:t xml:space="preserve">The most substantive change is the O2 paragraph rewrite. The original "T1 is established by verifying..." sentence had two problems that a mathematical panel member was likely to catch: it attributed "establishing" a theorem to a computational verification rather than an analytical proof, and it described </w:t>
      </w:r>
      <w:proofErr w:type="spellStart"/>
      <w:r w:rsidRPr="003E6AA7">
        <w:rPr>
          <w:rFonts w:ascii="Calibri" w:hAnsi="Calibri" w:cs="Calibri"/>
          <w:sz w:val="22"/>
          <w:szCs w:val="22"/>
        </w:rPr>
        <w:t>coordinatewise</w:t>
      </w:r>
      <w:proofErr w:type="spellEnd"/>
      <w:r w:rsidRPr="003E6AA7">
        <w:rPr>
          <w:rFonts w:ascii="Calibri" w:hAnsi="Calibri" w:cs="Calibri"/>
          <w:sz w:val="22"/>
          <w:szCs w:val="22"/>
        </w:rPr>
        <w:t xml:space="preserve"> mean stability (an estimator property) rather than Fréchet mean well-</w:t>
      </w:r>
      <w:proofErr w:type="spellStart"/>
      <w:r w:rsidRPr="003E6AA7">
        <w:rPr>
          <w:rFonts w:ascii="Calibri" w:hAnsi="Calibri" w:cs="Calibri"/>
          <w:sz w:val="22"/>
          <w:szCs w:val="22"/>
        </w:rPr>
        <w:t>posedness</w:t>
      </w:r>
      <w:proofErr w:type="spellEnd"/>
      <w:r w:rsidRPr="003E6AA7">
        <w:rPr>
          <w:rFonts w:ascii="Calibri" w:hAnsi="Calibri" w:cs="Calibri"/>
          <w:sz w:val="22"/>
          <w:szCs w:val="22"/>
        </w:rPr>
        <w:t xml:space="preserve"> (T1's actual content). The replacement separates the two things explicitly — proof (linear structure → uniqueness; bounded domain → integrability) from empirical verification (bootstrap stability at season scale). Two new linking sentences make the method chain's internal logic visible: FPCA on landscape time series presupposes T1's well-</w:t>
      </w:r>
      <w:proofErr w:type="spellStart"/>
      <w:r w:rsidRPr="003E6AA7">
        <w:rPr>
          <w:rFonts w:ascii="Calibri" w:hAnsi="Calibri" w:cs="Calibri"/>
          <w:sz w:val="22"/>
          <w:szCs w:val="22"/>
        </w:rPr>
        <w:t>posedness</w:t>
      </w:r>
      <w:proofErr w:type="spellEnd"/>
      <w:r w:rsidRPr="003E6AA7">
        <w:rPr>
          <w:rFonts w:ascii="Calibri" w:hAnsi="Calibri" w:cs="Calibri"/>
          <w:sz w:val="22"/>
          <w:szCs w:val="22"/>
        </w:rPr>
        <w:t xml:space="preserve"> result, and block bootstrap calibration is the operational translation of T2's Wasserstein-stability error bound. The T2 test sentence was deleted since it restated the §4 success criterion verbatim.</w:t>
      </w:r>
    </w:p>
    <w:p w14:paraId="5B76976C" w14:textId="77777777" w:rsidR="003E6AA7" w:rsidRPr="00013D57" w:rsidRDefault="003E6AA7" w:rsidP="003E6AA7">
      <w:pPr>
        <w:spacing w:afterLines="60" w:after="144"/>
        <w:jc w:val="both"/>
        <w:rPr>
          <w:rFonts w:ascii="Calibri" w:hAnsi="Calibri" w:cs="Calibri"/>
          <w:sz w:val="22"/>
          <w:szCs w:val="22"/>
        </w:rPr>
      </w:pPr>
    </w:p>
    <w:p w14:paraId="1196ADB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br w:type="page"/>
      </w:r>
    </w:p>
    <w:p w14:paraId="75692DBC" w14:textId="4D0CC614"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lastRenderedPageBreak/>
        <w:t>Vision</w:t>
      </w:r>
    </w:p>
    <w:p w14:paraId="16F3CA6B" w14:textId="77777777" w:rsidR="003E6AA7" w:rsidRPr="003E6AA7" w:rsidRDefault="003E6AA7" w:rsidP="003E6AA7">
      <w:pPr>
        <w:jc w:val="both"/>
        <w:rPr>
          <w:rFonts w:ascii="Calibri" w:hAnsi="Calibri" w:cs="Calibri"/>
          <w:b/>
          <w:bCs/>
          <w:sz w:val="22"/>
          <w:szCs w:val="22"/>
        </w:rPr>
      </w:pPr>
      <w:r w:rsidRPr="003E6AA7">
        <w:rPr>
          <w:rFonts w:ascii="Calibri" w:hAnsi="Calibri" w:cs="Calibri"/>
          <w:b/>
          <w:bCs/>
          <w:sz w:val="22"/>
          <w:szCs w:val="22"/>
        </w:rPr>
        <w:t>1. Research Problem and Mathematical Contribution</w:t>
      </w:r>
    </w:p>
    <w:p w14:paraId="21A92DB6" w14:textId="77777777" w:rsidR="003E6AA7" w:rsidRPr="003E6AA7" w:rsidRDefault="003E6AA7" w:rsidP="003E6AA7">
      <w:pPr>
        <w:jc w:val="both"/>
        <w:rPr>
          <w:rFonts w:ascii="Calibri" w:hAnsi="Calibri" w:cs="Calibri"/>
          <w:sz w:val="22"/>
          <w:szCs w:val="22"/>
        </w:rPr>
      </w:pPr>
      <w:r w:rsidRPr="003E6AA7">
        <w:rPr>
          <w:rFonts w:ascii="Calibri" w:hAnsi="Calibri" w:cs="Calibri"/>
          <w:sz w:val="22"/>
          <w:szCs w:val="22"/>
        </w:rPr>
        <w:t>Competitive collective systems are spatially distributed multi-agent systems in a bounded domain, where agents coordinate internally while responding to an active adversary. They arise in autonomous multi-agent coordination, biological collectives and tactical team sports. Statistical topology can already summarise spatial organisation in cooperative collectives, or when observations can be treated as independent. No unified statistical-topological framework yet exists to quantify how large-scale organisation emerges, evolves and undergoes structural transitions under competition. This grant delivers a proof-of-principle for that framework</w:t>
      </w:r>
      <w:r w:rsidRPr="003E6AA7">
        <w:rPr>
          <w:rFonts w:ascii="Calibri" w:hAnsi="Calibri" w:cs="Calibri"/>
          <w:b/>
          <w:bCs/>
          <w:i/>
          <w:iCs/>
          <w:sz w:val="22"/>
          <w:szCs w:val="22"/>
        </w:rPr>
        <w:t>: it establishes the foundational theorems and validates them at scale on a benchmark system</w:t>
      </w:r>
      <w:r w:rsidRPr="003E6AA7">
        <w:rPr>
          <w:rFonts w:ascii="Calibri" w:hAnsi="Calibri" w:cs="Calibri"/>
          <w:sz w:val="22"/>
          <w:szCs w:val="22"/>
        </w:rPr>
        <w:t>, building the evidence base for a follow-on Standard Grant that extends these statistical bounds to broader competitive collective domains.</w:t>
      </w:r>
    </w:p>
    <w:p w14:paraId="2460F13B" w14:textId="40091D76" w:rsidR="00013D57" w:rsidRPr="003E6AA7" w:rsidRDefault="003E6AA7" w:rsidP="003E6AA7">
      <w:pPr>
        <w:spacing w:afterLines="30" w:after="72"/>
        <w:jc w:val="both"/>
        <w:rPr>
          <w:rFonts w:ascii="Calibri" w:hAnsi="Calibri" w:cs="Calibri"/>
          <w:sz w:val="22"/>
          <w:szCs w:val="22"/>
        </w:rPr>
      </w:pPr>
      <w:r w:rsidRPr="003E6AA7">
        <w:rPr>
          <w:rFonts w:ascii="Calibri" w:hAnsi="Calibri" w:cs="Calibri"/>
          <w:b/>
          <w:bCs/>
          <w:i/>
          <w:iCs/>
          <w:sz w:val="22"/>
          <w:szCs w:val="22"/>
        </w:rPr>
        <w:t>Importance</w:t>
      </w:r>
      <w:r w:rsidRPr="003E6AA7">
        <w:rPr>
          <w:rFonts w:ascii="Calibri" w:hAnsi="Calibri" w:cs="Calibri"/>
          <w:sz w:val="22"/>
          <w:szCs w:val="22"/>
        </w:rPr>
        <w:t>. Two obstacles limit existing approaches. Organisational structure exists at several spatial scales at once: small interaction groups, larger formations and enclosed coverage regions coexist, yet single-threshold persistent homology [1–3] folds their signatures into one picture and hides scale-specific structure. Observations are also strongly dependent: each agent continuously adapts to its opponents, violating the exchangeability assumptions that underpin current statistical topology [6,8]. Multiparameter persistence [4,5] offers a theoretical route but remains computationally intractable at competitive data rates.</w:t>
      </w:r>
      <w:r>
        <w:rPr>
          <w:rFonts w:ascii="Calibri" w:hAnsi="Calibri" w:cs="Calibri"/>
          <w:sz w:val="22"/>
          <w:szCs w:val="22"/>
        </w:rPr>
        <w:t xml:space="preserve"> </w:t>
      </w:r>
      <w:r w:rsidRPr="003E6AA7">
        <w:rPr>
          <w:rFonts w:ascii="Calibri" w:hAnsi="Calibri" w:cs="Calibri"/>
          <w:b/>
          <w:bCs/>
          <w:i/>
          <w:iCs/>
          <w:sz w:val="22"/>
          <w:szCs w:val="22"/>
        </w:rPr>
        <w:t>Mathematical contribution</w:t>
      </w:r>
      <w:r w:rsidRPr="003E6AA7">
        <w:rPr>
          <w:rFonts w:ascii="Calibri" w:hAnsi="Calibri" w:cs="Calibri"/>
          <w:sz w:val="22"/>
          <w:szCs w:val="22"/>
        </w:rPr>
        <w:t>. Two theorem-level results are targeted. (T1) A unique mean path of landscape-valued topological summaries exists when observations are dependent and competitive, not only when they are exchangeable [6]. The landscape representation's linear structure secures uniqueness; boundedness of the domain discharges the integrability condition. (T2) Detected transitions can be localised with a proven error bound: a Wasserstein-stability result for a sequential change-point (CUSUM) statistic on landscape-valued series, under temporal dependence and a bounded domain. T1 and T2 are proved and tested through two research objectives: O1 establishes the population-scale geometry on which T1 rests; O2 delivers the proofs and validates T2 at season scale (§4).</w:t>
      </w:r>
      <w:r>
        <w:rPr>
          <w:rFonts w:ascii="Calibri" w:hAnsi="Calibri" w:cs="Calibri"/>
          <w:sz w:val="22"/>
          <w:szCs w:val="22"/>
        </w:rPr>
        <w:t xml:space="preserve"> </w:t>
      </w:r>
      <w:r w:rsidRPr="003E6AA7">
        <w:rPr>
          <w:rFonts w:ascii="Calibri" w:hAnsi="Calibri" w:cs="Calibri"/>
          <w:b/>
          <w:bCs/>
          <w:i/>
          <w:iCs/>
          <w:sz w:val="22"/>
          <w:szCs w:val="22"/>
        </w:rPr>
        <w:t>Quality</w:t>
      </w:r>
      <w:r w:rsidRPr="003E6AA7">
        <w:rPr>
          <w:rFonts w:ascii="Calibri" w:hAnsi="Calibri" w:cs="Calibri"/>
          <w:sz w:val="22"/>
          <w:szCs w:val="22"/>
        </w:rPr>
        <w:t>. This proposal grounds theorem-level targets in an empirical platform capable of falsifying them. T1 and T2 are stated as explicit, checkable claims: the results are proved or they are not. Interaction lengths are set by stability-validated spatial scales already recovered at pilot scale [17] and re-derived if they fail to transfer. Professional football tracking data provide a fully observed, spatially bounded, population-scale testbed on which</w:t>
      </w:r>
      <w:r w:rsidRPr="003E6AA7">
        <w:rPr>
          <w:rFonts w:ascii="Calibri" w:hAnsi="Calibri" w:cs="Calibri"/>
          <w:b/>
          <w:bCs/>
          <w:sz w:val="22"/>
          <w:szCs w:val="22"/>
        </w:rPr>
        <w:t xml:space="preserve"> </w:t>
      </w:r>
      <w:r w:rsidRPr="003E6AA7">
        <w:rPr>
          <w:rFonts w:ascii="Calibri" w:hAnsi="Calibri" w:cs="Calibri"/>
          <w:sz w:val="22"/>
          <w:szCs w:val="22"/>
        </w:rPr>
        <w:t>both theorems are calibrated and tested.</w:t>
      </w:r>
    </w:p>
    <w:p w14:paraId="36133907" w14:textId="706F31CA"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t>2. Background, Timeliness</w:t>
      </w:r>
      <w:r w:rsidRPr="003E6AA7">
        <w:rPr>
          <w:rFonts w:ascii="Calibri" w:hAnsi="Calibri" w:cs="Calibri"/>
          <w:b/>
          <w:bCs/>
          <w:sz w:val="22"/>
          <w:szCs w:val="22"/>
        </w:rPr>
        <w:t>, Need</w:t>
      </w:r>
      <w:r w:rsidRPr="003E6AA7">
        <w:rPr>
          <w:rFonts w:ascii="Calibri" w:hAnsi="Calibri" w:cs="Calibri"/>
          <w:b/>
          <w:bCs/>
          <w:sz w:val="22"/>
          <w:szCs w:val="22"/>
        </w:rPr>
        <w:t xml:space="preserve"> and Opportunity</w:t>
      </w:r>
    </w:p>
    <w:p w14:paraId="1340D541" w14:textId="54EC392E" w:rsidR="00013D57" w:rsidRPr="00013D57" w:rsidRDefault="00013D57" w:rsidP="003E6AA7">
      <w:pPr>
        <w:spacing w:after="60"/>
        <w:jc w:val="both"/>
        <w:rPr>
          <w:rFonts w:ascii="Calibri" w:hAnsi="Calibri" w:cs="Calibri"/>
          <w:sz w:val="22"/>
          <w:szCs w:val="22"/>
        </w:rPr>
      </w:pPr>
      <w:r w:rsidRPr="00013D57">
        <w:rPr>
          <w:rFonts w:ascii="Calibri" w:hAnsi="Calibri" w:cs="Calibri"/>
          <w:sz w:val="22"/>
          <w:szCs w:val="22"/>
        </w:rPr>
        <w:t xml:space="preserve">Topological methods have shown that spatial organisation in multi-agent systems </w:t>
      </w:r>
      <w:r w:rsidRPr="00013D57">
        <w:rPr>
          <w:rFonts w:ascii="Calibri" w:hAnsi="Calibri" w:cs="Calibri"/>
          <w:sz w:val="22"/>
          <w:szCs w:val="22"/>
        </w:rPr>
        <w:t>carries structure</w:t>
      </w:r>
      <w:r w:rsidRPr="00013D57">
        <w:rPr>
          <w:rFonts w:ascii="Calibri" w:hAnsi="Calibri" w:cs="Calibri"/>
          <w:sz w:val="22"/>
          <w:szCs w:val="22"/>
        </w:rPr>
        <w:t>, demonstrated in biological aggregation, collective motion and flocking [11–13] and</w:t>
      </w:r>
      <w:r w:rsidRPr="00013D57">
        <w:rPr>
          <w:rFonts w:ascii="Calibri" w:hAnsi="Calibri" w:cs="Calibri"/>
          <w:sz w:val="22"/>
          <w:szCs w:val="22"/>
        </w:rPr>
        <w:t xml:space="preserve"> </w:t>
      </w:r>
      <w:r w:rsidRPr="00013D57">
        <w:rPr>
          <w:rFonts w:ascii="Calibri" w:hAnsi="Calibri" w:cs="Calibri"/>
          <w:sz w:val="22"/>
          <w:szCs w:val="22"/>
        </w:rPr>
        <w:t>topological change-point detection [14]. These applications rely on persistent homology [1,2]</w:t>
      </w:r>
      <w:r w:rsidR="003E6AA7">
        <w:rPr>
          <w:rFonts w:ascii="Calibri" w:hAnsi="Calibri" w:cs="Calibri"/>
          <w:sz w:val="22"/>
          <w:szCs w:val="22"/>
        </w:rPr>
        <w:t xml:space="preserve"> </w:t>
      </w:r>
      <w:r w:rsidRPr="00013D57">
        <w:rPr>
          <w:rFonts w:ascii="Calibri" w:hAnsi="Calibri" w:cs="Calibri"/>
          <w:sz w:val="22"/>
          <w:szCs w:val="22"/>
        </w:rPr>
        <w:t>and its statistical summaries [6,8,9] to track qualitative shape features across scales —summaries stable under small measurement error [7], enabling formal comparison and averaging.</w:t>
      </w:r>
      <w:r w:rsidRPr="00013D57">
        <w:rPr>
          <w:rFonts w:ascii="Calibri" w:hAnsi="Calibri" w:cs="Calibri"/>
          <w:sz w:val="22"/>
          <w:szCs w:val="22"/>
        </w:rPr>
        <w:t xml:space="preserve"> </w:t>
      </w:r>
      <w:r w:rsidRPr="00013D57">
        <w:rPr>
          <w:rFonts w:ascii="Calibri" w:hAnsi="Calibri" w:cs="Calibri"/>
          <w:sz w:val="22"/>
          <w:szCs w:val="22"/>
        </w:rPr>
        <w:t xml:space="preserve">Multi-scale methods exist for cooperative, slowly evolving systems [10], but not </w:t>
      </w:r>
      <w:r w:rsidRPr="00013D57">
        <w:rPr>
          <w:rFonts w:ascii="Calibri" w:hAnsi="Calibri" w:cs="Calibri"/>
          <w:sz w:val="22"/>
          <w:szCs w:val="22"/>
        </w:rPr>
        <w:t>for hierarchical</w:t>
      </w:r>
      <w:r w:rsidRPr="00013D57">
        <w:rPr>
          <w:rFonts w:ascii="Calibri" w:hAnsi="Calibri" w:cs="Calibri"/>
          <w:sz w:val="22"/>
          <w:szCs w:val="22"/>
        </w:rPr>
        <w:t xml:space="preserve"> competitive dynamics. </w:t>
      </w:r>
      <w:r w:rsidRPr="00013D57">
        <w:rPr>
          <w:rFonts w:ascii="Calibri" w:hAnsi="Calibri" w:cs="Calibri"/>
          <w:sz w:val="22"/>
          <w:szCs w:val="22"/>
        </w:rPr>
        <w:t>C</w:t>
      </w:r>
      <w:r w:rsidRPr="00013D57">
        <w:rPr>
          <w:rFonts w:ascii="Calibri" w:hAnsi="Calibri" w:cs="Calibri"/>
          <w:sz w:val="22"/>
          <w:szCs w:val="22"/>
        </w:rPr>
        <w:t xml:space="preserve">onventional approaches remain single-scale </w:t>
      </w:r>
      <w:r w:rsidRPr="00013D57">
        <w:rPr>
          <w:rFonts w:ascii="Calibri" w:hAnsi="Calibri" w:cs="Calibri"/>
          <w:sz w:val="22"/>
          <w:szCs w:val="22"/>
        </w:rPr>
        <w:t>geometric descriptors</w:t>
      </w:r>
      <w:r w:rsidRPr="00013D57">
        <w:rPr>
          <w:rFonts w:ascii="Calibri" w:hAnsi="Calibri" w:cs="Calibri"/>
          <w:sz w:val="22"/>
          <w:szCs w:val="22"/>
        </w:rPr>
        <w:t xml:space="preserve"> [15,16]. Our pilot [17] takes a first step, recovering three stable</w:t>
      </w:r>
      <w:r w:rsidRPr="00013D57">
        <w:rPr>
          <w:rFonts w:ascii="Calibri" w:hAnsi="Calibri" w:cs="Calibri"/>
          <w:sz w:val="22"/>
          <w:szCs w:val="22"/>
        </w:rPr>
        <w:t xml:space="preserve"> </w:t>
      </w:r>
      <w:r w:rsidRPr="00013D57">
        <w:rPr>
          <w:rFonts w:ascii="Calibri" w:hAnsi="Calibri" w:cs="Calibri"/>
          <w:sz w:val="22"/>
          <w:szCs w:val="22"/>
        </w:rPr>
        <w:t>connected-component regimes and two complementary loop regimes across 10 realisations of a</w:t>
      </w:r>
      <w:r w:rsidRPr="00013D57">
        <w:rPr>
          <w:rFonts w:ascii="Calibri" w:hAnsi="Calibri" w:cs="Calibri"/>
          <w:sz w:val="22"/>
          <w:szCs w:val="22"/>
        </w:rPr>
        <w:t xml:space="preserve"> </w:t>
      </w:r>
      <w:r w:rsidRPr="00013D57">
        <w:rPr>
          <w:rFonts w:ascii="Calibri" w:hAnsi="Calibri" w:cs="Calibri"/>
          <w:sz w:val="22"/>
          <w:szCs w:val="22"/>
        </w:rPr>
        <w:t>competitive collective system, in which the scales carry largely independent information.</w:t>
      </w:r>
      <w:r w:rsidR="003E6AA7">
        <w:rPr>
          <w:rFonts w:ascii="Calibri" w:hAnsi="Calibri" w:cs="Calibri"/>
          <w:sz w:val="22"/>
          <w:szCs w:val="22"/>
        </w:rPr>
        <w:t xml:space="preserve"> </w:t>
      </w:r>
      <w:r w:rsidRPr="003E6AA7">
        <w:rPr>
          <w:rFonts w:ascii="Calibri" w:hAnsi="Calibri" w:cs="Calibri"/>
          <w:b/>
          <w:bCs/>
          <w:i/>
          <w:iCs/>
          <w:sz w:val="22"/>
          <w:szCs w:val="22"/>
        </w:rPr>
        <w:t>Timeliness</w:t>
      </w:r>
      <w:r w:rsidRPr="00013D57">
        <w:rPr>
          <w:rFonts w:ascii="Calibri" w:hAnsi="Calibri" w:cs="Calibri"/>
          <w:sz w:val="22"/>
          <w:szCs w:val="22"/>
        </w:rPr>
        <w:t>. Three developments have converged: multi-scale topology and statistical</w:t>
      </w:r>
      <w:r w:rsidRPr="00013D57">
        <w:rPr>
          <w:rFonts w:ascii="Calibri" w:hAnsi="Calibri" w:cs="Calibri"/>
          <w:sz w:val="22"/>
          <w:szCs w:val="22"/>
        </w:rPr>
        <w:t xml:space="preserve"> </w:t>
      </w:r>
      <w:r w:rsidRPr="00013D57">
        <w:rPr>
          <w:rFonts w:ascii="Calibri" w:hAnsi="Calibri" w:cs="Calibri"/>
          <w:sz w:val="22"/>
          <w:szCs w:val="22"/>
        </w:rPr>
        <w:t>comparison tools have reached maturity [4,6,8,9,11–14]; scalable computation now supports</w:t>
      </w:r>
      <w:r w:rsidRPr="00013D57">
        <w:rPr>
          <w:rFonts w:ascii="Calibri" w:hAnsi="Calibri" w:cs="Calibri"/>
          <w:sz w:val="22"/>
          <w:szCs w:val="22"/>
        </w:rPr>
        <w:t xml:space="preserve"> </w:t>
      </w:r>
      <w:r w:rsidRPr="00013D57">
        <w:rPr>
          <w:rFonts w:ascii="Calibri" w:hAnsi="Calibri" w:cs="Calibri"/>
          <w:sz w:val="22"/>
          <w:szCs w:val="22"/>
        </w:rPr>
        <w:t>rigorous analysis of high-frequency interaction data at population scale (§5); and fully</w:t>
      </w:r>
      <w:r w:rsidRPr="00013D57">
        <w:rPr>
          <w:rFonts w:ascii="Calibri" w:hAnsi="Calibri" w:cs="Calibri"/>
          <w:sz w:val="22"/>
          <w:szCs w:val="22"/>
        </w:rPr>
        <w:t xml:space="preserve"> </w:t>
      </w:r>
      <w:r w:rsidRPr="00013D57">
        <w:rPr>
          <w:rFonts w:ascii="Calibri" w:hAnsi="Calibri" w:cs="Calibri"/>
          <w:sz w:val="22"/>
          <w:szCs w:val="22"/>
        </w:rPr>
        <w:t>labelled competitive tracking data have become available at the same scale. No</w:t>
      </w:r>
      <w:r w:rsidRPr="00013D57">
        <w:rPr>
          <w:rFonts w:ascii="Calibri" w:hAnsi="Calibri" w:cs="Calibri"/>
          <w:sz w:val="22"/>
          <w:szCs w:val="22"/>
        </w:rPr>
        <w:t xml:space="preserve"> </w:t>
      </w:r>
      <w:r w:rsidRPr="00013D57">
        <w:rPr>
          <w:rFonts w:ascii="Calibri" w:hAnsi="Calibri" w:cs="Calibri"/>
          <w:sz w:val="22"/>
          <w:szCs w:val="22"/>
        </w:rPr>
        <w:t>statistical-topology treatment of competitive collective systems yet combines these three.</w:t>
      </w:r>
      <w:r w:rsidR="003E6AA7">
        <w:rPr>
          <w:rFonts w:ascii="Calibri" w:hAnsi="Calibri" w:cs="Calibri"/>
          <w:sz w:val="22"/>
          <w:szCs w:val="22"/>
        </w:rPr>
        <w:t xml:space="preserve"> </w:t>
      </w:r>
      <w:r w:rsidRPr="003E6AA7">
        <w:rPr>
          <w:rFonts w:ascii="Calibri" w:hAnsi="Calibri" w:cs="Calibri"/>
          <w:b/>
          <w:bCs/>
          <w:i/>
          <w:iCs/>
          <w:sz w:val="22"/>
          <w:szCs w:val="22"/>
        </w:rPr>
        <w:t>Need and opportunity</w:t>
      </w:r>
      <w:r w:rsidRPr="00013D57">
        <w:rPr>
          <w:rFonts w:ascii="Calibri" w:hAnsi="Calibri" w:cs="Calibri"/>
          <w:sz w:val="22"/>
          <w:szCs w:val="22"/>
        </w:rPr>
        <w:t>. The mathematical gap is specific: no validated statistical-topology</w:t>
      </w:r>
      <w:r w:rsidRPr="00013D57">
        <w:rPr>
          <w:rFonts w:ascii="Calibri" w:hAnsi="Calibri" w:cs="Calibri"/>
          <w:sz w:val="22"/>
          <w:szCs w:val="22"/>
        </w:rPr>
        <w:t xml:space="preserve"> </w:t>
      </w:r>
      <w:r w:rsidRPr="00013D57">
        <w:rPr>
          <w:rFonts w:ascii="Calibri" w:hAnsi="Calibri" w:cs="Calibri"/>
          <w:sz w:val="22"/>
          <w:szCs w:val="22"/>
        </w:rPr>
        <w:t>workflow exists for systems generated by continuous competitive interaction, because existing</w:t>
      </w:r>
      <w:r w:rsidRPr="00013D57">
        <w:rPr>
          <w:rFonts w:ascii="Calibri" w:hAnsi="Calibri" w:cs="Calibri"/>
          <w:sz w:val="22"/>
          <w:szCs w:val="22"/>
        </w:rPr>
        <w:t xml:space="preserve"> </w:t>
      </w:r>
      <w:r w:rsidRPr="00013D57">
        <w:rPr>
          <w:rFonts w:ascii="Calibri" w:hAnsi="Calibri" w:cs="Calibri"/>
          <w:sz w:val="22"/>
          <w:szCs w:val="22"/>
        </w:rPr>
        <w:t>inference methods provide theoretical guarantees only in static, single-scale or exchangeable</w:t>
      </w:r>
      <w:r w:rsidRPr="00013D57">
        <w:rPr>
          <w:rFonts w:ascii="Calibri" w:hAnsi="Calibri" w:cs="Calibri"/>
          <w:sz w:val="22"/>
          <w:szCs w:val="22"/>
        </w:rPr>
        <w:t xml:space="preserve"> </w:t>
      </w:r>
      <w:r w:rsidRPr="00013D57">
        <w:rPr>
          <w:rFonts w:ascii="Calibri" w:hAnsi="Calibri" w:cs="Calibri"/>
          <w:sz w:val="22"/>
          <w:szCs w:val="22"/>
        </w:rPr>
        <w:t>settings. Professional football provides the opportunity to close it — a well-observed platform</w:t>
      </w:r>
      <w:r w:rsidRPr="00013D57">
        <w:rPr>
          <w:rFonts w:ascii="Calibri" w:hAnsi="Calibri" w:cs="Calibri"/>
          <w:sz w:val="22"/>
          <w:szCs w:val="22"/>
        </w:rPr>
        <w:t xml:space="preserve"> </w:t>
      </w:r>
      <w:r w:rsidRPr="00013D57">
        <w:rPr>
          <w:rFonts w:ascii="Calibri" w:hAnsi="Calibri" w:cs="Calibri"/>
          <w:sz w:val="22"/>
          <w:szCs w:val="22"/>
        </w:rPr>
        <w:t xml:space="preserve">where all agents are continuously tracked within strict spatial boundaries </w:t>
      </w:r>
      <w:r w:rsidRPr="00013D57">
        <w:rPr>
          <w:rFonts w:ascii="Calibri" w:hAnsi="Calibri" w:cs="Calibri"/>
          <w:sz w:val="22"/>
          <w:szCs w:val="22"/>
        </w:rPr>
        <w:lastRenderedPageBreak/>
        <w:t>and domain experts</w:t>
      </w:r>
      <w:r w:rsidRPr="00013D57">
        <w:rPr>
          <w:rFonts w:ascii="Calibri" w:hAnsi="Calibri" w:cs="Calibri"/>
          <w:sz w:val="22"/>
          <w:szCs w:val="22"/>
        </w:rPr>
        <w:t xml:space="preserve"> </w:t>
      </w:r>
      <w:r w:rsidRPr="00013D57">
        <w:rPr>
          <w:rFonts w:ascii="Calibri" w:hAnsi="Calibri" w:cs="Calibri"/>
          <w:sz w:val="22"/>
          <w:szCs w:val="22"/>
        </w:rPr>
        <w:t>can verify results. The resulting framework generalises to any bounded competitive system once</w:t>
      </w:r>
      <w:r w:rsidRPr="00013D57">
        <w:rPr>
          <w:rFonts w:ascii="Calibri" w:hAnsi="Calibri" w:cs="Calibri"/>
          <w:sz w:val="22"/>
          <w:szCs w:val="22"/>
        </w:rPr>
        <w:t xml:space="preserve"> </w:t>
      </w:r>
      <w:r w:rsidRPr="00013D57">
        <w:rPr>
          <w:rFonts w:ascii="Calibri" w:hAnsi="Calibri" w:cs="Calibri"/>
          <w:sz w:val="22"/>
          <w:szCs w:val="22"/>
        </w:rPr>
        <w:t>interaction lengths are re-derived.</w:t>
      </w:r>
    </w:p>
    <w:p w14:paraId="2D286DE6" w14:textId="288E00BF"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t>3. Impact</w:t>
      </w:r>
      <w:r w:rsidR="003E6AA7">
        <w:rPr>
          <w:rFonts w:ascii="Calibri" w:hAnsi="Calibri" w:cs="Calibri"/>
          <w:b/>
          <w:bCs/>
          <w:sz w:val="22"/>
          <w:szCs w:val="22"/>
        </w:rPr>
        <w:t>, National Importance</w:t>
      </w:r>
      <w:r w:rsidRPr="003E6AA7">
        <w:rPr>
          <w:rFonts w:ascii="Calibri" w:hAnsi="Calibri" w:cs="Calibri"/>
          <w:b/>
          <w:bCs/>
          <w:sz w:val="22"/>
          <w:szCs w:val="22"/>
        </w:rPr>
        <w:t xml:space="preserve"> and Beneficiaries</w:t>
      </w:r>
    </w:p>
    <w:p w14:paraId="36F453FD" w14:textId="0C566399" w:rsidR="00013D57" w:rsidRPr="00013D57" w:rsidRDefault="00013D57" w:rsidP="003E6AA7">
      <w:pPr>
        <w:spacing w:afterLines="30" w:after="72"/>
        <w:jc w:val="both"/>
        <w:rPr>
          <w:rFonts w:ascii="Calibri" w:hAnsi="Calibri" w:cs="Calibri"/>
          <w:sz w:val="22"/>
          <w:szCs w:val="22"/>
        </w:rPr>
      </w:pPr>
      <w:r w:rsidRPr="003E6AA7">
        <w:rPr>
          <w:rFonts w:ascii="Calibri" w:hAnsi="Calibri" w:cs="Calibri"/>
          <w:b/>
          <w:bCs/>
          <w:i/>
          <w:iCs/>
          <w:sz w:val="22"/>
          <w:szCs w:val="22"/>
        </w:rPr>
        <w:t>Mathematical impact</w:t>
      </w:r>
      <w:r w:rsidRPr="00013D57">
        <w:rPr>
          <w:rFonts w:ascii="Calibri" w:hAnsi="Calibri" w:cs="Calibri"/>
          <w:sz w:val="22"/>
          <w:szCs w:val="22"/>
        </w:rPr>
        <w:t>. The primary contribution is new statistical-topology theory for</w:t>
      </w:r>
      <w:r w:rsidRPr="00013D57">
        <w:rPr>
          <w:rFonts w:ascii="Calibri" w:hAnsi="Calibri" w:cs="Calibri"/>
          <w:sz w:val="22"/>
          <w:szCs w:val="22"/>
        </w:rPr>
        <w:t xml:space="preserve"> </w:t>
      </w:r>
      <w:r w:rsidRPr="00013D57">
        <w:rPr>
          <w:rFonts w:ascii="Calibri" w:hAnsi="Calibri" w:cs="Calibri"/>
          <w:sz w:val="22"/>
          <w:szCs w:val="22"/>
        </w:rPr>
        <w:t>dependent competitive systems: the mean-path (T1) and Wasserstein-stability (T2) results</w:t>
      </w:r>
      <w:r w:rsidRPr="00013D57">
        <w:rPr>
          <w:rFonts w:ascii="Calibri" w:hAnsi="Calibri" w:cs="Calibri"/>
          <w:sz w:val="22"/>
          <w:szCs w:val="22"/>
        </w:rPr>
        <w:t xml:space="preserve"> </w:t>
      </w:r>
      <w:r w:rsidRPr="00013D57">
        <w:rPr>
          <w:rFonts w:ascii="Calibri" w:hAnsi="Calibri" w:cs="Calibri"/>
          <w:sz w:val="22"/>
          <w:szCs w:val="22"/>
        </w:rPr>
        <w:t>extend current foundations [6,8] to sequential adversarial dynamics. Both are implemented in</w:t>
      </w:r>
      <w:r w:rsidRPr="00013D57">
        <w:rPr>
          <w:rFonts w:ascii="Calibri" w:hAnsi="Calibri" w:cs="Calibri"/>
          <w:sz w:val="22"/>
          <w:szCs w:val="22"/>
        </w:rPr>
        <w:t xml:space="preserve"> </w:t>
      </w:r>
      <w:r w:rsidRPr="00013D57">
        <w:rPr>
          <w:rFonts w:ascii="Calibri" w:hAnsi="Calibri" w:cs="Calibri"/>
          <w:sz w:val="22"/>
          <w:szCs w:val="22"/>
        </w:rPr>
        <w:t>an open-source library for competitive point-cloud analysis, and the primary beneficiaries —</w:t>
      </w:r>
      <w:r w:rsidRPr="00013D57">
        <w:rPr>
          <w:rFonts w:ascii="Calibri" w:hAnsi="Calibri" w:cs="Calibri"/>
          <w:sz w:val="22"/>
          <w:szCs w:val="22"/>
        </w:rPr>
        <w:t xml:space="preserve"> </w:t>
      </w:r>
      <w:r w:rsidRPr="00013D57">
        <w:rPr>
          <w:rFonts w:ascii="Calibri" w:hAnsi="Calibri" w:cs="Calibri"/>
          <w:sz w:val="22"/>
          <w:szCs w:val="22"/>
        </w:rPr>
        <w:t>researchers in topology, statistics and complex systems — gain new theoretical foundations for</w:t>
      </w:r>
      <w:r w:rsidRPr="00013D57">
        <w:rPr>
          <w:rFonts w:ascii="Calibri" w:hAnsi="Calibri" w:cs="Calibri"/>
          <w:sz w:val="22"/>
          <w:szCs w:val="22"/>
        </w:rPr>
        <w:t xml:space="preserve"> </w:t>
      </w:r>
      <w:r w:rsidRPr="00013D57">
        <w:rPr>
          <w:rFonts w:ascii="Calibri" w:hAnsi="Calibri" w:cs="Calibri"/>
          <w:sz w:val="22"/>
          <w:szCs w:val="22"/>
        </w:rPr>
        <w:t xml:space="preserve">inference on dependent spatial data and the software to apply them. </w:t>
      </w:r>
      <w:r w:rsidRPr="003E6AA7">
        <w:rPr>
          <w:rFonts w:ascii="Calibri" w:hAnsi="Calibri" w:cs="Calibri"/>
          <w:b/>
          <w:bCs/>
          <w:i/>
          <w:iCs/>
          <w:sz w:val="22"/>
          <w:szCs w:val="22"/>
        </w:rPr>
        <w:t>National importance</w:t>
      </w:r>
      <w:r w:rsidRPr="00013D57">
        <w:rPr>
          <w:rFonts w:ascii="Calibri" w:hAnsi="Calibri" w:cs="Calibri"/>
          <w:sz w:val="22"/>
          <w:szCs w:val="22"/>
        </w:rPr>
        <w:t>. UK</w:t>
      </w:r>
      <w:r w:rsidRPr="00013D57">
        <w:rPr>
          <w:rFonts w:ascii="Calibri" w:hAnsi="Calibri" w:cs="Calibri"/>
          <w:sz w:val="22"/>
          <w:szCs w:val="22"/>
        </w:rPr>
        <w:t xml:space="preserve"> </w:t>
      </w:r>
      <w:r w:rsidRPr="00013D57">
        <w:rPr>
          <w:rFonts w:ascii="Calibri" w:hAnsi="Calibri" w:cs="Calibri"/>
          <w:sz w:val="22"/>
          <w:szCs w:val="22"/>
        </w:rPr>
        <w:t>groups lead internationally in statistical topology [6,8] and stochastic geometry, but current</w:t>
      </w:r>
      <w:r w:rsidRPr="00013D57">
        <w:rPr>
          <w:rFonts w:ascii="Calibri" w:hAnsi="Calibri" w:cs="Calibri"/>
          <w:sz w:val="22"/>
          <w:szCs w:val="22"/>
        </w:rPr>
        <w:t xml:space="preserve"> </w:t>
      </w:r>
      <w:r w:rsidRPr="00013D57">
        <w:rPr>
          <w:rFonts w:ascii="Calibri" w:hAnsi="Calibri" w:cs="Calibri"/>
          <w:sz w:val="22"/>
          <w:szCs w:val="22"/>
        </w:rPr>
        <w:t>methods remain confined to static or exchangeable settings. This project develops UK capability</w:t>
      </w:r>
      <w:r w:rsidRPr="00013D57">
        <w:rPr>
          <w:rFonts w:ascii="Calibri" w:hAnsi="Calibri" w:cs="Calibri"/>
          <w:sz w:val="22"/>
          <w:szCs w:val="22"/>
        </w:rPr>
        <w:t xml:space="preserve"> </w:t>
      </w:r>
      <w:r w:rsidRPr="00013D57">
        <w:rPr>
          <w:rFonts w:ascii="Calibri" w:hAnsi="Calibri" w:cs="Calibri"/>
          <w:sz w:val="22"/>
          <w:szCs w:val="22"/>
        </w:rPr>
        <w:t>at the frontier of statistical TDA, spatial point processes and sequential inference on abstract</w:t>
      </w:r>
      <w:r w:rsidR="003E6AA7">
        <w:rPr>
          <w:rFonts w:ascii="Calibri" w:hAnsi="Calibri" w:cs="Calibri"/>
          <w:sz w:val="22"/>
          <w:szCs w:val="22"/>
        </w:rPr>
        <w:t xml:space="preserve"> </w:t>
      </w:r>
      <w:r w:rsidRPr="00013D57">
        <w:rPr>
          <w:rFonts w:ascii="Calibri" w:hAnsi="Calibri" w:cs="Calibri"/>
          <w:sz w:val="22"/>
          <w:szCs w:val="22"/>
        </w:rPr>
        <w:t>metric spaces, aligning with EPSRC priorities in mathematical sciences, AI-enabled modelling</w:t>
      </w:r>
      <w:r w:rsidRPr="00013D57">
        <w:rPr>
          <w:rFonts w:ascii="Calibri" w:hAnsi="Calibri" w:cs="Calibri"/>
          <w:sz w:val="22"/>
          <w:szCs w:val="22"/>
        </w:rPr>
        <w:t xml:space="preserve"> </w:t>
      </w:r>
      <w:r w:rsidRPr="00013D57">
        <w:rPr>
          <w:rFonts w:ascii="Calibri" w:hAnsi="Calibri" w:cs="Calibri"/>
          <w:sz w:val="22"/>
          <w:szCs w:val="22"/>
        </w:rPr>
        <w:t xml:space="preserve">and complex systems. </w:t>
      </w:r>
      <w:r w:rsidRPr="003E6AA7">
        <w:rPr>
          <w:rFonts w:ascii="Calibri" w:hAnsi="Calibri" w:cs="Calibri"/>
          <w:b/>
          <w:bCs/>
          <w:i/>
          <w:iCs/>
          <w:sz w:val="22"/>
          <w:szCs w:val="22"/>
        </w:rPr>
        <w:t>Economic and industry impact</w:t>
      </w:r>
      <w:r w:rsidRPr="00013D57">
        <w:rPr>
          <w:rFonts w:ascii="Calibri" w:hAnsi="Calibri" w:cs="Calibri"/>
          <w:sz w:val="22"/>
          <w:szCs w:val="22"/>
        </w:rPr>
        <w:t>. The project is co-developed with</w:t>
      </w:r>
      <w:r w:rsidRPr="00013D57">
        <w:rPr>
          <w:rFonts w:ascii="Calibri" w:hAnsi="Calibri" w:cs="Calibri"/>
          <w:sz w:val="22"/>
          <w:szCs w:val="22"/>
        </w:rPr>
        <w:t xml:space="preserve"> </w:t>
      </w:r>
      <w:r w:rsidRPr="00013D57">
        <w:rPr>
          <w:rFonts w:ascii="Calibri" w:hAnsi="Calibri" w:cs="Calibri"/>
          <w:sz w:val="22"/>
          <w:szCs w:val="22"/>
        </w:rPr>
        <w:t>Swansea City AFC (SCAFC), delivering practitioner outputs unavailable from conventional</w:t>
      </w:r>
      <w:r w:rsidRPr="00013D57">
        <w:rPr>
          <w:rFonts w:ascii="Calibri" w:hAnsi="Calibri" w:cs="Calibri"/>
          <w:sz w:val="22"/>
          <w:szCs w:val="22"/>
        </w:rPr>
        <w:t xml:space="preserve"> </w:t>
      </w:r>
      <w:r w:rsidRPr="00013D57">
        <w:rPr>
          <w:rFonts w:ascii="Calibri" w:hAnsi="Calibri" w:cs="Calibri"/>
          <w:sz w:val="22"/>
          <w:szCs w:val="22"/>
        </w:rPr>
        <w:t>geometric measures; secondary beneficiaries are sports analytics researchers and practitioners</w:t>
      </w:r>
      <w:r w:rsidRPr="00013D57">
        <w:rPr>
          <w:rFonts w:ascii="Calibri" w:hAnsi="Calibri" w:cs="Calibri"/>
          <w:sz w:val="22"/>
          <w:szCs w:val="22"/>
        </w:rPr>
        <w:t xml:space="preserve"> </w:t>
      </w:r>
      <w:r w:rsidRPr="00013D57">
        <w:rPr>
          <w:rFonts w:ascii="Calibri" w:hAnsi="Calibri" w:cs="Calibri"/>
          <w:sz w:val="22"/>
          <w:szCs w:val="22"/>
        </w:rPr>
        <w:t xml:space="preserve">who receive interpretable structural measures of collective organisation. </w:t>
      </w:r>
      <w:r w:rsidRPr="003E6AA7">
        <w:rPr>
          <w:rFonts w:ascii="Calibri" w:hAnsi="Calibri" w:cs="Calibri"/>
          <w:b/>
          <w:bCs/>
          <w:i/>
          <w:iCs/>
          <w:sz w:val="22"/>
          <w:szCs w:val="22"/>
        </w:rPr>
        <w:t>Standard Grant</w:t>
      </w:r>
      <w:r w:rsidRPr="003E6AA7">
        <w:rPr>
          <w:rFonts w:ascii="Calibri" w:hAnsi="Calibri" w:cs="Calibri"/>
          <w:b/>
          <w:bCs/>
          <w:i/>
          <w:iCs/>
          <w:sz w:val="22"/>
          <w:szCs w:val="22"/>
        </w:rPr>
        <w:t xml:space="preserve"> </w:t>
      </w:r>
      <w:r w:rsidRPr="003E6AA7">
        <w:rPr>
          <w:rFonts w:ascii="Calibri" w:hAnsi="Calibri" w:cs="Calibri"/>
          <w:b/>
          <w:bCs/>
          <w:i/>
          <w:iCs/>
          <w:sz w:val="22"/>
          <w:szCs w:val="22"/>
        </w:rPr>
        <w:t>pathway</w:t>
      </w:r>
      <w:r w:rsidRPr="00013D57">
        <w:rPr>
          <w:rFonts w:ascii="Calibri" w:hAnsi="Calibri" w:cs="Calibri"/>
          <w:sz w:val="22"/>
          <w:szCs w:val="22"/>
        </w:rPr>
        <w:t>. The T1/T2 foundations proved here prepare a follow-on Standard Grant transferring</w:t>
      </w:r>
      <w:r w:rsidRPr="00013D57">
        <w:rPr>
          <w:rFonts w:ascii="Calibri" w:hAnsi="Calibri" w:cs="Calibri"/>
          <w:sz w:val="22"/>
          <w:szCs w:val="22"/>
        </w:rPr>
        <w:t xml:space="preserve"> </w:t>
      </w:r>
      <w:r w:rsidRPr="00013D57">
        <w:rPr>
          <w:rFonts w:ascii="Calibri" w:hAnsi="Calibri" w:cs="Calibri"/>
          <w:sz w:val="22"/>
          <w:szCs w:val="22"/>
        </w:rPr>
        <w:t>the guarantees to spatial predator–prey dynamics, including tumour–immune competition with</w:t>
      </w:r>
      <w:r w:rsidRPr="00013D57">
        <w:rPr>
          <w:rFonts w:ascii="Calibri" w:hAnsi="Calibri" w:cs="Calibri"/>
          <w:sz w:val="22"/>
          <w:szCs w:val="22"/>
        </w:rPr>
        <w:t xml:space="preserve"> </w:t>
      </w:r>
      <w:r w:rsidRPr="00013D57">
        <w:rPr>
          <w:rFonts w:ascii="Calibri" w:hAnsi="Calibri" w:cs="Calibri"/>
          <w:sz w:val="22"/>
          <w:szCs w:val="22"/>
        </w:rPr>
        <w:t xml:space="preserve">Co-I </w:t>
      </w:r>
      <w:proofErr w:type="spellStart"/>
      <w:r w:rsidRPr="00013D57">
        <w:rPr>
          <w:rFonts w:ascii="Calibri" w:hAnsi="Calibri" w:cs="Calibri"/>
          <w:sz w:val="22"/>
          <w:szCs w:val="22"/>
        </w:rPr>
        <w:t>Powathil</w:t>
      </w:r>
      <w:proofErr w:type="spellEnd"/>
      <w:r w:rsidRPr="00013D57">
        <w:rPr>
          <w:rFonts w:ascii="Calibri" w:hAnsi="Calibri" w:cs="Calibri"/>
          <w:sz w:val="22"/>
          <w:szCs w:val="22"/>
        </w:rPr>
        <w:t>; broader competitive-domain beneficiaries will be addressed in that programme.</w:t>
      </w:r>
    </w:p>
    <w:p w14:paraId="78A30530" w14:textId="18F0C5FD"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t>Approach</w:t>
      </w:r>
    </w:p>
    <w:p w14:paraId="5AE171CA" w14:textId="77777777" w:rsidR="003E6AA7" w:rsidRPr="003E6AA7" w:rsidRDefault="003E6AA7" w:rsidP="003E6AA7">
      <w:pPr>
        <w:jc w:val="both"/>
        <w:rPr>
          <w:rFonts w:ascii="Calibri" w:hAnsi="Calibri" w:cs="Calibri"/>
          <w:b/>
          <w:bCs/>
          <w:sz w:val="22"/>
          <w:szCs w:val="22"/>
        </w:rPr>
      </w:pPr>
      <w:r w:rsidRPr="003E6AA7">
        <w:rPr>
          <w:rFonts w:ascii="Calibri" w:hAnsi="Calibri" w:cs="Calibri"/>
          <w:b/>
          <w:bCs/>
          <w:sz w:val="22"/>
          <w:szCs w:val="22"/>
        </w:rPr>
        <w:t>4. Research Design and Objectives</w:t>
      </w:r>
    </w:p>
    <w:p w14:paraId="15D72974" w14:textId="77777777" w:rsidR="003E6AA7" w:rsidRPr="003E6AA7" w:rsidRDefault="003E6AA7" w:rsidP="003E6AA7">
      <w:pPr>
        <w:jc w:val="both"/>
        <w:rPr>
          <w:rFonts w:ascii="Calibri" w:hAnsi="Calibri" w:cs="Calibri"/>
          <w:sz w:val="22"/>
          <w:szCs w:val="22"/>
        </w:rPr>
      </w:pPr>
      <w:r w:rsidRPr="003E6AA7">
        <w:rPr>
          <w:rFonts w:ascii="Calibri" w:hAnsi="Calibri" w:cs="Calibri"/>
          <w:b/>
          <w:bCs/>
          <w:sz w:val="22"/>
          <w:szCs w:val="22"/>
        </w:rPr>
        <w:t>Project structure.</w:t>
      </w:r>
      <w:r w:rsidRPr="003E6AA7">
        <w:rPr>
          <w:rFonts w:ascii="Calibri" w:hAnsi="Calibri" w:cs="Calibri"/>
          <w:sz w:val="22"/>
          <w:szCs w:val="22"/>
        </w:rPr>
        <w:t xml:space="preserve"> The PI (0.2 FTE) leads framework development, analysis and publication. Two Co-Investigators (0.1 FTE combined) supply statistical and domain expertise. A Research Associate (Months 2–10) implements the computational pipeline and conducts the full-season analysis, developing cross-disciplinary competence in statistical topology, sequential inference and applied sport science — a combination that constitutes structured postdoctoral training in competitive-systems methodology. SCAFC provides tracking data and tactical labels.</w:t>
      </w:r>
    </w:p>
    <w:p w14:paraId="7A5DFD29" w14:textId="77777777" w:rsidR="003E6AA7" w:rsidRPr="003E6AA7" w:rsidRDefault="003E6AA7" w:rsidP="003E6AA7">
      <w:pPr>
        <w:jc w:val="both"/>
        <w:rPr>
          <w:rFonts w:ascii="Calibri" w:hAnsi="Calibri" w:cs="Calibri"/>
          <w:sz w:val="22"/>
          <w:szCs w:val="22"/>
        </w:rPr>
      </w:pPr>
      <w:r w:rsidRPr="003E6AA7">
        <w:rPr>
          <w:rFonts w:ascii="Calibri" w:hAnsi="Calibri" w:cs="Calibri"/>
          <w:b/>
          <w:bCs/>
          <w:sz w:val="22"/>
          <w:szCs w:val="22"/>
        </w:rPr>
        <w:t>Sample-size rationale.</w:t>
      </w:r>
      <w:r w:rsidRPr="003E6AA7">
        <w:rPr>
          <w:rFonts w:ascii="Calibri" w:hAnsi="Calibri" w:cs="Calibri"/>
          <w:sz w:val="22"/>
          <w:szCs w:val="22"/>
        </w:rPr>
        <w:t xml:space="preserve"> A Championship season (≈540 matches) supplies the replication the 10-realisation pilot cannot. Approximately 32 matches per covariate subgroup (phase of play, opponent strength or venue) yield a 95% CI half-width of 0.025 for the match-level tactical-scale loop-presence rate (pilot across-match </w:t>
      </w:r>
      <w:proofErr w:type="spellStart"/>
      <w:r w:rsidRPr="003E6AA7">
        <w:rPr>
          <w:rFonts w:ascii="Calibri" w:hAnsi="Calibri" w:cs="Calibri"/>
          <w:sz w:val="22"/>
          <w:szCs w:val="22"/>
        </w:rPr>
        <w:t>s.d.</w:t>
      </w:r>
      <w:proofErr w:type="spellEnd"/>
      <w:r w:rsidRPr="003E6AA7">
        <w:rPr>
          <w:rFonts w:ascii="Calibri" w:hAnsi="Calibri" w:cs="Calibri"/>
          <w:sz w:val="22"/>
          <w:szCs w:val="22"/>
        </w:rPr>
        <w:t xml:space="preserve"> 0.072 [17]). Separately, 180 matches per tactical formation detect Cohen's d ≥ 0.30 at 80% power (α=0.05, Benjamini–Hochberg FDR). A borderline within-match pilot effect (p=0.051) is the replication target.</w:t>
      </w:r>
    </w:p>
    <w:p w14:paraId="02C60CAD" w14:textId="77777777" w:rsidR="003E6AA7" w:rsidRPr="003E6AA7" w:rsidRDefault="003E6AA7" w:rsidP="003E6AA7">
      <w:pPr>
        <w:jc w:val="both"/>
        <w:rPr>
          <w:rFonts w:ascii="Calibri" w:hAnsi="Calibri" w:cs="Calibri"/>
          <w:sz w:val="22"/>
          <w:szCs w:val="22"/>
        </w:rPr>
      </w:pPr>
      <w:r w:rsidRPr="003E6AA7">
        <w:rPr>
          <w:rFonts w:ascii="Calibri" w:hAnsi="Calibri" w:cs="Calibri"/>
          <w:b/>
          <w:bCs/>
          <w:sz w:val="22"/>
          <w:szCs w:val="22"/>
        </w:rPr>
        <w:t>O1: Population-scale geometry (PI Months 1–9; RA Months 2–9).</w:t>
      </w:r>
      <w:r w:rsidRPr="003E6AA7">
        <w:rPr>
          <w:rFonts w:ascii="Calibri" w:hAnsi="Calibri" w:cs="Calibri"/>
          <w:sz w:val="22"/>
          <w:szCs w:val="22"/>
        </w:rPr>
        <w:t xml:space="preserve"> O1 determines whether scale-specific topological summaries are stable enough to average at population scale, and whether distances between those summaries distinguish competitive organisational states beyond conventional geometric descriptors [6,8], using a 20-match validation batch to test cutoff transferability. Success criteria: cutoff stability ≥ 0.80 (below this, interaction lengths are re-derived); moment conditions documented at season scale; discriminable signatures for ≥3 tactical formations (FDR-corrected differences, p&lt;0.05). Milestones: OSF pre-registration of hypotheses and exclusion rules, Month 2; cutoff gate, Month 2; barcode database and moment conditions, Month 7; comparison-geometry results, Month 9.</w:t>
      </w:r>
    </w:p>
    <w:p w14:paraId="02E10937" w14:textId="77777777" w:rsidR="003E6AA7" w:rsidRPr="003E6AA7" w:rsidRDefault="003E6AA7" w:rsidP="003E6AA7">
      <w:pPr>
        <w:spacing w:afterLines="30" w:after="72"/>
        <w:jc w:val="both"/>
        <w:rPr>
          <w:rFonts w:ascii="Calibri" w:hAnsi="Calibri" w:cs="Calibri"/>
          <w:sz w:val="22"/>
          <w:szCs w:val="22"/>
        </w:rPr>
      </w:pPr>
      <w:r w:rsidRPr="003E6AA7">
        <w:rPr>
          <w:rFonts w:ascii="Calibri" w:hAnsi="Calibri" w:cs="Calibri"/>
          <w:b/>
          <w:bCs/>
          <w:sz w:val="22"/>
          <w:szCs w:val="22"/>
        </w:rPr>
        <w:t>O2: Inference for dependent topological processes (PI and RA, Months 4–10).</w:t>
      </w:r>
      <w:r w:rsidRPr="003E6AA7">
        <w:rPr>
          <w:rFonts w:ascii="Calibri" w:hAnsi="Calibri" w:cs="Calibri"/>
          <w:sz w:val="22"/>
          <w:szCs w:val="22"/>
        </w:rPr>
        <w:t xml:space="preserve"> O2 proves the §1 theorems through functional analysis of landscape-valued time series and sequential change-point detection, using methods described in §5. Success criterion: change-points agree with held-out annotations at ≥70% (permutation p &lt; 0.05). Milestones: landscape module Month 8; T1/T2 statements and calibrated change-point outputs, Month 9; results finalised for the season paper, Month 10.</w:t>
      </w:r>
    </w:p>
    <w:p w14:paraId="2B002D3C" w14:textId="77777777" w:rsidR="003E6AA7" w:rsidRPr="003E6AA7" w:rsidRDefault="003E6AA7" w:rsidP="003E6AA7">
      <w:pPr>
        <w:jc w:val="both"/>
        <w:rPr>
          <w:rFonts w:ascii="Calibri" w:hAnsi="Calibri" w:cs="Calibri"/>
          <w:b/>
          <w:bCs/>
          <w:sz w:val="22"/>
          <w:szCs w:val="22"/>
        </w:rPr>
      </w:pPr>
      <w:r w:rsidRPr="003E6AA7">
        <w:rPr>
          <w:rFonts w:ascii="Calibri" w:hAnsi="Calibri" w:cs="Calibri"/>
          <w:b/>
          <w:bCs/>
          <w:sz w:val="22"/>
          <w:szCs w:val="22"/>
        </w:rPr>
        <w:t>5. Methodology</w:t>
      </w:r>
    </w:p>
    <w:p w14:paraId="40D42E68" w14:textId="77777777" w:rsidR="003E6AA7" w:rsidRPr="003E6AA7" w:rsidRDefault="003E6AA7" w:rsidP="003E6AA7">
      <w:pPr>
        <w:jc w:val="both"/>
        <w:rPr>
          <w:rFonts w:ascii="Calibri" w:hAnsi="Calibri" w:cs="Calibri"/>
          <w:sz w:val="22"/>
          <w:szCs w:val="22"/>
        </w:rPr>
      </w:pPr>
      <w:r w:rsidRPr="003E6AA7">
        <w:rPr>
          <w:rFonts w:ascii="Calibri" w:hAnsi="Calibri" w:cs="Calibri"/>
          <w:sz w:val="22"/>
          <w:szCs w:val="22"/>
        </w:rPr>
        <w:t xml:space="preserve">A containerised Python pipeline processes each match frame as a point cloud. Agents are partitioned using empirically derived interaction lengths validated against a three-scale stability criterion: H₀ and </w:t>
      </w:r>
      <w:r w:rsidRPr="003E6AA7">
        <w:rPr>
          <w:rFonts w:ascii="Calibri" w:hAnsi="Calibri" w:cs="Calibri"/>
          <w:sz w:val="22"/>
          <w:szCs w:val="22"/>
        </w:rPr>
        <w:lastRenderedPageBreak/>
        <w:t xml:space="preserve">H₁ barcode profiles must reproduce the pilot's three connected-component and two loop regimes within tolerance across a 20-match validation batch; scales that fail this criterion trigger the §4 cutoff gate. Persistent homology is computed at each accepted scale using </w:t>
      </w:r>
      <w:proofErr w:type="spellStart"/>
      <w:r w:rsidRPr="003E6AA7">
        <w:rPr>
          <w:rFonts w:ascii="Calibri" w:hAnsi="Calibri" w:cs="Calibri"/>
          <w:sz w:val="22"/>
          <w:szCs w:val="22"/>
        </w:rPr>
        <w:t>Ripser</w:t>
      </w:r>
      <w:proofErr w:type="spellEnd"/>
      <w:r w:rsidRPr="003E6AA7">
        <w:rPr>
          <w:rFonts w:ascii="Calibri" w:hAnsi="Calibri" w:cs="Calibri"/>
          <w:sz w:val="22"/>
          <w:szCs w:val="22"/>
        </w:rPr>
        <w:t xml:space="preserve"> [20], GUDHI [21] and </w:t>
      </w:r>
      <w:proofErr w:type="spellStart"/>
      <w:r w:rsidRPr="003E6AA7">
        <w:rPr>
          <w:rFonts w:ascii="Calibri" w:hAnsi="Calibri" w:cs="Calibri"/>
          <w:sz w:val="22"/>
          <w:szCs w:val="22"/>
        </w:rPr>
        <w:t>giotto-tda</w:t>
      </w:r>
      <w:proofErr w:type="spellEnd"/>
      <w:r w:rsidRPr="003E6AA7">
        <w:rPr>
          <w:rFonts w:ascii="Calibri" w:hAnsi="Calibri" w:cs="Calibri"/>
          <w:sz w:val="22"/>
          <w:szCs w:val="22"/>
        </w:rPr>
        <w:t xml:space="preserve"> [22], producing barcodes converted to persistence landscapes for the O2 time-series analysis and to diagram-image features [9] for the O1 classification task. Production processing runs at 1 Hz on Supercomputing Wales (§7).</w:t>
      </w:r>
    </w:p>
    <w:p w14:paraId="27052AB8" w14:textId="77777777" w:rsidR="003E6AA7" w:rsidRPr="003E6AA7" w:rsidRDefault="003E6AA7" w:rsidP="003E6AA7">
      <w:pPr>
        <w:jc w:val="both"/>
        <w:rPr>
          <w:rFonts w:ascii="Calibri" w:hAnsi="Calibri" w:cs="Calibri"/>
          <w:sz w:val="22"/>
          <w:szCs w:val="22"/>
        </w:rPr>
      </w:pPr>
      <w:r w:rsidRPr="003E6AA7">
        <w:rPr>
          <w:rFonts w:ascii="Calibri" w:hAnsi="Calibri" w:cs="Calibri"/>
          <w:sz w:val="22"/>
          <w:szCs w:val="22"/>
        </w:rPr>
        <w:t>For O1, landscape distributions are compared across tactical formations and covariate subgroups using persistence-based distances, with discriminability tested by permutation tests under BH-FDR correction. Hypotheses and exclusion criteria are pre-registered on OSF before the cutoff gate, preventing post-hoc selection.</w:t>
      </w:r>
    </w:p>
    <w:p w14:paraId="0C448DA5" w14:textId="77777777" w:rsidR="003E6AA7" w:rsidRPr="003E6AA7" w:rsidRDefault="003E6AA7" w:rsidP="003E6AA7">
      <w:pPr>
        <w:spacing w:afterLines="30" w:after="72"/>
        <w:jc w:val="both"/>
        <w:rPr>
          <w:rFonts w:ascii="Calibri" w:hAnsi="Calibri" w:cs="Calibri"/>
          <w:sz w:val="22"/>
          <w:szCs w:val="22"/>
        </w:rPr>
      </w:pPr>
      <w:r w:rsidRPr="003E6AA7">
        <w:rPr>
          <w:rFonts w:ascii="Calibri" w:hAnsi="Calibri" w:cs="Calibri"/>
          <w:sz w:val="22"/>
          <w:szCs w:val="22"/>
        </w:rPr>
        <w:t>For O2, T1 is proved analytically: the landscape representation's linear structure gives uniqueness of the Fréchet mean path, and domain boundedness secures the integrability condition required for existence under competitive temporal dependence. This well-</w:t>
      </w:r>
      <w:proofErr w:type="spellStart"/>
      <w:r w:rsidRPr="003E6AA7">
        <w:rPr>
          <w:rFonts w:ascii="Calibri" w:hAnsi="Calibri" w:cs="Calibri"/>
          <w:sz w:val="22"/>
          <w:szCs w:val="22"/>
        </w:rPr>
        <w:t>posedness</w:t>
      </w:r>
      <w:proofErr w:type="spellEnd"/>
      <w:r w:rsidRPr="003E6AA7">
        <w:rPr>
          <w:rFonts w:ascii="Calibri" w:hAnsi="Calibri" w:cs="Calibri"/>
          <w:sz w:val="22"/>
          <w:szCs w:val="22"/>
        </w:rPr>
        <w:t xml:space="preserve"> is the precondition for applying FPCA [18] to landscape-valued time series — averaging landscape trajectories across matches is statistically coherent only once the mean path is guaranteed to exist. FPCA reduces each topological trajectory to a low-dimensional functional representation while retaining within-landscape structure that scalar features discard. At season scale, bootstrap stability of the estimated mean landscape across resampled dependent blocks provides the empirical verification that T1's conditions hold in practice. CUSUM statistics [19] are then applied to the FPCA scores, with detection thresholds calibrated by block bootstrap using the pilot's inter-match dependence structure as the resampling block length; these calibrated thresholds translate T2's Wasserstein-stability error bound into an operational detection criterion at season scale. Reproducibility is ensured throughout via containerisation, version-controlled code, OSF pre-registration and DOI-archived software releases.</w:t>
      </w:r>
    </w:p>
    <w:p w14:paraId="6891131F" w14:textId="67E83248"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t>6. Feasibility and Risk Management</w:t>
      </w:r>
    </w:p>
    <w:p w14:paraId="5EBA8914" w14:textId="66E276B4" w:rsidR="00013D57" w:rsidRPr="00013D57" w:rsidRDefault="00013D57" w:rsidP="003E6AA7">
      <w:pPr>
        <w:spacing w:afterLines="30" w:after="72"/>
        <w:jc w:val="both"/>
        <w:rPr>
          <w:rFonts w:ascii="Calibri" w:hAnsi="Calibri" w:cs="Calibri"/>
          <w:sz w:val="22"/>
          <w:szCs w:val="22"/>
        </w:rPr>
      </w:pPr>
      <w:r w:rsidRPr="00013D57">
        <w:rPr>
          <w:rFonts w:ascii="Calibri" w:hAnsi="Calibri" w:cs="Calibri"/>
          <w:sz w:val="22"/>
          <w:szCs w:val="22"/>
        </w:rPr>
        <w:t xml:space="preserve">The project is feasible in twelve months because the method is </w:t>
      </w:r>
      <w:proofErr w:type="gramStart"/>
      <w:r w:rsidRPr="00013D57">
        <w:rPr>
          <w:rFonts w:ascii="Calibri" w:hAnsi="Calibri" w:cs="Calibri"/>
          <w:sz w:val="22"/>
          <w:szCs w:val="22"/>
        </w:rPr>
        <w:t>pilot-validated</w:t>
      </w:r>
      <w:proofErr w:type="gramEnd"/>
      <w:r w:rsidRPr="00013D57">
        <w:rPr>
          <w:rFonts w:ascii="Calibri" w:hAnsi="Calibri" w:cs="Calibri"/>
          <w:sz w:val="22"/>
          <w:szCs w:val="22"/>
        </w:rPr>
        <w:t xml:space="preserve"> (§2), data</w:t>
      </w:r>
      <w:r>
        <w:rPr>
          <w:rFonts w:ascii="Calibri" w:hAnsi="Calibri" w:cs="Calibri"/>
          <w:sz w:val="22"/>
          <w:szCs w:val="22"/>
        </w:rPr>
        <w:t xml:space="preserve"> </w:t>
      </w:r>
      <w:r w:rsidRPr="00013D57">
        <w:rPr>
          <w:rFonts w:ascii="Calibri" w:hAnsi="Calibri" w:cs="Calibri"/>
          <w:sz w:val="22"/>
          <w:szCs w:val="22"/>
        </w:rPr>
        <w:t xml:space="preserve">access is </w:t>
      </w:r>
      <w:r w:rsidR="003E6AA7">
        <w:rPr>
          <w:rFonts w:ascii="Calibri" w:hAnsi="Calibri" w:cs="Calibri"/>
          <w:sz w:val="22"/>
          <w:szCs w:val="22"/>
        </w:rPr>
        <w:t xml:space="preserve">already </w:t>
      </w:r>
      <w:r w:rsidRPr="00013D57">
        <w:rPr>
          <w:rFonts w:ascii="Calibri" w:hAnsi="Calibri" w:cs="Calibri"/>
          <w:sz w:val="22"/>
          <w:szCs w:val="22"/>
        </w:rPr>
        <w:t>secured through the SCAFC agreement, and the computational budget is modest relative</w:t>
      </w:r>
      <w:r>
        <w:rPr>
          <w:rFonts w:ascii="Calibri" w:hAnsi="Calibri" w:cs="Calibri"/>
          <w:sz w:val="22"/>
          <w:szCs w:val="22"/>
        </w:rPr>
        <w:t xml:space="preserve"> </w:t>
      </w:r>
      <w:r w:rsidRPr="00013D57">
        <w:rPr>
          <w:rFonts w:ascii="Calibri" w:hAnsi="Calibri" w:cs="Calibri"/>
          <w:sz w:val="22"/>
          <w:szCs w:val="22"/>
        </w:rPr>
        <w:t>to the available allocation (§7). The pilot has already fixed the parameter ranges over which</w:t>
      </w:r>
      <w:r>
        <w:rPr>
          <w:rFonts w:ascii="Calibri" w:hAnsi="Calibri" w:cs="Calibri"/>
          <w:sz w:val="22"/>
          <w:szCs w:val="22"/>
        </w:rPr>
        <w:t xml:space="preserve"> </w:t>
      </w:r>
      <w:r w:rsidRPr="00013D57">
        <w:rPr>
          <w:rFonts w:ascii="Calibri" w:hAnsi="Calibri" w:cs="Calibri"/>
          <w:sz w:val="22"/>
          <w:szCs w:val="22"/>
        </w:rPr>
        <w:t>T1 and T2 are stated, so O2 begins from established conditions rather than from scoping work.</w:t>
      </w:r>
      <w:r>
        <w:rPr>
          <w:rFonts w:ascii="Calibri" w:hAnsi="Calibri" w:cs="Calibri"/>
          <w:sz w:val="22"/>
          <w:szCs w:val="22"/>
        </w:rPr>
        <w:t xml:space="preserve"> </w:t>
      </w:r>
      <w:r w:rsidRPr="00013D57">
        <w:rPr>
          <w:rFonts w:ascii="Calibri" w:hAnsi="Calibri" w:cs="Calibri"/>
          <w:sz w:val="22"/>
          <w:szCs w:val="22"/>
        </w:rPr>
        <w:t>Three residual risks remain. (R1) Scale transferability (medium likelihood, high impact):</w:t>
      </w:r>
      <w:r>
        <w:rPr>
          <w:rFonts w:ascii="Calibri" w:hAnsi="Calibri" w:cs="Calibri"/>
          <w:sz w:val="22"/>
          <w:szCs w:val="22"/>
        </w:rPr>
        <w:t xml:space="preserve"> </w:t>
      </w:r>
      <w:r w:rsidRPr="00013D57">
        <w:rPr>
          <w:rFonts w:ascii="Calibri" w:hAnsi="Calibri" w:cs="Calibri"/>
          <w:sz w:val="22"/>
          <w:szCs w:val="22"/>
        </w:rPr>
        <w:t>without transferable interaction lengths, averaging is not meaningful; the Month-2 cutoff gate</w:t>
      </w:r>
      <w:r>
        <w:rPr>
          <w:rFonts w:ascii="Calibri" w:hAnsi="Calibri" w:cs="Calibri"/>
          <w:sz w:val="22"/>
          <w:szCs w:val="22"/>
        </w:rPr>
        <w:t xml:space="preserve"> </w:t>
      </w:r>
      <w:r w:rsidRPr="00013D57">
        <w:rPr>
          <w:rFonts w:ascii="Calibri" w:hAnsi="Calibri" w:cs="Calibri"/>
          <w:sz w:val="22"/>
          <w:szCs w:val="22"/>
        </w:rPr>
        <w:t>re-derives them if stability falls below 0.80. (R2) Tactical label uncertainty (medium</w:t>
      </w:r>
      <w:r>
        <w:rPr>
          <w:rFonts w:ascii="Calibri" w:hAnsi="Calibri" w:cs="Calibri"/>
          <w:sz w:val="22"/>
          <w:szCs w:val="22"/>
        </w:rPr>
        <w:t xml:space="preserve"> </w:t>
      </w:r>
      <w:r w:rsidRPr="00013D57">
        <w:rPr>
          <w:rFonts w:ascii="Calibri" w:hAnsi="Calibri" w:cs="Calibri"/>
          <w:sz w:val="22"/>
          <w:szCs w:val="22"/>
        </w:rPr>
        <w:t>likelihood, low impact): dual-source verification, Cohen's κ and pre-registered exclusions</w:t>
      </w:r>
      <w:r>
        <w:rPr>
          <w:rFonts w:ascii="Calibri" w:hAnsi="Calibri" w:cs="Calibri"/>
          <w:sz w:val="22"/>
          <w:szCs w:val="22"/>
        </w:rPr>
        <w:t xml:space="preserve"> </w:t>
      </w:r>
      <w:r w:rsidRPr="00013D57">
        <w:rPr>
          <w:rFonts w:ascii="Calibri" w:hAnsi="Calibri" w:cs="Calibri"/>
          <w:sz w:val="22"/>
          <w:szCs w:val="22"/>
        </w:rPr>
        <w:t>mitigate this; labels affect O1 interpretation, not the theorems. (R3) Landscape theory (low</w:t>
      </w:r>
      <w:r>
        <w:rPr>
          <w:rFonts w:ascii="Calibri" w:hAnsi="Calibri" w:cs="Calibri"/>
          <w:sz w:val="22"/>
          <w:szCs w:val="22"/>
        </w:rPr>
        <w:t xml:space="preserve"> </w:t>
      </w:r>
      <w:r w:rsidRPr="00013D57">
        <w:rPr>
          <w:rFonts w:ascii="Calibri" w:hAnsi="Calibri" w:cs="Calibri"/>
          <w:sz w:val="22"/>
          <w:szCs w:val="22"/>
        </w:rPr>
        <w:t>likelihood, medium impact): if the landscape argument is intractable, O2 uses the Wasserstein</w:t>
      </w:r>
      <w:r>
        <w:rPr>
          <w:rFonts w:ascii="Calibri" w:hAnsi="Calibri" w:cs="Calibri"/>
          <w:sz w:val="22"/>
          <w:szCs w:val="22"/>
        </w:rPr>
        <w:t xml:space="preserve"> </w:t>
      </w:r>
      <w:r w:rsidRPr="00013D57">
        <w:rPr>
          <w:rFonts w:ascii="Calibri" w:hAnsi="Calibri" w:cs="Calibri"/>
          <w:sz w:val="22"/>
          <w:szCs w:val="22"/>
        </w:rPr>
        <w:t>diagram comparison already demonstrated in the pilot, and T1 uniqueness is not claimed.</w:t>
      </w:r>
      <w:r>
        <w:rPr>
          <w:rFonts w:ascii="Calibri" w:hAnsi="Calibri" w:cs="Calibri"/>
          <w:sz w:val="22"/>
          <w:szCs w:val="22"/>
        </w:rPr>
        <w:t xml:space="preserve"> </w:t>
      </w:r>
    </w:p>
    <w:p w14:paraId="32950574" w14:textId="51DDD6E9" w:rsidR="00013D57" w:rsidRPr="003E6AA7" w:rsidRDefault="00013D57" w:rsidP="003E6AA7">
      <w:pPr>
        <w:jc w:val="both"/>
        <w:rPr>
          <w:rFonts w:ascii="Calibri" w:hAnsi="Calibri" w:cs="Calibri"/>
          <w:b/>
          <w:bCs/>
          <w:sz w:val="22"/>
          <w:szCs w:val="22"/>
        </w:rPr>
      </w:pPr>
      <w:r w:rsidRPr="003E6AA7">
        <w:rPr>
          <w:rFonts w:ascii="Calibri" w:hAnsi="Calibri" w:cs="Calibri"/>
          <w:b/>
          <w:bCs/>
          <w:sz w:val="22"/>
          <w:szCs w:val="22"/>
        </w:rPr>
        <w:t>7. Outcomes, Team and Resources</w:t>
      </w:r>
    </w:p>
    <w:p w14:paraId="3D9C7135" w14:textId="587A762A" w:rsidR="00013D57" w:rsidRPr="00013D57" w:rsidRDefault="00013D57" w:rsidP="003E6AA7">
      <w:pPr>
        <w:jc w:val="both"/>
        <w:rPr>
          <w:rFonts w:ascii="Calibri" w:hAnsi="Calibri" w:cs="Calibri"/>
          <w:sz w:val="22"/>
          <w:szCs w:val="22"/>
        </w:rPr>
      </w:pPr>
      <w:r w:rsidRPr="003E6AA7">
        <w:rPr>
          <w:rFonts w:ascii="Calibri" w:hAnsi="Calibri" w:cs="Calibri"/>
          <w:b/>
          <w:bCs/>
          <w:i/>
          <w:iCs/>
          <w:sz w:val="22"/>
          <w:szCs w:val="22"/>
        </w:rPr>
        <w:t>Publications and software</w:t>
      </w:r>
      <w:r w:rsidRPr="00013D57">
        <w:rPr>
          <w:rFonts w:ascii="Calibri" w:hAnsi="Calibri" w:cs="Calibri"/>
          <w:sz w:val="22"/>
          <w:szCs w:val="22"/>
        </w:rPr>
        <w:t>. The methodology paper [17] is submitted in Months 1–2; a</w:t>
      </w:r>
      <w:r>
        <w:rPr>
          <w:rFonts w:ascii="Calibri" w:hAnsi="Calibri" w:cs="Calibri"/>
          <w:sz w:val="22"/>
          <w:szCs w:val="22"/>
        </w:rPr>
        <w:t xml:space="preserve"> </w:t>
      </w:r>
      <w:r w:rsidRPr="00013D57">
        <w:rPr>
          <w:rFonts w:ascii="Calibri" w:hAnsi="Calibri" w:cs="Calibri"/>
          <w:sz w:val="22"/>
          <w:szCs w:val="22"/>
        </w:rPr>
        <w:t>full-season results paper at Month 11; and the companion football-analytics paper [23] at Month</w:t>
      </w:r>
      <w:r>
        <w:rPr>
          <w:rFonts w:ascii="Calibri" w:hAnsi="Calibri" w:cs="Calibri"/>
          <w:sz w:val="22"/>
          <w:szCs w:val="22"/>
        </w:rPr>
        <w:t xml:space="preserve"> </w:t>
      </w:r>
      <w:r w:rsidRPr="00013D57">
        <w:rPr>
          <w:rFonts w:ascii="Calibri" w:hAnsi="Calibri" w:cs="Calibri"/>
          <w:sz w:val="22"/>
          <w:szCs w:val="22"/>
        </w:rPr>
        <w:t>12. The open-source library is released as a documented package with DOI via Swansea</w:t>
      </w:r>
      <w:r>
        <w:rPr>
          <w:rFonts w:ascii="Calibri" w:hAnsi="Calibri" w:cs="Calibri"/>
          <w:sz w:val="22"/>
          <w:szCs w:val="22"/>
        </w:rPr>
        <w:t xml:space="preserve"> </w:t>
      </w:r>
      <w:r w:rsidRPr="00013D57">
        <w:rPr>
          <w:rFonts w:ascii="Calibri" w:hAnsi="Calibri" w:cs="Calibri"/>
          <w:sz w:val="22"/>
          <w:szCs w:val="22"/>
        </w:rPr>
        <w:t xml:space="preserve">University's </w:t>
      </w:r>
      <w:proofErr w:type="spellStart"/>
      <w:r w:rsidRPr="00013D57">
        <w:rPr>
          <w:rFonts w:ascii="Calibri" w:hAnsi="Calibri" w:cs="Calibri"/>
          <w:sz w:val="22"/>
          <w:szCs w:val="22"/>
        </w:rPr>
        <w:t>Zenodo</w:t>
      </w:r>
      <w:proofErr w:type="spellEnd"/>
      <w:r w:rsidRPr="00013D57">
        <w:rPr>
          <w:rFonts w:ascii="Calibri" w:hAnsi="Calibri" w:cs="Calibri"/>
          <w:sz w:val="22"/>
          <w:szCs w:val="22"/>
        </w:rPr>
        <w:t xml:space="preserve"> community, forming the principal reproducibility artefact for both papers.</w:t>
      </w:r>
      <w:r>
        <w:rPr>
          <w:rFonts w:ascii="Calibri" w:hAnsi="Calibri" w:cs="Calibri"/>
          <w:sz w:val="22"/>
          <w:szCs w:val="22"/>
        </w:rPr>
        <w:t xml:space="preserve"> </w:t>
      </w:r>
      <w:r w:rsidRPr="00013D57">
        <w:rPr>
          <w:rFonts w:ascii="Calibri" w:hAnsi="Calibri" w:cs="Calibri"/>
          <w:sz w:val="22"/>
          <w:szCs w:val="22"/>
        </w:rPr>
        <w:t>Practitioner outputs with SCAFC (Month 11) let analysts review how collective organisation</w:t>
      </w:r>
      <w:r>
        <w:rPr>
          <w:rFonts w:ascii="Calibri" w:hAnsi="Calibri" w:cs="Calibri"/>
          <w:sz w:val="22"/>
          <w:szCs w:val="22"/>
        </w:rPr>
        <w:t xml:space="preserve"> </w:t>
      </w:r>
      <w:r w:rsidRPr="00013D57">
        <w:rPr>
          <w:rFonts w:ascii="Calibri" w:hAnsi="Calibri" w:cs="Calibri"/>
          <w:sz w:val="22"/>
          <w:szCs w:val="22"/>
        </w:rPr>
        <w:t>changes around important match events, going beyond conventional geometric descriptors (length,</w:t>
      </w:r>
      <w:r>
        <w:rPr>
          <w:rFonts w:ascii="Calibri" w:hAnsi="Calibri" w:cs="Calibri"/>
          <w:sz w:val="22"/>
          <w:szCs w:val="22"/>
        </w:rPr>
        <w:t xml:space="preserve"> </w:t>
      </w:r>
      <w:r w:rsidRPr="00013D57">
        <w:rPr>
          <w:rFonts w:ascii="Calibri" w:hAnsi="Calibri" w:cs="Calibri"/>
          <w:sz w:val="22"/>
          <w:szCs w:val="22"/>
        </w:rPr>
        <w:t>width, centroid) [15,16]. Library, publications and practitioner outputs together form the</w:t>
      </w:r>
      <w:r>
        <w:rPr>
          <w:rFonts w:ascii="Calibri" w:hAnsi="Calibri" w:cs="Calibri"/>
          <w:sz w:val="22"/>
          <w:szCs w:val="22"/>
        </w:rPr>
        <w:t xml:space="preserve"> </w:t>
      </w:r>
      <w:r w:rsidRPr="00013D57">
        <w:rPr>
          <w:rFonts w:ascii="Calibri" w:hAnsi="Calibri" w:cs="Calibri"/>
          <w:sz w:val="22"/>
          <w:szCs w:val="22"/>
        </w:rPr>
        <w:t>Month-12 evidence pack for the follow-on Standard Grant (§3).</w:t>
      </w:r>
      <w:r w:rsidR="003E6AA7">
        <w:rPr>
          <w:rFonts w:ascii="Calibri" w:hAnsi="Calibri" w:cs="Calibri"/>
          <w:sz w:val="22"/>
          <w:szCs w:val="22"/>
        </w:rPr>
        <w:t xml:space="preserve"> </w:t>
      </w:r>
      <w:r w:rsidRPr="003E6AA7">
        <w:rPr>
          <w:rFonts w:ascii="Calibri" w:hAnsi="Calibri" w:cs="Calibri"/>
          <w:b/>
          <w:bCs/>
          <w:i/>
          <w:iCs/>
          <w:sz w:val="22"/>
          <w:szCs w:val="22"/>
        </w:rPr>
        <w:t>Team</w:t>
      </w:r>
      <w:r w:rsidRPr="00013D57">
        <w:rPr>
          <w:rFonts w:ascii="Calibri" w:hAnsi="Calibri" w:cs="Calibri"/>
          <w:sz w:val="22"/>
          <w:szCs w:val="22"/>
        </w:rPr>
        <w:t>. The project is based at Swansea University's Zienkiewicz Institute for Modelling,</w:t>
      </w:r>
      <w:r>
        <w:rPr>
          <w:rFonts w:ascii="Calibri" w:hAnsi="Calibri" w:cs="Calibri"/>
          <w:sz w:val="22"/>
          <w:szCs w:val="22"/>
        </w:rPr>
        <w:t xml:space="preserve"> </w:t>
      </w:r>
      <w:r w:rsidRPr="00013D57">
        <w:rPr>
          <w:rFonts w:ascii="Calibri" w:hAnsi="Calibri" w:cs="Calibri"/>
          <w:sz w:val="22"/>
          <w:szCs w:val="22"/>
        </w:rPr>
        <w:t>Data and AI (ZI) and brings together expertise not previously combined in a single grant:</w:t>
      </w:r>
      <w:r>
        <w:rPr>
          <w:rFonts w:ascii="Calibri" w:hAnsi="Calibri" w:cs="Calibri"/>
          <w:sz w:val="22"/>
          <w:szCs w:val="22"/>
        </w:rPr>
        <w:t xml:space="preserve"> </w:t>
      </w:r>
      <w:r w:rsidRPr="00013D57">
        <w:rPr>
          <w:rFonts w:ascii="Calibri" w:hAnsi="Calibri" w:cs="Calibri"/>
          <w:sz w:val="22"/>
          <w:szCs w:val="22"/>
        </w:rPr>
        <w:t xml:space="preserve">statistical topology (PI), mathematical oncology (Co-I </w:t>
      </w:r>
      <w:proofErr w:type="spellStart"/>
      <w:r w:rsidRPr="00013D57">
        <w:rPr>
          <w:rFonts w:ascii="Calibri" w:hAnsi="Calibri" w:cs="Calibri"/>
          <w:sz w:val="22"/>
          <w:szCs w:val="22"/>
        </w:rPr>
        <w:t>Powathil</w:t>
      </w:r>
      <w:proofErr w:type="spellEnd"/>
      <w:r w:rsidRPr="00013D57">
        <w:rPr>
          <w:rFonts w:ascii="Calibri" w:hAnsi="Calibri" w:cs="Calibri"/>
          <w:sz w:val="22"/>
          <w:szCs w:val="22"/>
        </w:rPr>
        <w:t>) and sport and exercise science</w:t>
      </w:r>
      <w:r>
        <w:rPr>
          <w:rFonts w:ascii="Calibri" w:hAnsi="Calibri" w:cs="Calibri"/>
          <w:sz w:val="22"/>
          <w:szCs w:val="22"/>
        </w:rPr>
        <w:t xml:space="preserve"> </w:t>
      </w:r>
      <w:r w:rsidRPr="00013D57">
        <w:rPr>
          <w:rFonts w:ascii="Calibri" w:hAnsi="Calibri" w:cs="Calibri"/>
          <w:sz w:val="22"/>
          <w:szCs w:val="22"/>
        </w:rPr>
        <w:t>(Co-I Kilduff), with SCAFC as the live industry co-development setting. This new</w:t>
      </w:r>
      <w:r>
        <w:rPr>
          <w:rFonts w:ascii="Calibri" w:hAnsi="Calibri" w:cs="Calibri"/>
          <w:sz w:val="22"/>
          <w:szCs w:val="22"/>
        </w:rPr>
        <w:t xml:space="preserve"> </w:t>
      </w:r>
      <w:r w:rsidRPr="00013D57">
        <w:rPr>
          <w:rFonts w:ascii="Calibri" w:hAnsi="Calibri" w:cs="Calibri"/>
          <w:sz w:val="22"/>
          <w:szCs w:val="22"/>
        </w:rPr>
        <w:t>interdisciplinary collaboration bridges communities with distinct analytical traditions —</w:t>
      </w:r>
      <w:r>
        <w:rPr>
          <w:rFonts w:ascii="Calibri" w:hAnsi="Calibri" w:cs="Calibri"/>
          <w:sz w:val="22"/>
          <w:szCs w:val="22"/>
        </w:rPr>
        <w:t xml:space="preserve"> </w:t>
      </w:r>
      <w:r w:rsidRPr="00013D57">
        <w:rPr>
          <w:rFonts w:ascii="Calibri" w:hAnsi="Calibri" w:cs="Calibri"/>
          <w:sz w:val="22"/>
          <w:szCs w:val="22"/>
        </w:rPr>
        <w:t>mathematical, biological and sporting — through a shared topological framework, making it a</w:t>
      </w:r>
      <w:r>
        <w:rPr>
          <w:rFonts w:ascii="Calibri" w:hAnsi="Calibri" w:cs="Calibri"/>
          <w:sz w:val="22"/>
          <w:szCs w:val="22"/>
        </w:rPr>
        <w:t xml:space="preserve"> </w:t>
      </w:r>
      <w:r w:rsidRPr="00013D57">
        <w:rPr>
          <w:rFonts w:ascii="Calibri" w:hAnsi="Calibri" w:cs="Calibri"/>
          <w:sz w:val="22"/>
          <w:szCs w:val="22"/>
        </w:rPr>
        <w:t>natural fit for the Small Grant scheme's new-collaboration remit. Prof Kilduff supplies the</w:t>
      </w:r>
      <w:r>
        <w:rPr>
          <w:rFonts w:ascii="Calibri" w:hAnsi="Calibri" w:cs="Calibri"/>
          <w:sz w:val="22"/>
          <w:szCs w:val="22"/>
        </w:rPr>
        <w:t xml:space="preserve"> </w:t>
      </w:r>
      <w:r w:rsidRPr="00013D57">
        <w:rPr>
          <w:rFonts w:ascii="Calibri" w:hAnsi="Calibri" w:cs="Calibri"/>
          <w:sz w:val="22"/>
          <w:szCs w:val="22"/>
        </w:rPr>
        <w:t>sport-science judgement that turns organisational-state distinctions into tactically meaningful</w:t>
      </w:r>
      <w:r>
        <w:rPr>
          <w:rFonts w:ascii="Calibri" w:hAnsi="Calibri" w:cs="Calibri"/>
          <w:sz w:val="22"/>
          <w:szCs w:val="22"/>
        </w:rPr>
        <w:t xml:space="preserve"> </w:t>
      </w:r>
      <w:r w:rsidRPr="00013D57">
        <w:rPr>
          <w:rFonts w:ascii="Calibri" w:hAnsi="Calibri" w:cs="Calibri"/>
          <w:sz w:val="22"/>
          <w:szCs w:val="22"/>
        </w:rPr>
        <w:t xml:space="preserve">categories, grounding the practitioner </w:t>
      </w:r>
      <w:r w:rsidRPr="00013D57">
        <w:rPr>
          <w:rFonts w:ascii="Calibri" w:hAnsi="Calibri" w:cs="Calibri"/>
          <w:sz w:val="22"/>
          <w:szCs w:val="22"/>
        </w:rPr>
        <w:lastRenderedPageBreak/>
        <w:t xml:space="preserve">outputs; Prof </w:t>
      </w:r>
      <w:proofErr w:type="spellStart"/>
      <w:r w:rsidRPr="00013D57">
        <w:rPr>
          <w:rFonts w:ascii="Calibri" w:hAnsi="Calibri" w:cs="Calibri"/>
          <w:sz w:val="22"/>
          <w:szCs w:val="22"/>
        </w:rPr>
        <w:t>Powathil</w:t>
      </w:r>
      <w:proofErr w:type="spellEnd"/>
      <w:r w:rsidRPr="00013D57">
        <w:rPr>
          <w:rFonts w:ascii="Calibri" w:hAnsi="Calibri" w:cs="Calibri"/>
          <w:sz w:val="22"/>
          <w:szCs w:val="22"/>
        </w:rPr>
        <w:t xml:space="preserve"> positions the T1/T2 results for</w:t>
      </w:r>
      <w:r>
        <w:rPr>
          <w:rFonts w:ascii="Calibri" w:hAnsi="Calibri" w:cs="Calibri"/>
          <w:sz w:val="22"/>
          <w:szCs w:val="22"/>
        </w:rPr>
        <w:t xml:space="preserve"> </w:t>
      </w:r>
      <w:r w:rsidRPr="00013D57">
        <w:rPr>
          <w:rFonts w:ascii="Calibri" w:hAnsi="Calibri" w:cs="Calibri"/>
          <w:sz w:val="22"/>
          <w:szCs w:val="22"/>
        </w:rPr>
        <w:t>the health-science pathway the Standard Grant will pursue.</w:t>
      </w:r>
      <w:r w:rsidR="003E6AA7">
        <w:rPr>
          <w:rFonts w:ascii="Calibri" w:hAnsi="Calibri" w:cs="Calibri"/>
          <w:sz w:val="22"/>
          <w:szCs w:val="22"/>
        </w:rPr>
        <w:t xml:space="preserve"> </w:t>
      </w:r>
      <w:r w:rsidRPr="003E6AA7">
        <w:rPr>
          <w:rFonts w:ascii="Calibri" w:hAnsi="Calibri" w:cs="Calibri"/>
          <w:b/>
          <w:bCs/>
          <w:i/>
          <w:iCs/>
          <w:sz w:val="22"/>
          <w:szCs w:val="22"/>
        </w:rPr>
        <w:t>Resources</w:t>
      </w:r>
      <w:r w:rsidRPr="00013D57">
        <w:rPr>
          <w:rFonts w:ascii="Calibri" w:hAnsi="Calibri" w:cs="Calibri"/>
          <w:sz w:val="22"/>
          <w:szCs w:val="22"/>
        </w:rPr>
        <w:t>. Full-season processing uses the PI's Supercomputing Wales allocation:</w:t>
      </w:r>
      <w:r>
        <w:rPr>
          <w:rFonts w:ascii="Calibri" w:hAnsi="Calibri" w:cs="Calibri"/>
          <w:sz w:val="22"/>
          <w:szCs w:val="22"/>
        </w:rPr>
        <w:t xml:space="preserve"> </w:t>
      </w:r>
      <w:r w:rsidRPr="00013D57">
        <w:rPr>
          <w:rFonts w:ascii="Calibri" w:hAnsi="Calibri" w:cs="Calibri"/>
          <w:sz w:val="22"/>
          <w:szCs w:val="22"/>
        </w:rPr>
        <w:t>approximately 1,600 CPU-hours of a 5,000 CPU-hour available budget. The containerised pipeline</w:t>
      </w:r>
      <w:r>
        <w:rPr>
          <w:rFonts w:ascii="Calibri" w:hAnsi="Calibri" w:cs="Calibri"/>
          <w:sz w:val="22"/>
          <w:szCs w:val="22"/>
        </w:rPr>
        <w:t xml:space="preserve"> </w:t>
      </w:r>
      <w:r w:rsidRPr="00013D57">
        <w:rPr>
          <w:rFonts w:ascii="Calibri" w:hAnsi="Calibri" w:cs="Calibri"/>
          <w:sz w:val="22"/>
          <w:szCs w:val="22"/>
        </w:rPr>
        <w:t>is executable on local machines and high-performance computing clusters. Swansea University</w:t>
      </w:r>
      <w:r>
        <w:rPr>
          <w:rFonts w:ascii="Calibri" w:hAnsi="Calibri" w:cs="Calibri"/>
          <w:sz w:val="22"/>
          <w:szCs w:val="22"/>
        </w:rPr>
        <w:t xml:space="preserve"> </w:t>
      </w:r>
      <w:r w:rsidRPr="00013D57">
        <w:rPr>
          <w:rFonts w:ascii="Calibri" w:hAnsi="Calibri" w:cs="Calibri"/>
          <w:sz w:val="22"/>
          <w:szCs w:val="22"/>
        </w:rPr>
        <w:t>provides host and research support through ZI and the University Research Office, with</w:t>
      </w:r>
      <w:r>
        <w:rPr>
          <w:rFonts w:ascii="Calibri" w:hAnsi="Calibri" w:cs="Calibri"/>
          <w:sz w:val="22"/>
          <w:szCs w:val="22"/>
        </w:rPr>
        <w:t xml:space="preserve"> </w:t>
      </w:r>
      <w:r w:rsidRPr="00013D57">
        <w:rPr>
          <w:rFonts w:ascii="Calibri" w:hAnsi="Calibri" w:cs="Calibri"/>
          <w:sz w:val="22"/>
          <w:szCs w:val="22"/>
        </w:rPr>
        <w:t>data-governance and ethics processes established for the SCAFC data.</w:t>
      </w:r>
    </w:p>
    <w:p w14:paraId="35AFC669" w14:textId="77777777" w:rsidR="00013D57" w:rsidRPr="00013D57" w:rsidRDefault="00013D57" w:rsidP="003E6AA7">
      <w:pPr>
        <w:spacing w:afterLines="60" w:after="144"/>
        <w:jc w:val="both"/>
        <w:rPr>
          <w:rFonts w:ascii="Calibri" w:hAnsi="Calibri" w:cs="Calibri"/>
          <w:sz w:val="22"/>
          <w:szCs w:val="22"/>
        </w:rPr>
      </w:pPr>
    </w:p>
    <w:p w14:paraId="2B7D3E4A" w14:textId="77777777" w:rsidR="00013D57" w:rsidRDefault="00013D57" w:rsidP="003E6AA7">
      <w:pPr>
        <w:spacing w:afterLines="60" w:after="144"/>
        <w:rPr>
          <w:rFonts w:ascii="Calibri" w:hAnsi="Calibri" w:cs="Calibri"/>
          <w:sz w:val="22"/>
          <w:szCs w:val="22"/>
        </w:rPr>
      </w:pPr>
      <w:r>
        <w:rPr>
          <w:rFonts w:ascii="Calibri" w:hAnsi="Calibri" w:cs="Calibri"/>
          <w:sz w:val="22"/>
          <w:szCs w:val="22"/>
        </w:rPr>
        <w:br w:type="page"/>
      </w:r>
    </w:p>
    <w:p w14:paraId="335B80EA" w14:textId="468A91EB"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lastRenderedPageBreak/>
        <w:t>References</w:t>
      </w:r>
    </w:p>
    <w:p w14:paraId="586D5185" w14:textId="77777777" w:rsidR="00013D57" w:rsidRPr="00013D57" w:rsidRDefault="00013D57" w:rsidP="003E6AA7">
      <w:pPr>
        <w:spacing w:afterLines="60" w:after="144"/>
        <w:jc w:val="both"/>
        <w:rPr>
          <w:rFonts w:ascii="Calibri" w:hAnsi="Calibri" w:cs="Calibri"/>
          <w:sz w:val="22"/>
          <w:szCs w:val="22"/>
        </w:rPr>
      </w:pPr>
    </w:p>
    <w:p w14:paraId="74DD443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 Carlsson, G. (2009). Topology and data. *Bulletin of the American Mathematical Society*,</w:t>
      </w:r>
    </w:p>
    <w:p w14:paraId="678ED735"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46(2), 255–308.</w:t>
      </w:r>
    </w:p>
    <w:p w14:paraId="6DE2F560"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2. </w:t>
      </w:r>
      <w:proofErr w:type="spellStart"/>
      <w:r w:rsidRPr="00013D57">
        <w:rPr>
          <w:rFonts w:ascii="Calibri" w:hAnsi="Calibri" w:cs="Calibri"/>
          <w:sz w:val="22"/>
          <w:szCs w:val="22"/>
        </w:rPr>
        <w:t>Zomorodian</w:t>
      </w:r>
      <w:proofErr w:type="spellEnd"/>
      <w:r w:rsidRPr="00013D57">
        <w:rPr>
          <w:rFonts w:ascii="Calibri" w:hAnsi="Calibri" w:cs="Calibri"/>
          <w:sz w:val="22"/>
          <w:szCs w:val="22"/>
        </w:rPr>
        <w:t>, A. &amp; Carlsson, G. (2005). Computing persistent homology. *Discrete &amp;</w:t>
      </w:r>
    </w:p>
    <w:p w14:paraId="36EC5E02"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Computational Geometry*, 33(2), 249–274.</w:t>
      </w:r>
    </w:p>
    <w:p w14:paraId="24DF4F91"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3. </w:t>
      </w:r>
      <w:proofErr w:type="spellStart"/>
      <w:r w:rsidRPr="00013D57">
        <w:rPr>
          <w:rFonts w:ascii="Calibri" w:hAnsi="Calibri" w:cs="Calibri"/>
          <w:sz w:val="22"/>
          <w:szCs w:val="22"/>
        </w:rPr>
        <w:t>Edelsbrunner</w:t>
      </w:r>
      <w:proofErr w:type="spellEnd"/>
      <w:r w:rsidRPr="00013D57">
        <w:rPr>
          <w:rFonts w:ascii="Calibri" w:hAnsi="Calibri" w:cs="Calibri"/>
          <w:sz w:val="22"/>
          <w:szCs w:val="22"/>
        </w:rPr>
        <w:t>, H. &amp; Harer, J. (2010). *Computational Topology: An Introduction*. American</w:t>
      </w:r>
    </w:p>
    <w:p w14:paraId="25FC232D"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Mathematical Society.</w:t>
      </w:r>
    </w:p>
    <w:p w14:paraId="54DE4359"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4. </w:t>
      </w:r>
      <w:proofErr w:type="spellStart"/>
      <w:r w:rsidRPr="00013D57">
        <w:rPr>
          <w:rFonts w:ascii="Calibri" w:hAnsi="Calibri" w:cs="Calibri"/>
          <w:sz w:val="22"/>
          <w:szCs w:val="22"/>
        </w:rPr>
        <w:t>Botnan</w:t>
      </w:r>
      <w:proofErr w:type="spellEnd"/>
      <w:r w:rsidRPr="00013D57">
        <w:rPr>
          <w:rFonts w:ascii="Calibri" w:hAnsi="Calibri" w:cs="Calibri"/>
          <w:sz w:val="22"/>
          <w:szCs w:val="22"/>
        </w:rPr>
        <w:t>, M. B. &amp; Lesnick, M. (2022). An introduction to multiparameter persistence. In</w:t>
      </w:r>
    </w:p>
    <w:p w14:paraId="6DCA8A8A"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*Representations of Algebras and Related Structures* (pp. 77–150). EMS Press.</w:t>
      </w:r>
    </w:p>
    <w:p w14:paraId="0E31CED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5. Lesnick, M. (2015). The theory of the interleaving distance on multidimensional persistence</w:t>
      </w:r>
    </w:p>
    <w:p w14:paraId="27D8C794"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modules. *Foundations of Computational Mathematics*, 15(3), 613–650.</w:t>
      </w:r>
    </w:p>
    <w:p w14:paraId="426D3874"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6. Chazal, F., Fasy, B. T., </w:t>
      </w:r>
      <w:proofErr w:type="spellStart"/>
      <w:r w:rsidRPr="00013D57">
        <w:rPr>
          <w:rFonts w:ascii="Calibri" w:hAnsi="Calibri" w:cs="Calibri"/>
          <w:sz w:val="22"/>
          <w:szCs w:val="22"/>
        </w:rPr>
        <w:t>Lecci</w:t>
      </w:r>
      <w:proofErr w:type="spellEnd"/>
      <w:r w:rsidRPr="00013D57">
        <w:rPr>
          <w:rFonts w:ascii="Calibri" w:hAnsi="Calibri" w:cs="Calibri"/>
          <w:sz w:val="22"/>
          <w:szCs w:val="22"/>
        </w:rPr>
        <w:t>, F., Rinaldo, A. &amp; Wasserman, L. (2014). Stochastic</w:t>
      </w:r>
    </w:p>
    <w:p w14:paraId="731BA31D"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convergence of persistence landscapes and silhouettes. *Proceedings of the 30th Annual</w:t>
      </w:r>
    </w:p>
    <w:p w14:paraId="064D7BBC"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Symposium on Computational Geometry*, 474–483.</w:t>
      </w:r>
    </w:p>
    <w:p w14:paraId="659099DC"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7. Cohen-Steiner, D., </w:t>
      </w:r>
      <w:proofErr w:type="spellStart"/>
      <w:r w:rsidRPr="00013D57">
        <w:rPr>
          <w:rFonts w:ascii="Calibri" w:hAnsi="Calibri" w:cs="Calibri"/>
          <w:sz w:val="22"/>
          <w:szCs w:val="22"/>
        </w:rPr>
        <w:t>Edelsbrunner</w:t>
      </w:r>
      <w:proofErr w:type="spellEnd"/>
      <w:r w:rsidRPr="00013D57">
        <w:rPr>
          <w:rFonts w:ascii="Calibri" w:hAnsi="Calibri" w:cs="Calibri"/>
          <w:sz w:val="22"/>
          <w:szCs w:val="22"/>
        </w:rPr>
        <w:t>, H. &amp; Harer, J. (2007). Stability of persistence diagrams.</w:t>
      </w:r>
    </w:p>
    <w:p w14:paraId="776B8075"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*Discrete &amp; Computational Geometry*, 37(1), 103–120.</w:t>
      </w:r>
    </w:p>
    <w:p w14:paraId="722C0C2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8. Bubenik, P. (2015). Statistical topological data analysis using persistence landscapes.</w:t>
      </w:r>
    </w:p>
    <w:p w14:paraId="1EDB138E"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*Journal of Machine Learning Research*, 16(1), 77–102.</w:t>
      </w:r>
    </w:p>
    <w:p w14:paraId="5589EAE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9. Adams, H. et al. (2017). Persistence images: a stable vector representation of persistent</w:t>
      </w:r>
    </w:p>
    <w:p w14:paraId="2705823A"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homology. *Journal of Machine Learning Research*, 18(8), 1–35.</w:t>
      </w:r>
    </w:p>
    <w:p w14:paraId="1961AA8A"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10. Schindler, D. J. &amp; Barahona, M. (2023). Analysing multiscale </w:t>
      </w:r>
      <w:proofErr w:type="spellStart"/>
      <w:r w:rsidRPr="00013D57">
        <w:rPr>
          <w:rFonts w:ascii="Calibri" w:hAnsi="Calibri" w:cs="Calibri"/>
          <w:sz w:val="22"/>
          <w:szCs w:val="22"/>
        </w:rPr>
        <w:t>clusterings</w:t>
      </w:r>
      <w:proofErr w:type="spellEnd"/>
      <w:r w:rsidRPr="00013D57">
        <w:rPr>
          <w:rFonts w:ascii="Calibri" w:hAnsi="Calibri" w:cs="Calibri"/>
          <w:sz w:val="22"/>
          <w:szCs w:val="22"/>
        </w:rPr>
        <w:t xml:space="preserve"> with persistent</w:t>
      </w:r>
    </w:p>
    <w:p w14:paraId="52D81DD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homology. arXiv:2305.04281.</w:t>
      </w:r>
    </w:p>
    <w:p w14:paraId="47FD934D"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11. Topaz, C. M., Ziegelmeier, L. &amp; Halverson, T. (2015). Topological data analysis of</w:t>
      </w:r>
    </w:p>
    <w:p w14:paraId="6608D4C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biological aggregation models. *</w:t>
      </w:r>
      <w:proofErr w:type="spellStart"/>
      <w:r w:rsidRPr="00013D57">
        <w:rPr>
          <w:rFonts w:ascii="Calibri" w:hAnsi="Calibri" w:cs="Calibri"/>
          <w:sz w:val="22"/>
          <w:szCs w:val="22"/>
        </w:rPr>
        <w:t>PLoS</w:t>
      </w:r>
      <w:proofErr w:type="spellEnd"/>
      <w:r w:rsidRPr="00013D57">
        <w:rPr>
          <w:rFonts w:ascii="Calibri" w:hAnsi="Calibri" w:cs="Calibri"/>
          <w:sz w:val="22"/>
          <w:szCs w:val="22"/>
        </w:rPr>
        <w:t xml:space="preserve"> ONE*, 10(5), e0126383.</w:t>
      </w:r>
    </w:p>
    <w:p w14:paraId="7BD7AE08"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12. Bhaskar, D. et al. (2019). Analysing collective motion with machine learning and topology.</w:t>
      </w:r>
    </w:p>
    <w:p w14:paraId="1C3C5DA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*Chaos*, 29(12), 123125.</w:t>
      </w:r>
    </w:p>
    <w:p w14:paraId="52E15CC8"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13. Ballerini, M. et al. (2008). Interaction ruling animal collective behaviour depends on</w:t>
      </w:r>
    </w:p>
    <w:p w14:paraId="2AB13654"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topological rather than metric distance. *PNAS*, 105(4), 1232–1237.</w:t>
      </w:r>
    </w:p>
    <w:p w14:paraId="6B7E0DE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14. Gu, K. et al. (2022). Change point detection in multi-agent systems based on </w:t>
      </w:r>
      <w:proofErr w:type="gramStart"/>
      <w:r w:rsidRPr="00013D57">
        <w:rPr>
          <w:rFonts w:ascii="Calibri" w:hAnsi="Calibri" w:cs="Calibri"/>
          <w:sz w:val="22"/>
          <w:szCs w:val="22"/>
        </w:rPr>
        <w:t>higher-order</w:t>
      </w:r>
      <w:proofErr w:type="gramEnd"/>
    </w:p>
    <w:p w14:paraId="5DE84B81"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features. *Chaos*, 32(11), 113117.</w:t>
      </w:r>
    </w:p>
    <w:p w14:paraId="33A585FB"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15. </w:t>
      </w:r>
      <w:proofErr w:type="spellStart"/>
      <w:r w:rsidRPr="00013D57">
        <w:rPr>
          <w:rFonts w:ascii="Calibri" w:hAnsi="Calibri" w:cs="Calibri"/>
          <w:sz w:val="22"/>
          <w:szCs w:val="22"/>
        </w:rPr>
        <w:t>Folgado</w:t>
      </w:r>
      <w:proofErr w:type="spellEnd"/>
      <w:r w:rsidRPr="00013D57">
        <w:rPr>
          <w:rFonts w:ascii="Calibri" w:hAnsi="Calibri" w:cs="Calibri"/>
          <w:sz w:val="22"/>
          <w:szCs w:val="22"/>
        </w:rPr>
        <w:t>, H. et al. (2014). Length, width and centroid distance as measures of teams'</w:t>
      </w:r>
    </w:p>
    <w:p w14:paraId="7011BA29"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tactical performance in youth football. *European Journal of Sport Science*, 14(S1),</w:t>
      </w:r>
    </w:p>
    <w:p w14:paraId="731F97C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S487–S492.</w:t>
      </w:r>
    </w:p>
    <w:p w14:paraId="1E0E81E4"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lastRenderedPageBreak/>
        <w:t>16. Fernández, J. &amp; Bornn, L. (2018). Wide open spaces: a statistical technique for measuring</w:t>
      </w:r>
    </w:p>
    <w:p w14:paraId="2D99BE2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space creation in professional soccer. *Sloan Sports Analytics Conference*.</w:t>
      </w:r>
    </w:p>
    <w:p w14:paraId="7E20AC1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17. Brown, R. et al. (2026). Multi-scale persistent homology for competitive spatial systems:</w:t>
      </w:r>
    </w:p>
    <w:p w14:paraId="4676EAF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measurement-aware methods and validation in professional football. </w:t>
      </w:r>
      <w:proofErr w:type="spellStart"/>
      <w:r w:rsidRPr="00013D57">
        <w:rPr>
          <w:rFonts w:ascii="Calibri" w:hAnsi="Calibri" w:cs="Calibri"/>
          <w:sz w:val="22"/>
          <w:szCs w:val="22"/>
        </w:rPr>
        <w:t>ArXiv</w:t>
      </w:r>
      <w:proofErr w:type="spellEnd"/>
      <w:r w:rsidRPr="00013D57">
        <w:rPr>
          <w:rFonts w:ascii="Calibri" w:hAnsi="Calibri" w:cs="Calibri"/>
          <w:sz w:val="22"/>
          <w:szCs w:val="22"/>
        </w:rPr>
        <w:t xml:space="preserve"> preprint; submitted</w:t>
      </w:r>
    </w:p>
    <w:p w14:paraId="5B20BBE7"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to the *Journal of Applied and Computational Topology*.</w:t>
      </w:r>
    </w:p>
    <w:p w14:paraId="11D57346"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18. Ramsay, J. O. &amp; Silverman, B. W. (2005). *Functional Data Analysis* (2nd ed.). Springer.</w:t>
      </w:r>
    </w:p>
    <w:p w14:paraId="44B3FC8D"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19. Page, E. S. (1954). Continuous inspection schemes. *</w:t>
      </w:r>
      <w:proofErr w:type="spellStart"/>
      <w:r w:rsidRPr="00013D57">
        <w:rPr>
          <w:rFonts w:ascii="Calibri" w:hAnsi="Calibri" w:cs="Calibri"/>
          <w:sz w:val="22"/>
          <w:szCs w:val="22"/>
        </w:rPr>
        <w:t>Biometrika</w:t>
      </w:r>
      <w:proofErr w:type="spellEnd"/>
      <w:r w:rsidRPr="00013D57">
        <w:rPr>
          <w:rFonts w:ascii="Calibri" w:hAnsi="Calibri" w:cs="Calibri"/>
          <w:sz w:val="22"/>
          <w:szCs w:val="22"/>
        </w:rPr>
        <w:t>*, 41(1/2), 100–115.</w:t>
      </w:r>
    </w:p>
    <w:p w14:paraId="47EC88EF"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20. Bauer, U. (2021). </w:t>
      </w:r>
      <w:proofErr w:type="spellStart"/>
      <w:r w:rsidRPr="00013D57">
        <w:rPr>
          <w:rFonts w:ascii="Calibri" w:hAnsi="Calibri" w:cs="Calibri"/>
          <w:sz w:val="22"/>
          <w:szCs w:val="22"/>
        </w:rPr>
        <w:t>Ripser</w:t>
      </w:r>
      <w:proofErr w:type="spellEnd"/>
      <w:r w:rsidRPr="00013D57">
        <w:rPr>
          <w:rFonts w:ascii="Calibri" w:hAnsi="Calibri" w:cs="Calibri"/>
          <w:sz w:val="22"/>
          <w:szCs w:val="22"/>
        </w:rPr>
        <w:t>: efficient computation of Vietoris–Rips persistence barcodes.</w:t>
      </w:r>
    </w:p>
    <w:p w14:paraId="584E1F40"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*Journal of Applied and Computational Topology*, 5(3), 391–423.</w:t>
      </w:r>
    </w:p>
    <w:p w14:paraId="4811BFB4"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21. Maria, C., </w:t>
      </w:r>
      <w:proofErr w:type="spellStart"/>
      <w:r w:rsidRPr="00013D57">
        <w:rPr>
          <w:rFonts w:ascii="Calibri" w:hAnsi="Calibri" w:cs="Calibri"/>
          <w:sz w:val="22"/>
          <w:szCs w:val="22"/>
        </w:rPr>
        <w:t>Boissonnat</w:t>
      </w:r>
      <w:proofErr w:type="spellEnd"/>
      <w:r w:rsidRPr="00013D57">
        <w:rPr>
          <w:rFonts w:ascii="Calibri" w:hAnsi="Calibri" w:cs="Calibri"/>
          <w:sz w:val="22"/>
          <w:szCs w:val="22"/>
        </w:rPr>
        <w:t xml:space="preserve">, J.-D., </w:t>
      </w:r>
      <w:proofErr w:type="spellStart"/>
      <w:r w:rsidRPr="00013D57">
        <w:rPr>
          <w:rFonts w:ascii="Calibri" w:hAnsi="Calibri" w:cs="Calibri"/>
          <w:sz w:val="22"/>
          <w:szCs w:val="22"/>
        </w:rPr>
        <w:t>Glisse</w:t>
      </w:r>
      <w:proofErr w:type="spellEnd"/>
      <w:r w:rsidRPr="00013D57">
        <w:rPr>
          <w:rFonts w:ascii="Calibri" w:hAnsi="Calibri" w:cs="Calibri"/>
          <w:sz w:val="22"/>
          <w:szCs w:val="22"/>
        </w:rPr>
        <w:t xml:space="preserve">, M. &amp; </w:t>
      </w:r>
      <w:proofErr w:type="spellStart"/>
      <w:r w:rsidRPr="00013D57">
        <w:rPr>
          <w:rFonts w:ascii="Calibri" w:hAnsi="Calibri" w:cs="Calibri"/>
          <w:sz w:val="22"/>
          <w:szCs w:val="22"/>
        </w:rPr>
        <w:t>Yvinec</w:t>
      </w:r>
      <w:proofErr w:type="spellEnd"/>
      <w:r w:rsidRPr="00013D57">
        <w:rPr>
          <w:rFonts w:ascii="Calibri" w:hAnsi="Calibri" w:cs="Calibri"/>
          <w:sz w:val="22"/>
          <w:szCs w:val="22"/>
        </w:rPr>
        <w:t xml:space="preserve">, M. (2014). The </w:t>
      </w:r>
      <w:proofErr w:type="spellStart"/>
      <w:r w:rsidRPr="00013D57">
        <w:rPr>
          <w:rFonts w:ascii="Calibri" w:hAnsi="Calibri" w:cs="Calibri"/>
          <w:sz w:val="22"/>
          <w:szCs w:val="22"/>
        </w:rPr>
        <w:t>Gudhi</w:t>
      </w:r>
      <w:proofErr w:type="spellEnd"/>
      <w:r w:rsidRPr="00013D57">
        <w:rPr>
          <w:rFonts w:ascii="Calibri" w:hAnsi="Calibri" w:cs="Calibri"/>
          <w:sz w:val="22"/>
          <w:szCs w:val="22"/>
        </w:rPr>
        <w:t xml:space="preserve"> library:</w:t>
      </w:r>
    </w:p>
    <w:p w14:paraId="6BF433FB"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simplicial complexes and persistent homology. In *Mathematical Software – ICMS 2014*</w:t>
      </w:r>
    </w:p>
    <w:p w14:paraId="127B0AFD"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(pp. 167–174). Springer.</w:t>
      </w:r>
    </w:p>
    <w:p w14:paraId="1561477B"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22. Tauzin, G. et al. (2021). </w:t>
      </w:r>
      <w:proofErr w:type="spellStart"/>
      <w:r w:rsidRPr="00013D57">
        <w:rPr>
          <w:rFonts w:ascii="Calibri" w:hAnsi="Calibri" w:cs="Calibri"/>
          <w:sz w:val="22"/>
          <w:szCs w:val="22"/>
        </w:rPr>
        <w:t>giotto-tda</w:t>
      </w:r>
      <w:proofErr w:type="spellEnd"/>
      <w:r w:rsidRPr="00013D57">
        <w:rPr>
          <w:rFonts w:ascii="Calibri" w:hAnsi="Calibri" w:cs="Calibri"/>
          <w:sz w:val="22"/>
          <w:szCs w:val="22"/>
        </w:rPr>
        <w:t>: a topological data analysis toolkit for machine</w:t>
      </w:r>
    </w:p>
    <w:p w14:paraId="4FFFFCAB"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learning and data exploration. *Journal of Machine Learning Research*, 22(39), 1–6.</w:t>
      </w:r>
    </w:p>
    <w:p w14:paraId="2A8D14CC" w14:textId="77777777" w:rsidR="00013D57"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23. Brown, R. et al. (2026). Multi-scale topological signatures of tactical organisation in</w:t>
      </w:r>
    </w:p>
    <w:p w14:paraId="38EB90AC" w14:textId="0163A670" w:rsidR="00EF035A" w:rsidRPr="00013D57" w:rsidRDefault="00013D57" w:rsidP="003E6AA7">
      <w:pPr>
        <w:spacing w:afterLines="60" w:after="144"/>
        <w:jc w:val="both"/>
        <w:rPr>
          <w:rFonts w:ascii="Calibri" w:hAnsi="Calibri" w:cs="Calibri"/>
          <w:sz w:val="22"/>
          <w:szCs w:val="22"/>
        </w:rPr>
      </w:pPr>
      <w:r w:rsidRPr="00013D57">
        <w:rPr>
          <w:rFonts w:ascii="Calibri" w:hAnsi="Calibri" w:cs="Calibri"/>
          <w:sz w:val="22"/>
          <w:szCs w:val="22"/>
        </w:rPr>
        <w:t xml:space="preserve">    professional football. In preparation; to be submitted to the *Journal of Sports Sciences*.</w:t>
      </w:r>
    </w:p>
    <w:sectPr w:rsidR="00EF035A" w:rsidRPr="00013D57"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5A"/>
    <w:rsid w:val="00013D57"/>
    <w:rsid w:val="0015265C"/>
    <w:rsid w:val="002B34AE"/>
    <w:rsid w:val="0039664B"/>
    <w:rsid w:val="003E6AA7"/>
    <w:rsid w:val="005D7D6A"/>
    <w:rsid w:val="00716867"/>
    <w:rsid w:val="00736938"/>
    <w:rsid w:val="007B2FDA"/>
    <w:rsid w:val="008C5AD8"/>
    <w:rsid w:val="009F2263"/>
    <w:rsid w:val="00B03625"/>
    <w:rsid w:val="00B80347"/>
    <w:rsid w:val="00C436ED"/>
    <w:rsid w:val="00C63905"/>
    <w:rsid w:val="00C8460E"/>
    <w:rsid w:val="00EA1C93"/>
    <w:rsid w:val="00EF035A"/>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F6173A"/>
  <w15:chartTrackingRefBased/>
  <w15:docId w15:val="{82B0CD51-A1D3-2848-A1F0-F1B02DB9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5A"/>
    <w:rPr>
      <w:rFonts w:eastAsiaTheme="majorEastAsia" w:cstheme="majorBidi"/>
      <w:color w:val="272727" w:themeColor="text1" w:themeTint="D8"/>
    </w:rPr>
  </w:style>
  <w:style w:type="paragraph" w:styleId="Title">
    <w:name w:val="Title"/>
    <w:basedOn w:val="Normal"/>
    <w:next w:val="Normal"/>
    <w:link w:val="TitleChar"/>
    <w:uiPriority w:val="10"/>
    <w:qFormat/>
    <w:rsid w:val="00EF03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35A"/>
    <w:rPr>
      <w:i/>
      <w:iCs/>
      <w:color w:val="404040" w:themeColor="text1" w:themeTint="BF"/>
    </w:rPr>
  </w:style>
  <w:style w:type="paragraph" w:styleId="ListParagraph">
    <w:name w:val="List Paragraph"/>
    <w:basedOn w:val="Normal"/>
    <w:uiPriority w:val="34"/>
    <w:qFormat/>
    <w:rsid w:val="00EF035A"/>
    <w:pPr>
      <w:ind w:left="720"/>
      <w:contextualSpacing/>
    </w:pPr>
  </w:style>
  <w:style w:type="character" w:styleId="IntenseEmphasis">
    <w:name w:val="Intense Emphasis"/>
    <w:basedOn w:val="DefaultParagraphFont"/>
    <w:uiPriority w:val="21"/>
    <w:qFormat/>
    <w:rsid w:val="00EF035A"/>
    <w:rPr>
      <w:i/>
      <w:iCs/>
      <w:color w:val="0F4761" w:themeColor="accent1" w:themeShade="BF"/>
    </w:rPr>
  </w:style>
  <w:style w:type="paragraph" w:styleId="IntenseQuote">
    <w:name w:val="Intense Quote"/>
    <w:basedOn w:val="Normal"/>
    <w:next w:val="Normal"/>
    <w:link w:val="IntenseQuoteChar"/>
    <w:uiPriority w:val="30"/>
    <w:qFormat/>
    <w:rsid w:val="00EF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5A"/>
    <w:rPr>
      <w:i/>
      <w:iCs/>
      <w:color w:val="0F4761" w:themeColor="accent1" w:themeShade="BF"/>
    </w:rPr>
  </w:style>
  <w:style w:type="character" w:styleId="IntenseReference">
    <w:name w:val="Intense Reference"/>
    <w:basedOn w:val="DefaultParagraphFont"/>
    <w:uiPriority w:val="32"/>
    <w:qFormat/>
    <w:rsid w:val="00EF0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2925</Words>
  <Characters>19517</Characters>
  <Application>Microsoft Office Word</Application>
  <DocSecurity>0</DocSecurity>
  <Lines>250</Lines>
  <Paragraphs>49</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4</cp:revision>
  <dcterms:created xsi:type="dcterms:W3CDTF">2026-08-23T09:33:00Z</dcterms:created>
  <dcterms:modified xsi:type="dcterms:W3CDTF">2026-08-23T10:35:00Z</dcterms:modified>
</cp:coreProperties>
</file>