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75C8C1" w14:textId="3D1E47EA" w:rsidR="00351A37" w:rsidRPr="00351A37" w:rsidRDefault="00351A37" w:rsidP="00351A37">
      <w:pPr>
        <w:jc w:val="both"/>
        <w:rPr>
          <w:rFonts w:ascii="Calibri" w:hAnsi="Calibri" w:cs="Calibri"/>
          <w:b/>
          <w:bCs/>
          <w:sz w:val="22"/>
          <w:szCs w:val="22"/>
        </w:rPr>
      </w:pPr>
      <w:r w:rsidRPr="00351A37">
        <w:rPr>
          <w:rFonts w:ascii="Calibri" w:hAnsi="Calibri" w:cs="Calibri"/>
          <w:b/>
          <w:bCs/>
          <w:sz w:val="22"/>
          <w:szCs w:val="22"/>
        </w:rPr>
        <w:t>Vision</w:t>
      </w:r>
    </w:p>
    <w:p w14:paraId="73AD6A20" w14:textId="4DB9B82B" w:rsidR="00351A37" w:rsidRPr="00351A37" w:rsidRDefault="00351A37" w:rsidP="00351A37">
      <w:pPr>
        <w:jc w:val="both"/>
        <w:rPr>
          <w:rFonts w:ascii="Calibri" w:hAnsi="Calibri" w:cs="Calibri"/>
          <w:b/>
          <w:bCs/>
          <w:sz w:val="22"/>
          <w:szCs w:val="22"/>
        </w:rPr>
      </w:pPr>
      <w:r w:rsidRPr="00351A37">
        <w:rPr>
          <w:rFonts w:ascii="Calibri" w:hAnsi="Calibri" w:cs="Calibri"/>
          <w:b/>
          <w:bCs/>
          <w:sz w:val="22"/>
          <w:szCs w:val="22"/>
        </w:rPr>
        <w:t>1. Research Problem and Mathematical Contribution</w:t>
      </w:r>
    </w:p>
    <w:p w14:paraId="0477980B" w14:textId="77777777" w:rsidR="00351A37" w:rsidRPr="00351A37" w:rsidRDefault="00351A37" w:rsidP="00351A37">
      <w:pPr>
        <w:jc w:val="both"/>
        <w:rPr>
          <w:rFonts w:ascii="Calibri" w:hAnsi="Calibri" w:cs="Calibri"/>
          <w:sz w:val="22"/>
          <w:szCs w:val="22"/>
        </w:rPr>
      </w:pPr>
      <w:r w:rsidRPr="00351A37">
        <w:rPr>
          <w:rFonts w:ascii="Calibri" w:hAnsi="Calibri" w:cs="Calibri"/>
          <w:sz w:val="22"/>
          <w:szCs w:val="22"/>
        </w:rPr>
        <w:t>Competitive collective systems are spatially distributed multi-agent systems in a bounded domain, where agents coordinate internally while responding to an active adversary. They arise in autonomous multi-agent coordination, biological collectives and tactical team sports. Statistical topology can already summarise spatial organisation in cooperative collectives, or when observations can be treated as independent. No unified statistical-topological framework yet exists to quantify how large-scale organisation emerges, evolves and undergoes structural transitions under competition. This grant delivers a proof-of-principle for that framework: it establishes the foundational theorems and validates them at scale on a benchmark system, building the evidence base for a follow-on Standard Grant that extends these statistical bounds to broader competitive collective domains.</w:t>
      </w:r>
    </w:p>
    <w:p w14:paraId="45EBBDA8" w14:textId="45DAE35A" w:rsidR="00351A37" w:rsidRPr="00351A37" w:rsidRDefault="00351A37" w:rsidP="00351A37">
      <w:pPr>
        <w:jc w:val="both"/>
        <w:rPr>
          <w:rFonts w:ascii="Calibri" w:hAnsi="Calibri" w:cs="Calibri"/>
          <w:sz w:val="22"/>
          <w:szCs w:val="22"/>
        </w:rPr>
      </w:pPr>
      <w:r w:rsidRPr="00421199">
        <w:rPr>
          <w:rFonts w:ascii="Calibri" w:hAnsi="Calibri" w:cs="Calibri"/>
          <w:b/>
          <w:bCs/>
          <w:i/>
          <w:iCs/>
          <w:sz w:val="22"/>
          <w:szCs w:val="22"/>
        </w:rPr>
        <w:t>Importance</w:t>
      </w:r>
      <w:r w:rsidRPr="00351A37">
        <w:rPr>
          <w:rFonts w:ascii="Calibri" w:hAnsi="Calibri" w:cs="Calibri"/>
          <w:sz w:val="22"/>
          <w:szCs w:val="22"/>
        </w:rPr>
        <w:t>. Two obstacles limit existing approaches. Organisational structure exists at several spatial scales at once: small interaction groups, larger formations and enclosed coverage regions coexist, yet single-threshold persistent homology [1–3] folds their signatures into one picture and hides scale-specific structure. Observations are also strongly dependent: each agent continuously adapts to its opponents, violating the exchangeability assumptions that underpin current statistical topology [6,8]. Multiparameter persistence [4,5] offers a theoretical route but remains computationally intractable at competitive data rates.</w:t>
      </w:r>
    </w:p>
    <w:p w14:paraId="0DBFAF80" w14:textId="2A09C80A" w:rsidR="00351A37" w:rsidRPr="00351A37" w:rsidRDefault="00351A37" w:rsidP="00351A37">
      <w:pPr>
        <w:jc w:val="both"/>
        <w:rPr>
          <w:rFonts w:ascii="Calibri" w:hAnsi="Calibri" w:cs="Calibri"/>
          <w:sz w:val="22"/>
          <w:szCs w:val="22"/>
        </w:rPr>
      </w:pPr>
      <w:r w:rsidRPr="00421199">
        <w:rPr>
          <w:rFonts w:ascii="Calibri" w:hAnsi="Calibri" w:cs="Calibri"/>
          <w:b/>
          <w:bCs/>
          <w:i/>
          <w:iCs/>
          <w:sz w:val="22"/>
          <w:szCs w:val="22"/>
        </w:rPr>
        <w:t>Mathematical contribution</w:t>
      </w:r>
      <w:r w:rsidRPr="00351A37">
        <w:rPr>
          <w:rFonts w:ascii="Calibri" w:hAnsi="Calibri" w:cs="Calibri"/>
          <w:sz w:val="22"/>
          <w:szCs w:val="22"/>
        </w:rPr>
        <w:t>. Two theorem-level results are targeted. (T1) A unique mean path of landscape-valued topological summaries exists when observations are dependent and competitive, not only when they are exchangeable [6]. The landscape representation's linear structure gives uniqueness; boundedness of the domain secures the integrability condition. (T2) Detected transitions can be localised with a proven error bound: a Wasserstein-stability result for a sequential change-point (CUSUM) statistic on landscape-valued series, under temporal dependence and a bounded domain. T1 and T2 are proved and tested through two research objectives: O1 establishes the population-scale geometry on which both theorems rest; O2 delivers the proofs and validates them at season scale (§4).</w:t>
      </w:r>
    </w:p>
    <w:p w14:paraId="3BFEA7FC" w14:textId="6CA879D7" w:rsidR="00351A37" w:rsidRPr="00351A37" w:rsidRDefault="00351A37" w:rsidP="00351A37">
      <w:pPr>
        <w:jc w:val="both"/>
        <w:rPr>
          <w:rFonts w:ascii="Calibri" w:hAnsi="Calibri" w:cs="Calibri"/>
          <w:sz w:val="22"/>
          <w:szCs w:val="22"/>
        </w:rPr>
      </w:pPr>
      <w:r w:rsidRPr="00421199">
        <w:rPr>
          <w:rFonts w:ascii="Calibri" w:hAnsi="Calibri" w:cs="Calibri"/>
          <w:b/>
          <w:bCs/>
          <w:i/>
          <w:iCs/>
          <w:sz w:val="22"/>
          <w:szCs w:val="22"/>
        </w:rPr>
        <w:t>Quality</w:t>
      </w:r>
      <w:r w:rsidRPr="00351A37">
        <w:rPr>
          <w:rFonts w:ascii="Calibri" w:hAnsi="Calibri" w:cs="Calibri"/>
          <w:sz w:val="22"/>
          <w:szCs w:val="22"/>
        </w:rPr>
        <w:t>. This proposal grounds theorem-level targets in an empirical platform capable of falsifying them. T1 and T2 are stated as explicit, checkable claims: the results are proved or they are not.</w:t>
      </w:r>
    </w:p>
    <w:p w14:paraId="337F3F78" w14:textId="68DB337E" w:rsidR="00351A37" w:rsidRPr="00351A37" w:rsidRDefault="00351A37" w:rsidP="00351A37">
      <w:pPr>
        <w:spacing w:before="120"/>
        <w:jc w:val="both"/>
        <w:rPr>
          <w:rFonts w:ascii="Calibri" w:hAnsi="Calibri" w:cs="Calibri"/>
          <w:b/>
          <w:bCs/>
          <w:sz w:val="22"/>
          <w:szCs w:val="22"/>
        </w:rPr>
      </w:pPr>
      <w:r w:rsidRPr="00351A37">
        <w:rPr>
          <w:rFonts w:ascii="Calibri" w:hAnsi="Calibri" w:cs="Calibri"/>
          <w:b/>
          <w:bCs/>
          <w:sz w:val="22"/>
          <w:szCs w:val="22"/>
        </w:rPr>
        <w:t>2. Background, Timeliness, Need and Opportunity</w:t>
      </w:r>
    </w:p>
    <w:p w14:paraId="6B57409D" w14:textId="162FF951" w:rsidR="00351A37" w:rsidRPr="00351A37" w:rsidRDefault="00421199" w:rsidP="00351A37">
      <w:pPr>
        <w:jc w:val="both"/>
        <w:rPr>
          <w:rFonts w:ascii="Calibri" w:hAnsi="Calibri" w:cs="Calibri"/>
          <w:sz w:val="22"/>
          <w:szCs w:val="22"/>
        </w:rPr>
      </w:pPr>
      <w:r w:rsidRPr="00421199">
        <w:rPr>
          <w:rFonts w:ascii="Calibri" w:hAnsi="Calibri" w:cs="Calibri"/>
          <w:b/>
          <w:bCs/>
          <w:i/>
          <w:iCs/>
          <w:sz w:val="22"/>
          <w:szCs w:val="22"/>
        </w:rPr>
        <w:t>Background</w:t>
      </w:r>
      <w:r>
        <w:rPr>
          <w:rFonts w:ascii="Calibri" w:hAnsi="Calibri" w:cs="Calibri"/>
          <w:sz w:val="22"/>
          <w:szCs w:val="22"/>
        </w:rPr>
        <w:t xml:space="preserve">. </w:t>
      </w:r>
      <w:r w:rsidR="00351A37" w:rsidRPr="00351A37">
        <w:rPr>
          <w:rFonts w:ascii="Calibri" w:hAnsi="Calibri" w:cs="Calibri"/>
          <w:sz w:val="22"/>
          <w:szCs w:val="22"/>
        </w:rPr>
        <w:t>Topological methods have shown that spatial organisation in multi-agent systems carries structure, demonstrated in biological aggregation, collective motion and flocking [11–13] and topological change-point detection [14]. These applications rely on persistent homology [1,2] and its statistical summaries [6,8,9] to track qualitative shape features across scales — summaries stable under small measurement error [7], enabling formal comparison and averaging. Multi-scale methods exist for cooperative, slowly evolving systems [10], but not for hierarchical competitive dynamics. Conventional approaches remain single-scale geometric descriptors [15,16]. Our pilot [17] takes a first step, recovering three stable connected-component regimes and two complementary loop regimes across 10 realisations of a competitive collective system, in which the scales carry largely independent information.</w:t>
      </w:r>
    </w:p>
    <w:p w14:paraId="527A1FB0" w14:textId="64F8071F" w:rsidR="00351A37" w:rsidRPr="00351A37" w:rsidRDefault="00351A37" w:rsidP="00351A37">
      <w:pPr>
        <w:jc w:val="both"/>
        <w:rPr>
          <w:rFonts w:ascii="Calibri" w:hAnsi="Calibri" w:cs="Calibri"/>
          <w:sz w:val="22"/>
          <w:szCs w:val="22"/>
        </w:rPr>
      </w:pPr>
      <w:r w:rsidRPr="00421199">
        <w:rPr>
          <w:rFonts w:ascii="Calibri" w:hAnsi="Calibri" w:cs="Calibri"/>
          <w:b/>
          <w:bCs/>
          <w:i/>
          <w:iCs/>
          <w:sz w:val="22"/>
          <w:szCs w:val="22"/>
        </w:rPr>
        <w:t>Timeliness.</w:t>
      </w:r>
      <w:r w:rsidRPr="00351A37">
        <w:rPr>
          <w:rFonts w:ascii="Calibri" w:hAnsi="Calibri" w:cs="Calibri"/>
          <w:sz w:val="22"/>
          <w:szCs w:val="22"/>
        </w:rPr>
        <w:t xml:space="preserve"> Three developments have converged: multi-scale topology and statistical comparison tools have reached maturity [4,6,8,9,11–14]; scalable computation now supports rigorous analysis of high-frequency interaction data at population scale (§5); and fully labelled competitive tracking data have become available at the same scale. No statistical-topology treatment of competitive collective systems yet combines these three.</w:t>
      </w:r>
    </w:p>
    <w:p w14:paraId="5521A16C" w14:textId="2AB4C500" w:rsidR="00351A37" w:rsidRPr="00351A37" w:rsidRDefault="00351A37" w:rsidP="00351A37">
      <w:pPr>
        <w:jc w:val="both"/>
        <w:rPr>
          <w:rFonts w:ascii="Calibri" w:hAnsi="Calibri" w:cs="Calibri"/>
          <w:sz w:val="22"/>
          <w:szCs w:val="22"/>
        </w:rPr>
      </w:pPr>
      <w:r w:rsidRPr="00421199">
        <w:rPr>
          <w:rFonts w:ascii="Calibri" w:hAnsi="Calibri" w:cs="Calibri"/>
          <w:b/>
          <w:bCs/>
          <w:i/>
          <w:iCs/>
          <w:sz w:val="22"/>
          <w:szCs w:val="22"/>
        </w:rPr>
        <w:t>Need and opportunity.</w:t>
      </w:r>
      <w:r w:rsidRPr="00351A37">
        <w:rPr>
          <w:rFonts w:ascii="Calibri" w:hAnsi="Calibri" w:cs="Calibri"/>
          <w:sz w:val="22"/>
          <w:szCs w:val="22"/>
        </w:rPr>
        <w:t xml:space="preserve"> The mathematical gap is specific: no validated statistical-topology workflow exists for systems generated by continuous competitive interaction. Professional football provides the opportunity to close it — a well-observed platform where all agents are continuously tracked within strict spatial boundaries and domain experts can verify results. The resulting framework generalises to any bounded competitive system once interaction lengths are re-derived.</w:t>
      </w:r>
    </w:p>
    <w:p w14:paraId="1107D81E" w14:textId="673D9D6C" w:rsidR="00351A37" w:rsidRPr="00351A37" w:rsidRDefault="00351A37" w:rsidP="00351A37">
      <w:pPr>
        <w:spacing w:before="120"/>
        <w:jc w:val="both"/>
        <w:rPr>
          <w:rFonts w:ascii="Calibri" w:hAnsi="Calibri" w:cs="Calibri"/>
          <w:b/>
          <w:bCs/>
          <w:sz w:val="22"/>
          <w:szCs w:val="22"/>
        </w:rPr>
      </w:pPr>
      <w:r w:rsidRPr="00351A37">
        <w:rPr>
          <w:rFonts w:ascii="Calibri" w:hAnsi="Calibri" w:cs="Calibri"/>
          <w:b/>
          <w:bCs/>
          <w:sz w:val="22"/>
          <w:szCs w:val="22"/>
        </w:rPr>
        <w:t>3. Impact, National Importance and Beneficiaries</w:t>
      </w:r>
    </w:p>
    <w:p w14:paraId="4F8C54DD" w14:textId="4DAFFFD3" w:rsidR="00351A37" w:rsidRPr="00351A37" w:rsidRDefault="00351A37" w:rsidP="00351A37">
      <w:pPr>
        <w:jc w:val="both"/>
        <w:rPr>
          <w:rFonts w:ascii="Calibri" w:hAnsi="Calibri" w:cs="Calibri"/>
          <w:sz w:val="22"/>
          <w:szCs w:val="22"/>
        </w:rPr>
      </w:pPr>
      <w:r w:rsidRPr="00421199">
        <w:rPr>
          <w:rFonts w:ascii="Calibri" w:hAnsi="Calibri" w:cs="Calibri"/>
          <w:b/>
          <w:bCs/>
          <w:i/>
          <w:iCs/>
          <w:sz w:val="22"/>
          <w:szCs w:val="22"/>
        </w:rPr>
        <w:lastRenderedPageBreak/>
        <w:t>Mathematical impact</w:t>
      </w:r>
      <w:r w:rsidRPr="00351A37">
        <w:rPr>
          <w:rFonts w:ascii="Calibri" w:hAnsi="Calibri" w:cs="Calibri"/>
          <w:sz w:val="22"/>
          <w:szCs w:val="22"/>
        </w:rPr>
        <w:t>. The primary contribution is new statistical-topology theory for dependent competitive systems: the §1 theorems extend current foundations [6,8] to sequential adversarial dynamics. Both are implemented in an open-source library for competitive point-cloud analysis, and the primary beneficiaries — researchers in topology, statistics and complex systems — gain new theoretical foundations for inference on dependent spatial data and the software to apply them.</w:t>
      </w:r>
    </w:p>
    <w:p w14:paraId="0C3081FC" w14:textId="41789A3E" w:rsidR="00351A37" w:rsidRPr="00351A37" w:rsidRDefault="00351A37" w:rsidP="00351A37">
      <w:pPr>
        <w:jc w:val="both"/>
        <w:rPr>
          <w:rFonts w:ascii="Calibri" w:hAnsi="Calibri" w:cs="Calibri"/>
          <w:sz w:val="22"/>
          <w:szCs w:val="22"/>
        </w:rPr>
      </w:pPr>
      <w:r w:rsidRPr="00421199">
        <w:rPr>
          <w:rFonts w:ascii="Calibri" w:hAnsi="Calibri" w:cs="Calibri"/>
          <w:b/>
          <w:bCs/>
          <w:i/>
          <w:iCs/>
          <w:sz w:val="22"/>
          <w:szCs w:val="22"/>
        </w:rPr>
        <w:t>National importance</w:t>
      </w:r>
      <w:r w:rsidRPr="00351A37">
        <w:rPr>
          <w:rFonts w:ascii="Calibri" w:hAnsi="Calibri" w:cs="Calibri"/>
          <w:sz w:val="22"/>
          <w:szCs w:val="22"/>
        </w:rPr>
        <w:t>. UK groups lead internationally in statistical topology [6,8] and stochastic geometry. This project develops UK capability at the frontier of statistical TDA, spatial point processes and sequential inference on abstract metric spaces, aligning with EPSRC priorities in mathematical sciences, AI-enabled modelling and complex systems.</w:t>
      </w:r>
    </w:p>
    <w:p w14:paraId="1C47E5DE" w14:textId="117C4F7F" w:rsidR="00351A37" w:rsidRPr="00351A37" w:rsidRDefault="00351A37" w:rsidP="00351A37">
      <w:pPr>
        <w:jc w:val="both"/>
        <w:rPr>
          <w:rFonts w:ascii="Calibri" w:hAnsi="Calibri" w:cs="Calibri"/>
          <w:sz w:val="22"/>
          <w:szCs w:val="22"/>
        </w:rPr>
      </w:pPr>
      <w:r w:rsidRPr="00421199">
        <w:rPr>
          <w:rFonts w:ascii="Calibri" w:hAnsi="Calibri" w:cs="Calibri"/>
          <w:b/>
          <w:bCs/>
          <w:i/>
          <w:iCs/>
          <w:sz w:val="22"/>
          <w:szCs w:val="22"/>
        </w:rPr>
        <w:t>Economic and industry impact</w:t>
      </w:r>
      <w:r w:rsidRPr="00351A37">
        <w:rPr>
          <w:rFonts w:ascii="Calibri" w:hAnsi="Calibri" w:cs="Calibri"/>
          <w:sz w:val="22"/>
          <w:szCs w:val="22"/>
        </w:rPr>
        <w:t>. The project is co-developed with Swansea City AFC (SCAFC), delivering practitioner outputs unavailable from conventional geometric measures; secondary beneficiaries are sports analytics researchers and practitioners who receive interpretable structural measures of collective organisation.</w:t>
      </w:r>
    </w:p>
    <w:p w14:paraId="7545D22F" w14:textId="1F207A47" w:rsidR="00351A37" w:rsidRDefault="00351A37" w:rsidP="00351A37">
      <w:pPr>
        <w:spacing w:after="120"/>
        <w:jc w:val="both"/>
        <w:rPr>
          <w:rFonts w:ascii="Calibri" w:hAnsi="Calibri" w:cs="Calibri"/>
          <w:sz w:val="22"/>
          <w:szCs w:val="22"/>
        </w:rPr>
      </w:pPr>
      <w:r w:rsidRPr="00421199">
        <w:rPr>
          <w:rFonts w:ascii="Calibri" w:hAnsi="Calibri" w:cs="Calibri"/>
          <w:b/>
          <w:bCs/>
          <w:i/>
          <w:iCs/>
          <w:sz w:val="22"/>
          <w:szCs w:val="22"/>
        </w:rPr>
        <w:t>Standard Grant pathway</w:t>
      </w:r>
      <w:r w:rsidRPr="00351A37">
        <w:rPr>
          <w:rFonts w:ascii="Calibri" w:hAnsi="Calibri" w:cs="Calibri"/>
          <w:sz w:val="22"/>
          <w:szCs w:val="22"/>
        </w:rPr>
        <w:t xml:space="preserve">. The T1/T2 foundations proved here prepare a follow-on Standard Grant transferring the guarantees to spatial predator–prey dynamics, including tumour–immune competition with Co-I </w:t>
      </w:r>
      <w:proofErr w:type="spellStart"/>
      <w:r w:rsidRPr="00351A37">
        <w:rPr>
          <w:rFonts w:ascii="Calibri" w:hAnsi="Calibri" w:cs="Calibri"/>
          <w:sz w:val="22"/>
          <w:szCs w:val="22"/>
        </w:rPr>
        <w:t>Powathil</w:t>
      </w:r>
      <w:proofErr w:type="spellEnd"/>
      <w:r w:rsidRPr="00351A37">
        <w:rPr>
          <w:rFonts w:ascii="Calibri" w:hAnsi="Calibri" w:cs="Calibri"/>
          <w:sz w:val="22"/>
          <w:szCs w:val="22"/>
        </w:rPr>
        <w:t>; broader competitive-domain beneficiaries will be addressed in that programme.</w:t>
      </w:r>
    </w:p>
    <w:p w14:paraId="2BC83D73" w14:textId="2B4703DC" w:rsidR="00351A37" w:rsidRPr="00351A37" w:rsidRDefault="00421199" w:rsidP="00351A37">
      <w:pPr>
        <w:jc w:val="both"/>
        <w:rPr>
          <w:rFonts w:ascii="Calibri" w:hAnsi="Calibri" w:cs="Calibri"/>
          <w:sz w:val="22"/>
          <w:szCs w:val="22"/>
        </w:rPr>
      </w:pPr>
      <w:r>
        <w:rPr>
          <w:rFonts w:ascii="Calibri" w:hAnsi="Calibri" w:cs="Calibri"/>
          <w:noProof/>
          <w:sz w:val="22"/>
          <w:szCs w:val="22"/>
        </w:rPr>
        <w:drawing>
          <wp:inline distT="0" distB="0" distL="0" distR="0" wp14:anchorId="5E6BC877" wp14:editId="1923FA7B">
            <wp:extent cx="5640081" cy="1858645"/>
            <wp:effectExtent l="0" t="0" r="0" b="0"/>
            <wp:docPr id="16967050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05037" name="Picture 1696705037"/>
                    <pic:cNvPicPr/>
                  </pic:nvPicPr>
                  <pic:blipFill rotWithShape="1">
                    <a:blip r:embed="rId4" cstate="print">
                      <a:extLst>
                        <a:ext uri="{28A0092B-C50C-407E-A947-70E740481C1C}">
                          <a14:useLocalDpi xmlns:a14="http://schemas.microsoft.com/office/drawing/2010/main" val="0"/>
                        </a:ext>
                      </a:extLst>
                    </a:blip>
                    <a:srcRect r="1530"/>
                    <a:stretch>
                      <a:fillRect/>
                    </a:stretch>
                  </pic:blipFill>
                  <pic:spPr bwMode="auto">
                    <a:xfrm>
                      <a:off x="0" y="0"/>
                      <a:ext cx="5640081" cy="1858645"/>
                    </a:xfrm>
                    <a:prstGeom prst="rect">
                      <a:avLst/>
                    </a:prstGeom>
                    <a:ln>
                      <a:noFill/>
                    </a:ln>
                    <a:extLst>
                      <a:ext uri="{53640926-AAD7-44D8-BBD7-CCE9431645EC}">
                        <a14:shadowObscured xmlns:a14="http://schemas.microsoft.com/office/drawing/2010/main"/>
                      </a:ext>
                    </a:extLst>
                  </pic:spPr>
                </pic:pic>
              </a:graphicData>
            </a:graphic>
          </wp:inline>
        </w:drawing>
      </w:r>
    </w:p>
    <w:p w14:paraId="1A7A9F22" w14:textId="5A248CB4" w:rsidR="00351A37" w:rsidRPr="00351A37" w:rsidRDefault="00351A37" w:rsidP="00351A37">
      <w:pPr>
        <w:jc w:val="both"/>
        <w:rPr>
          <w:rFonts w:ascii="Calibri" w:hAnsi="Calibri" w:cs="Calibri"/>
          <w:sz w:val="22"/>
          <w:szCs w:val="22"/>
        </w:rPr>
      </w:pPr>
      <w:r w:rsidRPr="00351A37">
        <w:rPr>
          <w:rFonts w:ascii="Calibri" w:hAnsi="Calibri" w:cs="Calibri"/>
          <w:sz w:val="22"/>
          <w:szCs w:val="22"/>
        </w:rPr>
        <w:t>Figure 1. Twelve-month workplan. Diamonds: decision milestones. Triangles: dated outputs.</w:t>
      </w:r>
    </w:p>
    <w:p w14:paraId="390594BB" w14:textId="41CD275A" w:rsidR="00351A37" w:rsidRPr="00351A37" w:rsidRDefault="00351A37" w:rsidP="00351A37">
      <w:pPr>
        <w:spacing w:before="120"/>
        <w:jc w:val="both"/>
        <w:rPr>
          <w:rFonts w:ascii="Calibri" w:hAnsi="Calibri" w:cs="Calibri"/>
          <w:b/>
          <w:bCs/>
          <w:sz w:val="22"/>
          <w:szCs w:val="22"/>
        </w:rPr>
      </w:pPr>
      <w:r w:rsidRPr="00351A37">
        <w:rPr>
          <w:rFonts w:ascii="Calibri" w:hAnsi="Calibri" w:cs="Calibri"/>
          <w:b/>
          <w:bCs/>
          <w:sz w:val="22"/>
          <w:szCs w:val="22"/>
        </w:rPr>
        <w:t>Approach</w:t>
      </w:r>
    </w:p>
    <w:p w14:paraId="57D72AB7" w14:textId="766B8FD8" w:rsidR="00351A37" w:rsidRPr="00351A37" w:rsidRDefault="00351A37" w:rsidP="00351A37">
      <w:pPr>
        <w:jc w:val="both"/>
        <w:rPr>
          <w:rFonts w:ascii="Calibri" w:hAnsi="Calibri" w:cs="Calibri"/>
          <w:b/>
          <w:bCs/>
          <w:sz w:val="22"/>
          <w:szCs w:val="22"/>
        </w:rPr>
      </w:pPr>
      <w:r w:rsidRPr="00351A37">
        <w:rPr>
          <w:rFonts w:ascii="Calibri" w:hAnsi="Calibri" w:cs="Calibri"/>
          <w:b/>
          <w:bCs/>
          <w:sz w:val="22"/>
          <w:szCs w:val="22"/>
        </w:rPr>
        <w:t>4. Research Design and Objectives</w:t>
      </w:r>
    </w:p>
    <w:p w14:paraId="1D1E8BCC" w14:textId="18AAF393" w:rsidR="00351A37" w:rsidRPr="00351A37" w:rsidRDefault="00351A37" w:rsidP="00351A37">
      <w:pPr>
        <w:jc w:val="both"/>
        <w:rPr>
          <w:rFonts w:ascii="Calibri" w:hAnsi="Calibri" w:cs="Calibri"/>
          <w:sz w:val="22"/>
          <w:szCs w:val="22"/>
        </w:rPr>
      </w:pPr>
      <w:r w:rsidRPr="00421199">
        <w:rPr>
          <w:rFonts w:ascii="Calibri" w:hAnsi="Calibri" w:cs="Calibri"/>
          <w:b/>
          <w:bCs/>
          <w:i/>
          <w:iCs/>
          <w:sz w:val="22"/>
          <w:szCs w:val="22"/>
        </w:rPr>
        <w:t>Project structure</w:t>
      </w:r>
      <w:r w:rsidRPr="00351A37">
        <w:rPr>
          <w:rFonts w:ascii="Calibri" w:hAnsi="Calibri" w:cs="Calibri"/>
          <w:sz w:val="22"/>
          <w:szCs w:val="22"/>
        </w:rPr>
        <w:t>. The PI (0.2 FTE) leads framework development, analysis and publication. Two Co-Investigators (0.1 FTE combined) supply statistical and domain expertise. A Research Associate (Months 2–10) implements the computational pipeline and conducts the full-season analysis, developing cross-disciplinary competence in statistical topology, sequential inference and applied sport science — a combination that constitutes structured postdoctoral training in competitive-systems methodology. SCAFC provides tracking data and tactical labels.</w:t>
      </w:r>
    </w:p>
    <w:p w14:paraId="069C2A2F" w14:textId="7E726D22" w:rsidR="00351A37" w:rsidRPr="00351A37" w:rsidRDefault="00351A37" w:rsidP="00351A37">
      <w:pPr>
        <w:jc w:val="both"/>
        <w:rPr>
          <w:rFonts w:ascii="Calibri" w:hAnsi="Calibri" w:cs="Calibri"/>
          <w:sz w:val="22"/>
          <w:szCs w:val="22"/>
        </w:rPr>
      </w:pPr>
      <w:r w:rsidRPr="00421199">
        <w:rPr>
          <w:rFonts w:ascii="Calibri" w:hAnsi="Calibri" w:cs="Calibri"/>
          <w:b/>
          <w:bCs/>
          <w:i/>
          <w:iCs/>
          <w:sz w:val="22"/>
          <w:szCs w:val="22"/>
        </w:rPr>
        <w:t>Sample-size rationale.</w:t>
      </w:r>
      <w:r w:rsidRPr="00351A37">
        <w:rPr>
          <w:rFonts w:ascii="Calibri" w:hAnsi="Calibri" w:cs="Calibri"/>
          <w:sz w:val="22"/>
          <w:szCs w:val="22"/>
        </w:rPr>
        <w:t xml:space="preserve"> A Championship season (≈540 matches) supplies the replication the 10-realisation pilot cannot. Approximately 32 matches per covariate subgroup (phase of play, opponent strength or venue) yield a 95% CI half-width of 0.025 for the match-level tactical-scale loop-presence rate (pilot across-match </w:t>
      </w:r>
      <w:proofErr w:type="spellStart"/>
      <w:r w:rsidRPr="00351A37">
        <w:rPr>
          <w:rFonts w:ascii="Calibri" w:hAnsi="Calibri" w:cs="Calibri"/>
          <w:sz w:val="22"/>
          <w:szCs w:val="22"/>
        </w:rPr>
        <w:t>s.d.</w:t>
      </w:r>
      <w:proofErr w:type="spellEnd"/>
      <w:r w:rsidRPr="00351A37">
        <w:rPr>
          <w:rFonts w:ascii="Calibri" w:hAnsi="Calibri" w:cs="Calibri"/>
          <w:sz w:val="22"/>
          <w:szCs w:val="22"/>
        </w:rPr>
        <w:t xml:space="preserve"> 0.072 [17]). Separately, 180 matches per tactical formation detect Cohen's d ≥ 0.30 at 80% power (α=0.05, Benjamini–Hochberg FDR). A borderline within-match pilot effect (p=0.051) is the replication target.</w:t>
      </w:r>
    </w:p>
    <w:p w14:paraId="2F8E8500" w14:textId="33288245" w:rsidR="00351A37" w:rsidRPr="00351A37" w:rsidRDefault="00351A37" w:rsidP="00351A37">
      <w:pPr>
        <w:jc w:val="both"/>
        <w:rPr>
          <w:rFonts w:ascii="Calibri" w:hAnsi="Calibri" w:cs="Calibri"/>
          <w:sz w:val="22"/>
          <w:szCs w:val="22"/>
        </w:rPr>
      </w:pPr>
      <w:r w:rsidRPr="00421199">
        <w:rPr>
          <w:rFonts w:ascii="Calibri" w:hAnsi="Calibri" w:cs="Calibri"/>
          <w:b/>
          <w:bCs/>
          <w:i/>
          <w:iCs/>
          <w:sz w:val="22"/>
          <w:szCs w:val="22"/>
        </w:rPr>
        <w:t>O1: Population-scale geometry (PI Months 1–9; RA Months 2–9).</w:t>
      </w:r>
      <w:r w:rsidRPr="00351A37">
        <w:rPr>
          <w:rFonts w:ascii="Calibri" w:hAnsi="Calibri" w:cs="Calibri"/>
          <w:sz w:val="22"/>
          <w:szCs w:val="22"/>
        </w:rPr>
        <w:t xml:space="preserve"> O1 determines whether scale-specific topological summaries are stable enough to average at population scale, and whether distances between those summaries distinguish competitive organisational states, using a 20-match validation batch to test cutoff transferability. Success criteria: cutoff stability ≥ 0.80 (below this, interaction lengths are re-derived); moment conditions documented at season scale; discriminable signatures for ≥3 tactical formations (FDR-corrected differences, p&lt;0.05). Those conditions are the hypotheses under which O2 proves T1 and T2.</w:t>
      </w:r>
    </w:p>
    <w:p w14:paraId="6D86CB99" w14:textId="28457046" w:rsidR="00351A37" w:rsidRPr="00351A37" w:rsidRDefault="00351A37" w:rsidP="00351A37">
      <w:pPr>
        <w:jc w:val="both"/>
        <w:rPr>
          <w:rFonts w:ascii="Calibri" w:hAnsi="Calibri" w:cs="Calibri"/>
          <w:sz w:val="22"/>
          <w:szCs w:val="22"/>
        </w:rPr>
      </w:pPr>
      <w:r w:rsidRPr="00421199">
        <w:rPr>
          <w:rFonts w:ascii="Calibri" w:hAnsi="Calibri" w:cs="Calibri"/>
          <w:b/>
          <w:bCs/>
          <w:i/>
          <w:iCs/>
          <w:sz w:val="22"/>
          <w:szCs w:val="22"/>
        </w:rPr>
        <w:lastRenderedPageBreak/>
        <w:t>O2: Inference for dependent topological processes (PI and RA, Months 4–10).</w:t>
      </w:r>
      <w:r w:rsidRPr="00351A37">
        <w:rPr>
          <w:rFonts w:ascii="Calibri" w:hAnsi="Calibri" w:cs="Calibri"/>
          <w:sz w:val="22"/>
          <w:szCs w:val="22"/>
        </w:rPr>
        <w:t xml:space="preserve"> O2 proves the §1 theorems through functional analysis of landscape-valued time series and sequential change-point detection, using methods described in §5. Success requires both theorems proved under the O1 conditions, and change-points agreeing with held-out annotations at ≥70% (permutation p&lt;0.05). Dated gates and outputs are in Figure 1.</w:t>
      </w:r>
    </w:p>
    <w:p w14:paraId="6625BB3A" w14:textId="177A3DBE" w:rsidR="00351A37" w:rsidRPr="00351A37" w:rsidRDefault="00351A37" w:rsidP="00351A37">
      <w:pPr>
        <w:spacing w:before="120"/>
        <w:jc w:val="both"/>
        <w:rPr>
          <w:rFonts w:ascii="Calibri" w:hAnsi="Calibri" w:cs="Calibri"/>
          <w:b/>
          <w:bCs/>
          <w:sz w:val="22"/>
          <w:szCs w:val="22"/>
        </w:rPr>
      </w:pPr>
      <w:r w:rsidRPr="00351A37">
        <w:rPr>
          <w:rFonts w:ascii="Calibri" w:hAnsi="Calibri" w:cs="Calibri"/>
          <w:b/>
          <w:bCs/>
          <w:sz w:val="22"/>
          <w:szCs w:val="22"/>
        </w:rPr>
        <w:t>5. Methodology</w:t>
      </w:r>
    </w:p>
    <w:p w14:paraId="389DCC46" w14:textId="77777777" w:rsidR="00351A37" w:rsidRPr="00351A37" w:rsidRDefault="00351A37" w:rsidP="00351A37">
      <w:pPr>
        <w:jc w:val="both"/>
        <w:rPr>
          <w:rFonts w:ascii="Calibri" w:hAnsi="Calibri" w:cs="Calibri"/>
          <w:sz w:val="22"/>
          <w:szCs w:val="22"/>
        </w:rPr>
      </w:pPr>
      <w:r w:rsidRPr="00351A37">
        <w:rPr>
          <w:rFonts w:ascii="Calibri" w:hAnsi="Calibri" w:cs="Calibri"/>
          <w:sz w:val="22"/>
          <w:szCs w:val="22"/>
        </w:rPr>
        <w:t xml:space="preserve">A containerised Python pipeline processes each match frame as a point cloud. Agents are partitioned using empirically derived interaction lengths validated against the §2 regimes; failure triggers the §4 cutoff gate. Persistent homology is computed at each accepted scale using </w:t>
      </w:r>
      <w:proofErr w:type="spellStart"/>
      <w:r w:rsidRPr="00351A37">
        <w:rPr>
          <w:rFonts w:ascii="Calibri" w:hAnsi="Calibri" w:cs="Calibri"/>
          <w:sz w:val="22"/>
          <w:szCs w:val="22"/>
        </w:rPr>
        <w:t>Ripser</w:t>
      </w:r>
      <w:proofErr w:type="spellEnd"/>
      <w:r w:rsidRPr="00351A37">
        <w:rPr>
          <w:rFonts w:ascii="Calibri" w:hAnsi="Calibri" w:cs="Calibri"/>
          <w:sz w:val="22"/>
          <w:szCs w:val="22"/>
        </w:rPr>
        <w:t xml:space="preserve"> [20], GUDHI [21] and </w:t>
      </w:r>
      <w:proofErr w:type="spellStart"/>
      <w:r w:rsidRPr="00351A37">
        <w:rPr>
          <w:rFonts w:ascii="Calibri" w:hAnsi="Calibri" w:cs="Calibri"/>
          <w:sz w:val="22"/>
          <w:szCs w:val="22"/>
        </w:rPr>
        <w:t>giotto-tda</w:t>
      </w:r>
      <w:proofErr w:type="spellEnd"/>
      <w:r w:rsidRPr="00351A37">
        <w:rPr>
          <w:rFonts w:ascii="Calibri" w:hAnsi="Calibri" w:cs="Calibri"/>
          <w:sz w:val="22"/>
          <w:szCs w:val="22"/>
        </w:rPr>
        <w:t xml:space="preserve"> [22], producing barcodes converted to persistence landscapes for O1 comparison and the O2 time-series analysis. Production processing runs at 1 Hz (§7).</w:t>
      </w:r>
    </w:p>
    <w:p w14:paraId="0FD4DD10" w14:textId="77777777" w:rsidR="00351A37" w:rsidRPr="00351A37" w:rsidRDefault="00351A37" w:rsidP="00351A37">
      <w:pPr>
        <w:jc w:val="both"/>
        <w:rPr>
          <w:rFonts w:ascii="Calibri" w:hAnsi="Calibri" w:cs="Calibri"/>
          <w:sz w:val="22"/>
          <w:szCs w:val="22"/>
        </w:rPr>
      </w:pPr>
      <w:r w:rsidRPr="00351A37">
        <w:rPr>
          <w:rFonts w:ascii="Calibri" w:hAnsi="Calibri" w:cs="Calibri"/>
          <w:sz w:val="22"/>
          <w:szCs w:val="22"/>
        </w:rPr>
        <w:t>For O1, landscape distributions are compared across tactical formations and covariate subgroups using persistence-based distances, with discriminability tested by permutation tests under BH-FDR correction.</w:t>
      </w:r>
    </w:p>
    <w:p w14:paraId="6ECE8618" w14:textId="5763BC8E" w:rsidR="00351A37" w:rsidRPr="00351A37" w:rsidRDefault="00351A37" w:rsidP="00351A37">
      <w:pPr>
        <w:jc w:val="both"/>
        <w:rPr>
          <w:rFonts w:ascii="Calibri" w:hAnsi="Calibri" w:cs="Calibri"/>
          <w:sz w:val="22"/>
          <w:szCs w:val="22"/>
        </w:rPr>
      </w:pPr>
      <w:r w:rsidRPr="00351A37">
        <w:rPr>
          <w:rFonts w:ascii="Calibri" w:hAnsi="Calibri" w:cs="Calibri"/>
          <w:sz w:val="22"/>
          <w:szCs w:val="22"/>
        </w:rPr>
        <w:t>For O2, the §1 well-</w:t>
      </w:r>
      <w:proofErr w:type="spellStart"/>
      <w:r w:rsidRPr="00351A37">
        <w:rPr>
          <w:rFonts w:ascii="Calibri" w:hAnsi="Calibri" w:cs="Calibri"/>
          <w:sz w:val="22"/>
          <w:szCs w:val="22"/>
        </w:rPr>
        <w:t>posedness</w:t>
      </w:r>
      <w:proofErr w:type="spellEnd"/>
      <w:r w:rsidRPr="00351A37">
        <w:rPr>
          <w:rFonts w:ascii="Calibri" w:hAnsi="Calibri" w:cs="Calibri"/>
          <w:sz w:val="22"/>
          <w:szCs w:val="22"/>
        </w:rPr>
        <w:t xml:space="preserve"> result is the precondition for applying FPCA [18] to landscape-valued time series — averaging landscape trajectories across matches is statistically coherent only once the mean path is guaranteed to exist. FPCA reduces each topological trajectory to a low-dimensional functional representation while retaining within-landscape structure that scalar features discard. At season scale, bootstrap stability of the estimated mean landscape across resampled dependent blocks provides an empirical check that the estimated mean is stable under the dependence structure assumed by T1. CUSUM statistics [19] are then applied to the FPCA scores, with detection thresholds calibrated by block bootstrap using the pilot's inter-match dependence structure as the resampling block length; these calibrated thresholds operationalise T2's Wasserstein-stability error bound as a detection criterion at season scale.</w:t>
      </w:r>
    </w:p>
    <w:p w14:paraId="03FB4C65" w14:textId="479F67A2" w:rsidR="00351A37" w:rsidRPr="00351A37" w:rsidRDefault="00351A37" w:rsidP="00351A37">
      <w:pPr>
        <w:spacing w:before="120"/>
        <w:jc w:val="both"/>
        <w:rPr>
          <w:rFonts w:ascii="Calibri" w:hAnsi="Calibri" w:cs="Calibri"/>
          <w:b/>
          <w:bCs/>
          <w:sz w:val="22"/>
          <w:szCs w:val="22"/>
        </w:rPr>
      </w:pPr>
      <w:r w:rsidRPr="00351A37">
        <w:rPr>
          <w:rFonts w:ascii="Calibri" w:hAnsi="Calibri" w:cs="Calibri"/>
          <w:b/>
          <w:bCs/>
          <w:sz w:val="22"/>
          <w:szCs w:val="22"/>
        </w:rPr>
        <w:t>6. Feasibility and Risk Management</w:t>
      </w:r>
    </w:p>
    <w:p w14:paraId="71A3AA30" w14:textId="77777777" w:rsidR="00351A37" w:rsidRPr="00351A37" w:rsidRDefault="00351A37" w:rsidP="00351A37">
      <w:pPr>
        <w:jc w:val="both"/>
        <w:rPr>
          <w:rFonts w:ascii="Calibri" w:hAnsi="Calibri" w:cs="Calibri"/>
          <w:sz w:val="22"/>
          <w:szCs w:val="22"/>
        </w:rPr>
      </w:pPr>
      <w:r w:rsidRPr="00351A37">
        <w:rPr>
          <w:rFonts w:ascii="Calibri" w:hAnsi="Calibri" w:cs="Calibri"/>
          <w:sz w:val="22"/>
          <w:szCs w:val="22"/>
        </w:rPr>
        <w:t xml:space="preserve">The project is feasible in twelve months: the method is </w:t>
      </w:r>
      <w:proofErr w:type="gramStart"/>
      <w:r w:rsidRPr="00351A37">
        <w:rPr>
          <w:rFonts w:ascii="Calibri" w:hAnsi="Calibri" w:cs="Calibri"/>
          <w:sz w:val="22"/>
          <w:szCs w:val="22"/>
        </w:rPr>
        <w:t>pilot-validated</w:t>
      </w:r>
      <w:proofErr w:type="gramEnd"/>
      <w:r w:rsidRPr="00351A37">
        <w:rPr>
          <w:rFonts w:ascii="Calibri" w:hAnsi="Calibri" w:cs="Calibri"/>
          <w:sz w:val="22"/>
          <w:szCs w:val="22"/>
        </w:rPr>
        <w:t xml:space="preserve"> (§2), so O2 begins from established conditions; data access is secured through the SCAFC agreement; and the computational budget is modest relative to the available allocation (§7).</w:t>
      </w:r>
    </w:p>
    <w:p w14:paraId="5AA5E187" w14:textId="09CB4D5E" w:rsidR="00351A37" w:rsidRPr="00351A37" w:rsidRDefault="00351A37" w:rsidP="00351A37">
      <w:pPr>
        <w:jc w:val="both"/>
        <w:rPr>
          <w:rFonts w:ascii="Calibri" w:hAnsi="Calibri" w:cs="Calibri"/>
          <w:sz w:val="22"/>
          <w:szCs w:val="22"/>
        </w:rPr>
      </w:pPr>
      <w:r w:rsidRPr="00421199">
        <w:rPr>
          <w:rFonts w:ascii="Calibri" w:hAnsi="Calibri" w:cs="Calibri"/>
          <w:b/>
          <w:bCs/>
          <w:i/>
          <w:iCs/>
          <w:sz w:val="22"/>
          <w:szCs w:val="22"/>
        </w:rPr>
        <w:t>Three residual risks remain</w:t>
      </w:r>
      <w:r w:rsidRPr="00351A37">
        <w:rPr>
          <w:rFonts w:ascii="Calibri" w:hAnsi="Calibri" w:cs="Calibri"/>
          <w:sz w:val="22"/>
          <w:szCs w:val="22"/>
        </w:rPr>
        <w:t>. (R1) Scale transferability (</w:t>
      </w:r>
      <w:r w:rsidRPr="00421199">
        <w:rPr>
          <w:rFonts w:ascii="Calibri" w:hAnsi="Calibri" w:cs="Calibri"/>
          <w:i/>
          <w:iCs/>
          <w:sz w:val="22"/>
          <w:szCs w:val="22"/>
        </w:rPr>
        <w:t>medium likelihood, high impact</w:t>
      </w:r>
      <w:r w:rsidRPr="00351A37">
        <w:rPr>
          <w:rFonts w:ascii="Calibri" w:hAnsi="Calibri" w:cs="Calibri"/>
          <w:sz w:val="22"/>
          <w:szCs w:val="22"/>
        </w:rPr>
        <w:t>): without transferable interaction lengths, averaging is not meaningful; the §4 cutoff gate is the mitigation. (R2) Tactical label uncertainty (</w:t>
      </w:r>
      <w:r w:rsidRPr="00421199">
        <w:rPr>
          <w:rFonts w:ascii="Calibri" w:hAnsi="Calibri" w:cs="Calibri"/>
          <w:i/>
          <w:iCs/>
          <w:sz w:val="22"/>
          <w:szCs w:val="22"/>
        </w:rPr>
        <w:t>medium likelihood, low impact</w:t>
      </w:r>
      <w:r w:rsidRPr="00351A37">
        <w:rPr>
          <w:rFonts w:ascii="Calibri" w:hAnsi="Calibri" w:cs="Calibri"/>
          <w:sz w:val="22"/>
          <w:szCs w:val="22"/>
        </w:rPr>
        <w:t>): dual-source verification, Cohen's κ and pre-registered exclusions mitigate this; labels affect O1 interpretation, not the theorems. (R3) Landscape theory (</w:t>
      </w:r>
      <w:r w:rsidRPr="00421199">
        <w:rPr>
          <w:rFonts w:ascii="Calibri" w:hAnsi="Calibri" w:cs="Calibri"/>
          <w:i/>
          <w:iCs/>
          <w:sz w:val="22"/>
          <w:szCs w:val="22"/>
        </w:rPr>
        <w:t>low likelihood, medium impact</w:t>
      </w:r>
      <w:r w:rsidRPr="00351A37">
        <w:rPr>
          <w:rFonts w:ascii="Calibri" w:hAnsi="Calibri" w:cs="Calibri"/>
          <w:sz w:val="22"/>
          <w:szCs w:val="22"/>
        </w:rPr>
        <w:t>): if the landscape argument is intractable, O2 uses the Wasserstein diagram comparison already demonstrated in the pilot, and T1 uniqueness is not claimed.</w:t>
      </w:r>
    </w:p>
    <w:p w14:paraId="28C9EA76" w14:textId="495781E0" w:rsidR="00351A37" w:rsidRPr="00351A37" w:rsidRDefault="00351A37" w:rsidP="00351A37">
      <w:pPr>
        <w:spacing w:before="120"/>
        <w:jc w:val="both"/>
        <w:rPr>
          <w:rFonts w:ascii="Calibri" w:hAnsi="Calibri" w:cs="Calibri"/>
          <w:b/>
          <w:bCs/>
          <w:sz w:val="22"/>
          <w:szCs w:val="22"/>
        </w:rPr>
      </w:pPr>
      <w:r w:rsidRPr="00351A37">
        <w:rPr>
          <w:rFonts w:ascii="Calibri" w:hAnsi="Calibri" w:cs="Calibri"/>
          <w:b/>
          <w:bCs/>
          <w:sz w:val="22"/>
          <w:szCs w:val="22"/>
        </w:rPr>
        <w:t>7. Outcomes, Team and Resources</w:t>
      </w:r>
    </w:p>
    <w:p w14:paraId="2813DD75" w14:textId="58BE010B" w:rsidR="00351A37" w:rsidRPr="00351A37" w:rsidRDefault="00351A37" w:rsidP="00351A37">
      <w:pPr>
        <w:jc w:val="both"/>
        <w:rPr>
          <w:rFonts w:ascii="Calibri" w:hAnsi="Calibri" w:cs="Calibri"/>
          <w:sz w:val="22"/>
          <w:szCs w:val="22"/>
        </w:rPr>
      </w:pPr>
      <w:r w:rsidRPr="00421199">
        <w:rPr>
          <w:rFonts w:ascii="Calibri" w:hAnsi="Calibri" w:cs="Calibri"/>
          <w:b/>
          <w:bCs/>
          <w:i/>
          <w:iCs/>
          <w:sz w:val="22"/>
          <w:szCs w:val="22"/>
        </w:rPr>
        <w:t>Publications and software</w:t>
      </w:r>
      <w:r w:rsidRPr="00351A37">
        <w:rPr>
          <w:rFonts w:ascii="Calibri" w:hAnsi="Calibri" w:cs="Calibri"/>
          <w:sz w:val="22"/>
          <w:szCs w:val="22"/>
        </w:rPr>
        <w:t xml:space="preserve">. The methodology paper [17], season-results paper, football-analytics paper [23], </w:t>
      </w:r>
      <w:proofErr w:type="spellStart"/>
      <w:r w:rsidRPr="00351A37">
        <w:rPr>
          <w:rFonts w:ascii="Calibri" w:hAnsi="Calibri" w:cs="Calibri"/>
          <w:sz w:val="22"/>
          <w:szCs w:val="22"/>
        </w:rPr>
        <w:t>Zenodo</w:t>
      </w:r>
      <w:proofErr w:type="spellEnd"/>
      <w:r w:rsidRPr="00351A37">
        <w:rPr>
          <w:rFonts w:ascii="Calibri" w:hAnsi="Calibri" w:cs="Calibri"/>
          <w:sz w:val="22"/>
          <w:szCs w:val="22"/>
        </w:rPr>
        <w:t xml:space="preserve"> library DOI and SCAFC practitioner outputs are the dated deliverables in Figure 1; together they form the Month-12 evidence pack for the follow-on Standard Grant (§3).</w:t>
      </w:r>
    </w:p>
    <w:p w14:paraId="7BDE873C" w14:textId="49C968D1" w:rsidR="00351A37" w:rsidRPr="00351A37" w:rsidRDefault="00351A37" w:rsidP="00351A37">
      <w:pPr>
        <w:jc w:val="both"/>
        <w:rPr>
          <w:rFonts w:ascii="Calibri" w:hAnsi="Calibri" w:cs="Calibri"/>
          <w:sz w:val="22"/>
          <w:szCs w:val="22"/>
        </w:rPr>
      </w:pPr>
      <w:r w:rsidRPr="00421199">
        <w:rPr>
          <w:rFonts w:ascii="Calibri" w:hAnsi="Calibri" w:cs="Calibri"/>
          <w:b/>
          <w:bCs/>
          <w:i/>
          <w:iCs/>
          <w:sz w:val="22"/>
          <w:szCs w:val="22"/>
        </w:rPr>
        <w:t>Team.</w:t>
      </w:r>
      <w:r w:rsidRPr="00351A37">
        <w:rPr>
          <w:rFonts w:ascii="Calibri" w:hAnsi="Calibri" w:cs="Calibri"/>
          <w:sz w:val="22"/>
          <w:szCs w:val="22"/>
        </w:rPr>
        <w:t xml:space="preserve"> The project is based at Swansea University's Zienkiewicz Institute for Modelling, Data and AI (ZI) and brings together expertise not previously combined in a single grant: statistical topology (PI), mathematical oncology (Co-I </w:t>
      </w:r>
      <w:proofErr w:type="spellStart"/>
      <w:r w:rsidRPr="00351A37">
        <w:rPr>
          <w:rFonts w:ascii="Calibri" w:hAnsi="Calibri" w:cs="Calibri"/>
          <w:sz w:val="22"/>
          <w:szCs w:val="22"/>
        </w:rPr>
        <w:t>Powathil</w:t>
      </w:r>
      <w:proofErr w:type="spellEnd"/>
      <w:r w:rsidRPr="00351A37">
        <w:rPr>
          <w:rFonts w:ascii="Calibri" w:hAnsi="Calibri" w:cs="Calibri"/>
          <w:sz w:val="22"/>
          <w:szCs w:val="22"/>
        </w:rPr>
        <w:t>) and sport and exercise science (Co-I Kilduff), with SCAFC as the live industry co-development setting. This new interdisciplinary collaboration bridges communities with distinct analytical traditions — mathematical, biological and sporting — through a shared topological framework, making it a natural fit for the Small Grant scheme's new-collaboration remit. Prof Kilduff supplies the sport-science judgement that turns organisational-state distinctions into tactically meaningful categories, grounding the practitioner outputs.</w:t>
      </w:r>
    </w:p>
    <w:p w14:paraId="38EB90AC" w14:textId="4470B61F" w:rsidR="00EF035A" w:rsidRDefault="00351A37" w:rsidP="00351A37">
      <w:pPr>
        <w:jc w:val="both"/>
        <w:rPr>
          <w:rFonts w:ascii="Calibri" w:hAnsi="Calibri" w:cs="Calibri"/>
          <w:sz w:val="22"/>
          <w:szCs w:val="22"/>
        </w:rPr>
      </w:pPr>
      <w:r w:rsidRPr="00421199">
        <w:rPr>
          <w:rFonts w:ascii="Calibri" w:hAnsi="Calibri" w:cs="Calibri"/>
          <w:b/>
          <w:bCs/>
          <w:i/>
          <w:iCs/>
          <w:sz w:val="22"/>
          <w:szCs w:val="22"/>
        </w:rPr>
        <w:t>Resources.</w:t>
      </w:r>
      <w:r w:rsidRPr="00351A37">
        <w:rPr>
          <w:rFonts w:ascii="Calibri" w:hAnsi="Calibri" w:cs="Calibri"/>
          <w:sz w:val="22"/>
          <w:szCs w:val="22"/>
        </w:rPr>
        <w:t xml:space="preserve"> Full-season processing uses the PI's Supercomputing Wales allocation: approximately 1,600 CPU-hours of a 5,000 CPU-hour available budget. The containerised pipeline is executable on local machines and high-performance computing clusters.</w:t>
      </w:r>
    </w:p>
    <w:p w14:paraId="23D7154B" w14:textId="77777777" w:rsidR="00351A37" w:rsidRPr="00013D57" w:rsidRDefault="00351A37" w:rsidP="00351A37">
      <w:pPr>
        <w:jc w:val="both"/>
        <w:rPr>
          <w:rFonts w:ascii="Calibri" w:hAnsi="Calibri" w:cs="Calibri"/>
          <w:sz w:val="22"/>
          <w:szCs w:val="22"/>
        </w:rPr>
      </w:pPr>
    </w:p>
    <w:sectPr w:rsidR="00351A37" w:rsidRPr="00013D57" w:rsidSect="00C436E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35A"/>
    <w:rsid w:val="00013D57"/>
    <w:rsid w:val="001003FC"/>
    <w:rsid w:val="0015265C"/>
    <w:rsid w:val="002B34AE"/>
    <w:rsid w:val="00351A37"/>
    <w:rsid w:val="0039664B"/>
    <w:rsid w:val="003E6AA7"/>
    <w:rsid w:val="00421199"/>
    <w:rsid w:val="005D7D6A"/>
    <w:rsid w:val="00716867"/>
    <w:rsid w:val="00736938"/>
    <w:rsid w:val="007B2FDA"/>
    <w:rsid w:val="008C5AD8"/>
    <w:rsid w:val="009F2263"/>
    <w:rsid w:val="00A94BAA"/>
    <w:rsid w:val="00B03625"/>
    <w:rsid w:val="00B80347"/>
    <w:rsid w:val="00C436ED"/>
    <w:rsid w:val="00C63905"/>
    <w:rsid w:val="00C8460E"/>
    <w:rsid w:val="00EA1C93"/>
    <w:rsid w:val="00EF035A"/>
    <w:rsid w:val="00F301F7"/>
    <w:rsid w:val="00F406E1"/>
    <w:rsid w:val="00F94B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F6173A"/>
  <w15:chartTrackingRefBased/>
  <w15:docId w15:val="{82B0CD51-A1D3-2848-A1F0-F1B02DB99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3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3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3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3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3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3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3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3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3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3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3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3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35A"/>
    <w:rPr>
      <w:rFonts w:eastAsiaTheme="majorEastAsia" w:cstheme="majorBidi"/>
      <w:color w:val="272727" w:themeColor="text1" w:themeTint="D8"/>
    </w:rPr>
  </w:style>
  <w:style w:type="paragraph" w:styleId="Title">
    <w:name w:val="Title"/>
    <w:basedOn w:val="Normal"/>
    <w:next w:val="Normal"/>
    <w:link w:val="TitleChar"/>
    <w:uiPriority w:val="10"/>
    <w:qFormat/>
    <w:rsid w:val="00EF03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35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35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035A"/>
    <w:rPr>
      <w:i/>
      <w:iCs/>
      <w:color w:val="404040" w:themeColor="text1" w:themeTint="BF"/>
    </w:rPr>
  </w:style>
  <w:style w:type="paragraph" w:styleId="ListParagraph">
    <w:name w:val="List Paragraph"/>
    <w:basedOn w:val="Normal"/>
    <w:uiPriority w:val="34"/>
    <w:qFormat/>
    <w:rsid w:val="00EF035A"/>
    <w:pPr>
      <w:ind w:left="720"/>
      <w:contextualSpacing/>
    </w:pPr>
  </w:style>
  <w:style w:type="character" w:styleId="IntenseEmphasis">
    <w:name w:val="Intense Emphasis"/>
    <w:basedOn w:val="DefaultParagraphFont"/>
    <w:uiPriority w:val="21"/>
    <w:qFormat/>
    <w:rsid w:val="00EF035A"/>
    <w:rPr>
      <w:i/>
      <w:iCs/>
      <w:color w:val="0F4761" w:themeColor="accent1" w:themeShade="BF"/>
    </w:rPr>
  </w:style>
  <w:style w:type="paragraph" w:styleId="IntenseQuote">
    <w:name w:val="Intense Quote"/>
    <w:basedOn w:val="Normal"/>
    <w:next w:val="Normal"/>
    <w:link w:val="IntenseQuoteChar"/>
    <w:uiPriority w:val="30"/>
    <w:qFormat/>
    <w:rsid w:val="00EF0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35A"/>
    <w:rPr>
      <w:i/>
      <w:iCs/>
      <w:color w:val="0F4761" w:themeColor="accent1" w:themeShade="BF"/>
    </w:rPr>
  </w:style>
  <w:style w:type="character" w:styleId="IntenseReference">
    <w:name w:val="Intense Reference"/>
    <w:basedOn w:val="DefaultParagraphFont"/>
    <w:uiPriority w:val="32"/>
    <w:qFormat/>
    <w:rsid w:val="00EF03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1568</Words>
  <Characters>10463</Characters>
  <Application>Microsoft Office Word</Application>
  <DocSecurity>0</DocSecurity>
  <Lines>134</Lines>
  <Paragraphs>26</Paragraphs>
  <ScaleCrop>false</ScaleCrop>
  <Company/>
  <LinksUpToDate>false</LinksUpToDate>
  <CharactersWithSpaces>12005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3</cp:revision>
  <cp:lastPrinted>2026-08-23T11:51:00Z</cp:lastPrinted>
  <dcterms:created xsi:type="dcterms:W3CDTF">2026-08-23T11:51:00Z</dcterms:created>
  <dcterms:modified xsi:type="dcterms:W3CDTF">2026-08-23T11:57:00Z</dcterms:modified>
</cp:coreProperties>
</file>