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0A010" w14:textId="3CAB7203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>VISION</w:t>
      </w:r>
    </w:p>
    <w:p w14:paraId="59BE5F10" w14:textId="56C40982" w:rsidR="00D00F57" w:rsidRPr="00D00F57" w:rsidRDefault="00D00F57" w:rsidP="00D00F57">
      <w:pPr>
        <w:spacing w:after="160"/>
        <w:jc w:val="both"/>
        <w:rPr>
          <w:rFonts w:ascii="Calibri" w:hAnsi="Calibri" w:cs="Calibri"/>
          <w:b/>
          <w:bCs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Quality and Mathematical Importance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>This research develops new mathematical frameworks for multi-scale topological analysis of competitive collective systems. The mathematical question of how multi-scale spatial organisation emerges from local interactions recurs across active matter physics, collective animal behaviour, and network science, where ring-like and higher-order structures appear at scale-dependent interaction radii (Marchetti et al., 2013; Ballerini et al., 2008; Giusti et al., 2016). These systems are usually summarised by geometric and kinematic descriptors that capture motion but not the loop and enclosure structure that coordination produces; persistent homology measures that structure rigorously and is now mature in biology and materials science (Topaz et al., 2015; Bhaskar et al., 2019; Hiraoka et al., 2016). Applied to multi-agent systems, however, persistent homology has operated at single scales, in cooperative or static settings, or on small samples, and none combines domain-validated scale decomposition and adaptive filtration on competitive, hierarchical, high-frequency tracking validated at population scale.</w:t>
      </w:r>
    </w:p>
    <w:p w14:paraId="1ADB41D8" w14:textId="777777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>Standard single-parameter persistent homology applied to a competitive multi-agent point cloud conflates topological features from all organisational levels into a single persistence diagram, making scale-specific attribution impractical. The TDA community has begun addressing hierarchical decomposition: Schindler and Barahona (2023) develop multiscale clustering tools for persistent homology, but in cooperative, quasi-static settings; multiparameter persistence theory (</w:t>
      </w:r>
      <w:proofErr w:type="spellStart"/>
      <w:r w:rsidRPr="00D00F57">
        <w:rPr>
          <w:rFonts w:ascii="Calibri" w:hAnsi="Calibri" w:cs="Calibri"/>
          <w:sz w:val="22"/>
          <w:szCs w:val="22"/>
        </w:rPr>
        <w:t>Botnan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and Lesnick, 2022) provides algebraic machinery for simultaneous multi-scale analysis but faces computational barriers at the point-cloud scales relevant here. Our framework takes a complementary, domain-informed route: hierarchical clustering at validated cutoff distances decomposes the competitive point cloud by organisational level before single-parameter persistent homology is computed at each level. A second step — adaptive filtration — ensures the Vietoris–Rips threshold is appropriate for the post-clustering geometry at each scale. The mathematical contribution lies in (</w:t>
      </w:r>
      <w:proofErr w:type="spellStart"/>
      <w:r w:rsidRPr="00D00F57">
        <w:rPr>
          <w:rFonts w:ascii="Calibri" w:hAnsi="Calibri" w:cs="Calibri"/>
          <w:sz w:val="22"/>
          <w:szCs w:val="22"/>
        </w:rPr>
        <w:t>i</w:t>
      </w:r>
      <w:proofErr w:type="spellEnd"/>
      <w:r w:rsidRPr="00D00F57">
        <w:rPr>
          <w:rFonts w:ascii="Calibri" w:hAnsi="Calibri" w:cs="Calibri"/>
          <w:sz w:val="22"/>
          <w:szCs w:val="22"/>
        </w:rPr>
        <w:t>) systematic, empirically validated scale identification, replacing heuristic filtration choices; (ii) adaptive filtration ensuring consistent H₁ loop detection across all scales; and (iii) persistence landscape theory for competitive sequential diagrams, enabling rigorous detection of topological regime transitions.</w:t>
      </w:r>
    </w:p>
    <w:p w14:paraId="2349DCC6" w14:textId="777777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 xml:space="preserve">The framework is not </w:t>
      </w:r>
      <w:proofErr w:type="gramStart"/>
      <w:r w:rsidRPr="00D00F57">
        <w:rPr>
          <w:rFonts w:ascii="Calibri" w:hAnsi="Calibri" w:cs="Calibri"/>
          <w:sz w:val="22"/>
          <w:szCs w:val="22"/>
        </w:rPr>
        <w:t>domain-specific</w:t>
      </w:r>
      <w:proofErr w:type="gramEnd"/>
      <w:r w:rsidRPr="00D00F57">
        <w:rPr>
          <w:rFonts w:ascii="Calibri" w:hAnsi="Calibri" w:cs="Calibri"/>
          <w:sz w:val="22"/>
          <w:szCs w:val="22"/>
        </w:rPr>
        <w:t>. Any bounded competitive multi-agent system with a domain-interpretable hierarchy of interaction scales admits the same clustering–adaptive filtration–homology construction once cutoffs are validated. Professional football is an ideal testbed: high-frequency tracking data (10–25 Hz), a well-structured competitive system, a domain-interpretable hierarchy (individual players ↔ tactical units ↔ team), and detailed event annotations. Football provides the data density to calibrate and validate the pipeline rigorously; the framework, by design, transfers to other domains.</w:t>
      </w:r>
    </w:p>
    <w:p w14:paraId="2D933F2D" w14:textId="6C1D49EA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Validated Foundation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>Validation across 10 professional football matches (</w:t>
      </w:r>
      <w:proofErr w:type="spellStart"/>
      <w:r w:rsidRPr="00D00F57">
        <w:rPr>
          <w:rFonts w:ascii="Calibri" w:hAnsi="Calibri" w:cs="Calibri"/>
          <w:sz w:val="22"/>
          <w:szCs w:val="22"/>
        </w:rPr>
        <w:t>SkillCorner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open broadcast tracking; 10 Hz; 1,500 uniformly sampled frames; 104,722 event–topology pairs) establishes three H₀ analysis regimes — individual (2.98 m), tactical (12.0 m), team (30.0 m) — with cross-epoch stability scores of 0.96, 0.84, and 1.00 respectively. Two complementary H₁ regimes are confirmed: individual-scale loops are near-universal (97.0% ± 1.5% frame presence across 10 matches) and transient; tactical-scale loops are rarer (19.3% ± 7.2%) but geometrically persistent. In the primary validation match (uniform 150-frame sample), individual-scale presence is 95.3% (143/150 frames) and tactical-scale presence is 12.7% (19/150 frames), both within one standard deviation of the multi-match mean. Scale complementarity is quantified: Spearman ρ = 0.264 (95% bootstrap CI [0.200, 0.314]), confirming that neither scale subsumes the other. Real event correlation across all 10 matches confirms that topological features respond coherently to match dynamics — disruption events decrease persistence, organisational events increase it (p &lt; 0.001 for both) — providing construct validity for the framework. The preliminary work is fully reproducible: all tracking data are from the </w:t>
      </w:r>
      <w:proofErr w:type="spellStart"/>
      <w:r w:rsidRPr="00D00F57">
        <w:rPr>
          <w:rFonts w:ascii="Calibri" w:hAnsi="Calibri" w:cs="Calibri"/>
          <w:sz w:val="22"/>
          <w:szCs w:val="22"/>
        </w:rPr>
        <w:t>SkillCorner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public repository; the Python implementation is released </w:t>
      </w:r>
      <w:proofErr w:type="gramStart"/>
      <w:r w:rsidRPr="00D00F57">
        <w:rPr>
          <w:rFonts w:ascii="Calibri" w:hAnsi="Calibri" w:cs="Calibri"/>
          <w:sz w:val="22"/>
          <w:szCs w:val="22"/>
        </w:rPr>
        <w:t>open-source</w:t>
      </w:r>
      <w:proofErr w:type="gramEnd"/>
      <w:r w:rsidRPr="00D00F57">
        <w:rPr>
          <w:rFonts w:ascii="Calibri" w:hAnsi="Calibri" w:cs="Calibri"/>
          <w:sz w:val="22"/>
          <w:szCs w:val="22"/>
        </w:rPr>
        <w:t xml:space="preserve"> alongside journal submission.</w:t>
      </w:r>
    </w:p>
    <w:p w14:paraId="04EB75CC" w14:textId="777777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</w:p>
    <w:p w14:paraId="61ACED6F" w14:textId="794BAA3E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lastRenderedPageBreak/>
        <w:t xml:space="preserve">This work is available as an </w:t>
      </w:r>
      <w:proofErr w:type="spellStart"/>
      <w:r w:rsidRPr="00D00F57">
        <w:rPr>
          <w:rFonts w:ascii="Calibri" w:hAnsi="Calibri" w:cs="Calibri"/>
          <w:sz w:val="22"/>
          <w:szCs w:val="22"/>
        </w:rPr>
        <w:t>ArXiv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preprint (Brown et al., 2026) with journal submission to the Journal of Applied and Computational Topology (JACT) in Month 1 of this project.</w:t>
      </w:r>
    </w:p>
    <w:p w14:paraId="1D0304D1" w14:textId="509C009B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What This Proposal Adds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>The preprint establishes that scale-specific barcodes exist and are reproducible across 10 independent matches. This proposal asks what they tell us at scale, extending from a proof of concept to three mathematically distinct directions: (</w:t>
      </w:r>
      <w:proofErr w:type="spellStart"/>
      <w:r w:rsidRPr="00D00F57">
        <w:rPr>
          <w:rFonts w:ascii="Calibri" w:hAnsi="Calibri" w:cs="Calibri"/>
          <w:sz w:val="22"/>
          <w:szCs w:val="22"/>
        </w:rPr>
        <w:t>i</w:t>
      </w:r>
      <w:proofErr w:type="spellEnd"/>
      <w:r w:rsidRPr="00D00F57">
        <w:rPr>
          <w:rFonts w:ascii="Calibri" w:hAnsi="Calibri" w:cs="Calibri"/>
          <w:sz w:val="22"/>
          <w:szCs w:val="22"/>
        </w:rPr>
        <w:t>) distributional questions — population-level laws of variation for H₀/H₁ barcodes and landscape norms over a full Championship season (~540 matches); (ii) comparison geometry in persistence space — distances between persistence landscapes to treat tactical systems as distinguishable subsets of landscape space, enabling topological fingerprinting; (iii) functional dynamics — time-indexed landscapes characterising stability regimes and transitions within matches. None of (</w:t>
      </w:r>
      <w:proofErr w:type="spellStart"/>
      <w:r w:rsidRPr="00D00F57">
        <w:rPr>
          <w:rFonts w:ascii="Calibri" w:hAnsi="Calibri" w:cs="Calibri"/>
          <w:sz w:val="22"/>
          <w:szCs w:val="22"/>
        </w:rPr>
        <w:t>i</w:t>
      </w:r>
      <w:proofErr w:type="spellEnd"/>
      <w:r w:rsidRPr="00D00F57">
        <w:rPr>
          <w:rFonts w:ascii="Calibri" w:hAnsi="Calibri" w:cs="Calibri"/>
          <w:sz w:val="22"/>
          <w:szCs w:val="22"/>
        </w:rPr>
        <w:t>)–(iii) is demonstrated at championship scale in the preprint.</w:t>
      </w:r>
    </w:p>
    <w:p w14:paraId="5536593B" w14:textId="262DC93E" w:rsidR="00D00F57" w:rsidRPr="00D00F57" w:rsidRDefault="00D00F57" w:rsidP="00D00F57">
      <w:pPr>
        <w:spacing w:after="160"/>
        <w:jc w:val="both"/>
        <w:rPr>
          <w:rFonts w:ascii="Calibri" w:hAnsi="Calibri" w:cs="Calibri"/>
          <w:b/>
          <w:bCs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Excellence and Importance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>Topological Data Analysis has proven effective for characterising the shape of complex data, but existing applications examine systems at single scales, in non-competitive scenarios, or with static data. A standard Vietoris–Rips filtration on a multi-agent point cloud conflates topological features from different organisational levels. This project advances computational topology through two methodological contributions: domain-informed hierarchical clustering to decompose point clouds by organisational level, and adaptive filtration ensuring consistent H₁ detection across all scales — a practical necessity, since a fixed Vietoris–Rips threshold appropriate at one level produces null results at another.</w:t>
      </w:r>
    </w:p>
    <w:p w14:paraId="374AEC73" w14:textId="43B8DE1D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Timeliness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 xml:space="preserve">This research addresses foundational open questions in computational topology for hierarchical, time-evolving systems. Three new theoretical and methodological contributions are developed: (1) persistence landscape methods for temporal dynamics, characterising stability regimes and regime shifts within and across matches; (2) comparison geometry in persistence space, enabling topological fingerprinting — discriminating between tactical systems via landscape distances; (3) empirical distributional theory on topological invariants at championship scale, supporting hypothesis tests against match-level covariates. The </w:t>
      </w:r>
      <w:proofErr w:type="spellStart"/>
      <w:r w:rsidRPr="00D00F57">
        <w:rPr>
          <w:rFonts w:ascii="Calibri" w:hAnsi="Calibri" w:cs="Calibri"/>
          <w:sz w:val="22"/>
          <w:szCs w:val="22"/>
        </w:rPr>
        <w:t>Botnan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and Lesnick (2022) survey signals theoretical maturity in multiparameter persistence; practical validated workflows for domain-informed decomposition remain underdeveloped. A full Championship season now provides, for the first time, a dataset large enough to establish population-level topological statistics — a scale more typical of physics or materials science than applied topology. Computational advances in TDA libraries (</w:t>
      </w:r>
      <w:proofErr w:type="spellStart"/>
      <w:r w:rsidRPr="00D00F57">
        <w:rPr>
          <w:rFonts w:ascii="Calibri" w:hAnsi="Calibri" w:cs="Calibri"/>
          <w:sz w:val="22"/>
          <w:szCs w:val="22"/>
        </w:rPr>
        <w:t>Ripser</w:t>
      </w:r>
      <w:proofErr w:type="spellEnd"/>
      <w:r w:rsidRPr="00D00F57">
        <w:rPr>
          <w:rFonts w:ascii="Calibri" w:hAnsi="Calibri" w:cs="Calibri"/>
          <w:sz w:val="22"/>
          <w:szCs w:val="22"/>
        </w:rPr>
        <w:t>, GUDHI) now make full-season multi-scale analysis feasible.</w:t>
      </w:r>
    </w:p>
    <w:p w14:paraId="0727DDA5" w14:textId="6EDCD221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Beneficiaries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>Direct beneficiaries are the computational topology community (validated multi-scale workflows, open-source Python library) and sports analytics practitioners (interpretable formation metrics grounded in rigorous mathematics). Indirect beneficiaries include operators of any bounded competitive multi-agent system with tracking data: the domain-validated scale-identification approach transfers wherever empirically identifiable characteristic length scales exist, including autonomous vehicle platoon coordination, competitive crowd management at transport hubs, and ecological predator–prey monitoring.</w:t>
      </w:r>
    </w:p>
    <w:p w14:paraId="0A28979A" w14:textId="56B7262C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 xml:space="preserve"> APPROACH</w:t>
      </w:r>
    </w:p>
    <w:p w14:paraId="5FC4792A" w14:textId="5A61840A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Project Structure and Team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>This 12-month project involves: (</w:t>
      </w:r>
      <w:proofErr w:type="spellStart"/>
      <w:r w:rsidRPr="00D00F57">
        <w:rPr>
          <w:rFonts w:ascii="Calibri" w:hAnsi="Calibri" w:cs="Calibri"/>
          <w:sz w:val="22"/>
          <w:szCs w:val="22"/>
        </w:rPr>
        <w:t>i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) the Principal Investigator (PI, 0.2 FTE), responsible for framework development, analysis oversight, and publication; (ii) two Co-Investigators (combined 0.25 FTE) contributing statistical expertise and domain knowledge; (iii) a Research Associate (1.0 FTE, 9 months, Months 2–10), responsible for data pipeline implementation, full-season analysis, and landscape methods development; (iv) partnership with Swansea City AFC and </w:t>
      </w:r>
      <w:proofErr w:type="spellStart"/>
      <w:r w:rsidRPr="00D00F57">
        <w:rPr>
          <w:rFonts w:ascii="Calibri" w:hAnsi="Calibri" w:cs="Calibri"/>
          <w:sz w:val="22"/>
          <w:szCs w:val="22"/>
        </w:rPr>
        <w:t>StatsBomb</w:t>
      </w:r>
      <w:proofErr w:type="spellEnd"/>
      <w:r w:rsidRPr="00D00F57">
        <w:rPr>
          <w:rFonts w:ascii="Calibri" w:hAnsi="Calibri" w:cs="Calibri"/>
          <w:sz w:val="22"/>
          <w:szCs w:val="22"/>
        </w:rPr>
        <w:t>, providing secured access to Championship tracking data and formation labels. The project is structured around four integrated Objectives (three research objectives plus one strategic output).</w:t>
      </w:r>
    </w:p>
    <w:p w14:paraId="0F692CC2" w14:textId="777777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</w:p>
    <w:p w14:paraId="23734894" w14:textId="3AC003B0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lastRenderedPageBreak/>
        <w:t>Delivering the Objectives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 xml:space="preserve">Objective 1 — Full-Season Analysis (Months 1–7). Scale the validated pipeline to the full Championship season (~540 matches), establishing population-level H₀ and H₁ distributions and </w:t>
      </w:r>
      <w:proofErr w:type="gramStart"/>
      <w:r w:rsidRPr="00D00F57">
        <w:rPr>
          <w:rFonts w:ascii="Calibri" w:hAnsi="Calibri" w:cs="Calibri"/>
          <w:sz w:val="22"/>
          <w:szCs w:val="22"/>
        </w:rPr>
        <w:t>cross-match</w:t>
      </w:r>
      <w:proofErr w:type="gramEnd"/>
      <w:r w:rsidRPr="00D00F57">
        <w:rPr>
          <w:rFonts w:ascii="Calibri" w:hAnsi="Calibri" w:cs="Calibri"/>
          <w:sz w:val="22"/>
          <w:szCs w:val="22"/>
        </w:rPr>
        <w:t xml:space="preserve"> variance. PI establishes the concurrent processing pipeline on Supercomputing Wales (Months 1–2); RA executes full-season analysis (Months 3–7). Success criteria: &gt;500 matches processed; population-level H₀ and H₁ distributions established; exploratory joint analysis with match-level tactical descriptors positioning barcode statistics relative to established metrics.</w:t>
      </w:r>
    </w:p>
    <w:p w14:paraId="52488DDA" w14:textId="4D9EF013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 xml:space="preserve">Objective 2 — Topological Fingerprinting (Months 4–8). Develop Fréchet mean barcodes and inter-diagram distances in persistence space distinguishing formation classes. A pre-registered analysis plan (OSF, Month 2) fixes formation labelling, metric choices, and statistical thresholds before the </w:t>
      </w:r>
      <w:proofErr w:type="gramStart"/>
      <w:r w:rsidRPr="00D00F57">
        <w:rPr>
          <w:rFonts w:ascii="Calibri" w:hAnsi="Calibri" w:cs="Calibri"/>
          <w:sz w:val="22"/>
          <w:szCs w:val="22"/>
        </w:rPr>
        <w:t>full-season</w:t>
      </w:r>
      <w:proofErr w:type="gramEnd"/>
      <w:r w:rsidRPr="00D00F57">
        <w:rPr>
          <w:rFonts w:ascii="Calibri" w:hAnsi="Calibri" w:cs="Calibri"/>
          <w:sz w:val="22"/>
          <w:szCs w:val="22"/>
        </w:rPr>
        <w:t xml:space="preserve"> run. Persistence diagrams are compared using a persistence-image kernel for vectorised classification and a landscape L² distance for continuous contrasts. Success criteria: topological signatures for ≥3 tactical configurations; inter-system differences with Benjamini–Hochberg FDR correction (p &lt; 0.05); non-redundancy confirmed by ANCOVA after adjusting for standard geometric descriptors (team length, width, convex-hull area).</w:t>
      </w:r>
    </w:p>
    <w:p w14:paraId="1C5C3A50" w14:textId="1B213D45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 xml:space="preserve">Objective 3 — Persistence Landscape Dynamics (Months 6–10). Implement persistence landscape representations (Bubenik, 2015) for temporal evolution at both analysis scales. Within-match paths t </w:t>
      </w:r>
      <w:r w:rsidRPr="00D00F57">
        <w:rPr>
          <w:rFonts w:ascii="Cambria Math" w:hAnsi="Cambria Math" w:cs="Cambria Math"/>
          <w:sz w:val="22"/>
          <w:szCs w:val="22"/>
        </w:rPr>
        <w:t>↦</w:t>
      </w:r>
      <w:r w:rsidRPr="00D00F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00F57">
        <w:rPr>
          <w:rFonts w:ascii="Calibri" w:hAnsi="Calibri" w:cs="Calibri"/>
          <w:sz w:val="22"/>
          <w:szCs w:val="22"/>
        </w:rPr>
        <w:t>λ_δ</w:t>
      </w:r>
      <w:proofErr w:type="spellEnd"/>
      <w:r w:rsidRPr="00D00F57">
        <w:rPr>
          <w:rFonts w:ascii="Calibri" w:hAnsi="Calibri" w:cs="Calibri"/>
          <w:sz w:val="22"/>
          <w:szCs w:val="22"/>
        </w:rPr>
        <w:t>(t) are summarised by functional principal component analysis (Ramsay &amp; Silverman, 2005); regime transitions are detected by CUSUM change-point procedures (Page, 1954) on landscape L²-norm increments, with bootstrap calibration of landscape variability (Chazal et al., 2014). Success criteria: reproducible stability-regime segmentation (≥70% frame-level agreement across random sub-samples); change-point alignment with tactical annotation above chance (permutation p &lt; 0.05).</w:t>
      </w:r>
    </w:p>
    <w:p w14:paraId="714E4C9E" w14:textId="402D8651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 xml:space="preserve">Objective 4 — Standard Grant Preparation (Months 9–12). Synthesise full-season results, landscape theory, and fingerprinting evidence into a Standard Grant application extending the validated framework to broader competitive systems where domain-validated scales can be re-derived. Standard Grant preparation begins in Month 9, incorporating </w:t>
      </w:r>
      <w:proofErr w:type="gramStart"/>
      <w:r w:rsidRPr="00D00F57">
        <w:rPr>
          <w:rFonts w:ascii="Calibri" w:hAnsi="Calibri" w:cs="Calibri"/>
          <w:sz w:val="22"/>
          <w:szCs w:val="22"/>
        </w:rPr>
        <w:t>full-season</w:t>
      </w:r>
      <w:proofErr w:type="gramEnd"/>
      <w:r w:rsidRPr="00D00F57">
        <w:rPr>
          <w:rFonts w:ascii="Calibri" w:hAnsi="Calibri" w:cs="Calibri"/>
          <w:sz w:val="22"/>
          <w:szCs w:val="22"/>
        </w:rPr>
        <w:t xml:space="preserve"> results for submission within 12 months of project completion.</w:t>
      </w:r>
    </w:p>
    <w:p w14:paraId="6AF86098" w14:textId="63EE18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Methodology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 xml:space="preserve">The established pipeline (Brown et al., 2026) operates through six stages: (1) point cloud construction from 22-player positions; (2) hierarchical clustering at validated cutoffs (individual 2.98 m, tactical 12.0 m, team 30.0 m); (3) adaptive filtration using </w:t>
      </w:r>
      <w:proofErr w:type="spellStart"/>
      <w:r w:rsidRPr="00D00F57">
        <w:rPr>
          <w:rFonts w:ascii="Calibri" w:hAnsi="Calibri" w:cs="Calibri"/>
          <w:sz w:val="22"/>
          <w:szCs w:val="22"/>
        </w:rPr>
        <w:t>ε_max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= max(P₇₅(</w:t>
      </w:r>
      <w:proofErr w:type="spellStart"/>
      <w:r w:rsidRPr="00D00F57">
        <w:rPr>
          <w:rFonts w:ascii="Calibri" w:hAnsi="Calibri" w:cs="Calibri"/>
          <w:sz w:val="22"/>
          <w:szCs w:val="22"/>
        </w:rPr>
        <w:t>d_ij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), max(5.0, 2δ)); (4) persistent homology via </w:t>
      </w:r>
      <w:proofErr w:type="spellStart"/>
      <w:r w:rsidRPr="00D00F57">
        <w:rPr>
          <w:rFonts w:ascii="Calibri" w:hAnsi="Calibri" w:cs="Calibri"/>
          <w:sz w:val="22"/>
          <w:szCs w:val="22"/>
        </w:rPr>
        <w:t>Ripser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(H₀ and H₁); (5) closed cycle identification through geometric realisation of H₁ generators; (6) statistical analysis (Wilcoxon rank-sum, permutation tests, Spearman correlation, FDR correction). New methods developed in this grant: persistence landscape computation from diagrams at each scale; landscape distance metrics for temporal window comparison; hierarchical clustering in persistence space for tactical system classification; concurrent processing pipeline for full-season execution.</w:t>
      </w:r>
    </w:p>
    <w:p w14:paraId="4502BED2" w14:textId="5D6E1A26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Feasibility and Risk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 xml:space="preserve">At &lt;2 s per frame, the full H₁ sweep over ~540 matches </w:t>
      </w:r>
      <w:proofErr w:type="gramStart"/>
      <w:r w:rsidRPr="00D00F57">
        <w:rPr>
          <w:rFonts w:ascii="Calibri" w:hAnsi="Calibri" w:cs="Calibri"/>
          <w:sz w:val="22"/>
          <w:szCs w:val="22"/>
        </w:rPr>
        <w:t>requires</w:t>
      </w:r>
      <w:proofErr w:type="gramEnd"/>
      <w:r w:rsidRPr="00D00F57">
        <w:rPr>
          <w:rFonts w:ascii="Calibri" w:hAnsi="Calibri" w:cs="Calibri"/>
          <w:sz w:val="22"/>
          <w:szCs w:val="22"/>
        </w:rPr>
        <w:t xml:space="preserve"> approximately 1,100 CPU-days; the Supercomputing Wales allocation at this scale is within the PI's current standing access and is embarrassingly parallel by match. The full pipeline is implemented, tested, and documented in Python; all computational groundwork is complete. Primary risks and mitigations: (</w:t>
      </w:r>
      <w:proofErr w:type="spellStart"/>
      <w:r w:rsidRPr="00D00F57">
        <w:rPr>
          <w:rFonts w:ascii="Calibri" w:hAnsi="Calibri" w:cs="Calibri"/>
          <w:sz w:val="22"/>
          <w:szCs w:val="22"/>
        </w:rPr>
        <w:t>i</w:t>
      </w:r>
      <w:proofErr w:type="spellEnd"/>
      <w:r w:rsidRPr="00D00F57">
        <w:rPr>
          <w:rFonts w:ascii="Calibri" w:hAnsi="Calibri" w:cs="Calibri"/>
          <w:sz w:val="22"/>
          <w:szCs w:val="22"/>
        </w:rPr>
        <w:t>) Formation-label noise — mitigated by parallel unsupervised clustering and inter-rater reliability (Cohen's κ) computed before any downstream tests; (ii) Scale-drift across leagues — mitigated by a Month 2 validation gate re-running the Brown et al. (2026) cutoff-sweep analysis on the first 20 Championship matches before the full-season run; (iii) RA recruitment — mitigated by early advertising (Month −2), competitive salary, and cross-disciplinary project scope. A pre-registered power analysis is deposited on OSF at Month 2.</w:t>
      </w:r>
    </w:p>
    <w:p w14:paraId="155F60F9" w14:textId="777777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</w:p>
    <w:p w14:paraId="2A63CE2F" w14:textId="29B916C6" w:rsidR="00D00F57" w:rsidRPr="00D00F57" w:rsidRDefault="00D00F57" w:rsidP="00D00F57">
      <w:pPr>
        <w:spacing w:after="160"/>
        <w:jc w:val="both"/>
        <w:rPr>
          <w:rFonts w:ascii="Calibri" w:hAnsi="Calibri" w:cs="Calibri"/>
          <w:b/>
          <w:bCs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lastRenderedPageBreak/>
        <w:t>Maximising Translation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00F57">
        <w:rPr>
          <w:rFonts w:ascii="Calibri" w:hAnsi="Calibri" w:cs="Calibri"/>
          <w:sz w:val="22"/>
          <w:szCs w:val="22"/>
        </w:rPr>
        <w:t xml:space="preserve">Paper 1 (Brown et al., 2026) is on </w:t>
      </w:r>
      <w:proofErr w:type="spellStart"/>
      <w:r w:rsidRPr="00D00F57">
        <w:rPr>
          <w:rFonts w:ascii="Calibri" w:hAnsi="Calibri" w:cs="Calibri"/>
          <w:sz w:val="22"/>
          <w:szCs w:val="22"/>
        </w:rPr>
        <w:t>ArXiv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, with journal submission to JACT in Month 1. Paper 2 (football analytics) targets Journal of Sports Sciences. Paper 3 (full-season results and persistence landscapes) targets submission in Month 11, with JACT as the primary target. Open-source code release (containerised with </w:t>
      </w:r>
      <w:proofErr w:type="spellStart"/>
      <w:r w:rsidRPr="00D00F57">
        <w:rPr>
          <w:rFonts w:ascii="Calibri" w:hAnsi="Calibri" w:cs="Calibri"/>
          <w:sz w:val="22"/>
          <w:szCs w:val="22"/>
        </w:rPr>
        <w:t>Apptainer</w:t>
      </w:r>
      <w:proofErr w:type="spellEnd"/>
      <w:r w:rsidRPr="00D00F57">
        <w:rPr>
          <w:rFonts w:ascii="Calibri" w:hAnsi="Calibri" w:cs="Calibri"/>
          <w:sz w:val="22"/>
          <w:szCs w:val="22"/>
        </w:rPr>
        <w:t>/Docker, pinned dependency versions) at Month 12. Industry impact through quarterly meetings with championship club partners. Standard Grant preparation (Months 9–12) incorporates full-season results.</w:t>
      </w:r>
    </w:p>
    <w:p w14:paraId="67F4B5ED" w14:textId="31872C3E" w:rsidR="00D00F57" w:rsidRPr="00D00F57" w:rsidRDefault="00D00F57" w:rsidP="00D00F57">
      <w:pPr>
        <w:spacing w:after="160"/>
        <w:jc w:val="both"/>
        <w:rPr>
          <w:rFonts w:ascii="Calibri" w:hAnsi="Calibri" w:cs="Calibri"/>
          <w:b/>
          <w:bCs/>
          <w:sz w:val="22"/>
          <w:szCs w:val="22"/>
        </w:rPr>
      </w:pPr>
      <w:r w:rsidRPr="00D00F57">
        <w:rPr>
          <w:rFonts w:ascii="Calibri" w:hAnsi="Calibri" w:cs="Calibri"/>
          <w:b/>
          <w:bCs/>
          <w:sz w:val="22"/>
          <w:szCs w:val="22"/>
        </w:rPr>
        <w:t>Research Environment</w:t>
      </w:r>
      <w:r>
        <w:rPr>
          <w:rFonts w:ascii="Calibri" w:hAnsi="Calibri" w:cs="Calibri"/>
          <w:b/>
          <w:bCs/>
          <w:sz w:val="22"/>
          <w:szCs w:val="22"/>
        </w:rPr>
        <w:t>. S</w:t>
      </w:r>
      <w:r w:rsidRPr="00D00F57">
        <w:rPr>
          <w:rFonts w:ascii="Calibri" w:hAnsi="Calibri" w:cs="Calibri"/>
          <w:sz w:val="22"/>
          <w:szCs w:val="22"/>
        </w:rPr>
        <w:t>wansea University provides Supercomputing Wales (2 Petaflops), secure GDPR-compliant data storage (100 TB), fast-tracked ethics approval (4-week turnaround), and a dedicated Impact Officer. Championship broadcast data is secured through the Swansea City AFC–</w:t>
      </w:r>
      <w:proofErr w:type="spellStart"/>
      <w:r w:rsidRPr="00D00F57">
        <w:rPr>
          <w:rFonts w:ascii="Calibri" w:hAnsi="Calibri" w:cs="Calibri"/>
          <w:sz w:val="22"/>
          <w:szCs w:val="22"/>
        </w:rPr>
        <w:t>StatsBomb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agreement. The project is delivered by a Research Associate (1.0 FTE, Months 2–10) supervised by PI Dr Rowan Brown, with Co-Investigators Professor Liam Kilduff (Sport and Exercise Sciences) and Professor </w:t>
      </w:r>
      <w:proofErr w:type="spellStart"/>
      <w:r w:rsidRPr="00D00F57">
        <w:rPr>
          <w:rFonts w:ascii="Calibri" w:hAnsi="Calibri" w:cs="Calibri"/>
          <w:sz w:val="22"/>
          <w:szCs w:val="22"/>
        </w:rPr>
        <w:t>Gibin</w:t>
      </w:r>
      <w:proofErr w:type="spellEnd"/>
      <w:r w:rsidRPr="00D00F57">
        <w:rPr>
          <w:rFonts w:ascii="Calibri" w:hAnsi="Calibri" w:cs="Calibri"/>
          <w:sz w:val="22"/>
          <w:szCs w:val="22"/>
        </w:rPr>
        <w:t xml:space="preserve"> Powathil (Mathematics) providing domain expertise and mathematical rigour.</w:t>
      </w:r>
    </w:p>
    <w:p w14:paraId="31F44587" w14:textId="77777777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</w:p>
    <w:p w14:paraId="660F0D00" w14:textId="71D7F8B6" w:rsidR="00D00F57" w:rsidRPr="00D00F57" w:rsidRDefault="00D00F57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D00F57">
        <w:rPr>
          <w:rFonts w:ascii="Calibri" w:hAnsi="Calibri" w:cs="Calibri"/>
          <w:sz w:val="22"/>
          <w:szCs w:val="22"/>
        </w:rPr>
        <w:t>Project Timeline</w:t>
      </w:r>
    </w:p>
    <w:p w14:paraId="64127C76" w14:textId="3558698B" w:rsidR="0014191B" w:rsidRPr="000E0D21" w:rsidRDefault="00B32CF8" w:rsidP="00D00F57">
      <w:pPr>
        <w:spacing w:after="160"/>
        <w:jc w:val="both"/>
        <w:rPr>
          <w:rFonts w:ascii="Calibri" w:hAnsi="Calibri" w:cs="Calibri"/>
          <w:sz w:val="22"/>
          <w:szCs w:val="22"/>
        </w:rPr>
      </w:pPr>
      <w:r w:rsidRPr="006A5E6D">
        <w:rPr>
          <w:rFonts w:ascii="Calibri" w:hAnsi="Calibri" w:cs="Calibri"/>
          <w:sz w:val="22"/>
          <w:szCs w:val="22"/>
        </w:rPr>
        <w:drawing>
          <wp:inline distT="0" distB="0" distL="0" distR="0" wp14:anchorId="1BD5B9A3" wp14:editId="463B73D8">
            <wp:extent cx="5727700" cy="1651000"/>
            <wp:effectExtent l="0" t="0" r="0" b="0"/>
            <wp:docPr id="2658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2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91B" w:rsidRPr="000E0D21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CB22CF"/>
    <w:multiLevelType w:val="hybridMultilevel"/>
    <w:tmpl w:val="17CC4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6348C"/>
    <w:multiLevelType w:val="hybridMultilevel"/>
    <w:tmpl w:val="D5D6F69A"/>
    <w:lvl w:ilvl="0" w:tplc="79DA0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B366C"/>
    <w:multiLevelType w:val="hybridMultilevel"/>
    <w:tmpl w:val="B7EEB6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916991">
    <w:abstractNumId w:val="0"/>
  </w:num>
  <w:num w:numId="2" w16cid:durableId="1732651345">
    <w:abstractNumId w:val="1"/>
  </w:num>
  <w:num w:numId="3" w16cid:durableId="8319103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21"/>
    <w:rsid w:val="000E0D21"/>
    <w:rsid w:val="0014191B"/>
    <w:rsid w:val="003033BE"/>
    <w:rsid w:val="00395B8D"/>
    <w:rsid w:val="0039664B"/>
    <w:rsid w:val="005832C6"/>
    <w:rsid w:val="005D7D6A"/>
    <w:rsid w:val="00661797"/>
    <w:rsid w:val="00716867"/>
    <w:rsid w:val="00736938"/>
    <w:rsid w:val="007660C3"/>
    <w:rsid w:val="00872089"/>
    <w:rsid w:val="008C5AD8"/>
    <w:rsid w:val="008D789D"/>
    <w:rsid w:val="009417B8"/>
    <w:rsid w:val="009F2263"/>
    <w:rsid w:val="00A009ED"/>
    <w:rsid w:val="00B03625"/>
    <w:rsid w:val="00B32CF8"/>
    <w:rsid w:val="00B80347"/>
    <w:rsid w:val="00BC2AB8"/>
    <w:rsid w:val="00C436ED"/>
    <w:rsid w:val="00C63905"/>
    <w:rsid w:val="00C8460E"/>
    <w:rsid w:val="00D00F57"/>
    <w:rsid w:val="00DF42D8"/>
    <w:rsid w:val="00EA1C93"/>
    <w:rsid w:val="00ED7044"/>
    <w:rsid w:val="00F406E1"/>
    <w:rsid w:val="00F9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36EF8"/>
  <w15:chartTrackingRefBased/>
  <w15:docId w15:val="{77A475DA-6667-D742-B043-C5BC4275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2100</Words>
  <Characters>11973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3</cp:revision>
  <dcterms:created xsi:type="dcterms:W3CDTF">2026-07-07T08:03:00Z</dcterms:created>
  <dcterms:modified xsi:type="dcterms:W3CDTF">2026-07-07T12:51:00Z</dcterms:modified>
</cp:coreProperties>
</file>