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C65856" w14:textId="36238452"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VISION</w:t>
      </w:r>
    </w:p>
    <w:p w14:paraId="3C30FA93" w14:textId="25295E7E" w:rsidR="00C3295F" w:rsidRPr="00C3295F" w:rsidRDefault="00C3295F" w:rsidP="006A5E6D">
      <w:pPr>
        <w:spacing w:after="100"/>
        <w:jc w:val="both"/>
        <w:rPr>
          <w:rFonts w:ascii="Calibri" w:hAnsi="Calibri" w:cs="Calibri"/>
          <w:sz w:val="22"/>
          <w:szCs w:val="22"/>
        </w:rPr>
      </w:pPr>
      <w:r w:rsidRPr="006A5E6D">
        <w:rPr>
          <w:rFonts w:ascii="Calibri" w:hAnsi="Calibri" w:cs="Calibri"/>
          <w:b/>
          <w:bCs/>
          <w:sz w:val="22"/>
          <w:szCs w:val="22"/>
        </w:rPr>
        <w:t>Mathematical Importance and Quality</w:t>
      </w:r>
      <w:r w:rsidRPr="00C3295F">
        <w:rPr>
          <w:rFonts w:ascii="Calibri" w:hAnsi="Calibri" w:cs="Calibri"/>
          <w:sz w:val="22"/>
          <w:szCs w:val="22"/>
        </w:rPr>
        <w:t>. This research develops new mathematical frameworks for multi-scale topological analysis of competitive collective systems. Competitive spatial systems</w:t>
      </w:r>
      <w:r w:rsidR="006A5E6D">
        <w:rPr>
          <w:rFonts w:ascii="Calibri" w:hAnsi="Calibri" w:cs="Calibri"/>
          <w:sz w:val="22"/>
          <w:szCs w:val="22"/>
        </w:rPr>
        <w:t>,</w:t>
      </w:r>
      <w:r w:rsidRPr="00C3295F">
        <w:rPr>
          <w:rFonts w:ascii="Calibri" w:hAnsi="Calibri" w:cs="Calibri"/>
          <w:sz w:val="22"/>
          <w:szCs w:val="22"/>
        </w:rPr>
        <w:t xml:space="preserve"> agents that coordinate internally while opposing an adversary within a bounded domain</w:t>
      </w:r>
      <w:r w:rsidR="006A5E6D">
        <w:rPr>
          <w:rFonts w:ascii="Calibri" w:hAnsi="Calibri" w:cs="Calibri"/>
          <w:sz w:val="22"/>
          <w:szCs w:val="22"/>
        </w:rPr>
        <w:t>,</w:t>
      </w:r>
      <w:r w:rsidRPr="00C3295F">
        <w:rPr>
          <w:rFonts w:ascii="Calibri" w:hAnsi="Calibri" w:cs="Calibri"/>
          <w:sz w:val="22"/>
          <w:szCs w:val="22"/>
        </w:rPr>
        <w:t xml:space="preserve"> are a ubiquitous class in applied mathematics; professional football provides the primary validation testbed (below). What distinguishes them from cooperative swarms is adversarial geometry: each group's configuration is continuously deformed by the opposing group, producing topological structure simultaneously at individual, tactical, and team scales (loops in player-proximity clouds; formation gaps and pressing shapes; whole-system organisation).</w:t>
      </w:r>
    </w:p>
    <w:p w14:paraId="120C2748" w14:textId="65CC255E"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Persistent homology [1,2] captures such structure rigorously, but standard single-parameter Vietoris–Rips homology [3] applied to the full competitive point cloud conflates all organisational levels into one persistence diagram, making scale-specific attribution analytically intractable. Prior work addresses parts of this gap</w:t>
      </w:r>
      <w:r w:rsidR="006A5E6D">
        <w:rPr>
          <w:rFonts w:ascii="Calibri" w:hAnsi="Calibri" w:cs="Calibri"/>
          <w:sz w:val="22"/>
          <w:szCs w:val="22"/>
        </w:rPr>
        <w:t>,</w:t>
      </w:r>
      <w:r w:rsidRPr="00C3295F">
        <w:rPr>
          <w:rFonts w:ascii="Calibri" w:hAnsi="Calibri" w:cs="Calibri"/>
          <w:sz w:val="22"/>
          <w:szCs w:val="22"/>
        </w:rPr>
        <w:t xml:space="preserve"> cooperative biological aggregation [4], multiscale clustering in quasi-static settings [5], or single-scale temporal change</w:t>
      </w:r>
      <w:r w:rsidR="006A5E6D">
        <w:rPr>
          <w:rFonts w:ascii="Calibri" w:hAnsi="Calibri" w:cs="Calibri"/>
          <w:sz w:val="22"/>
          <w:szCs w:val="22"/>
        </w:rPr>
        <w:t>,</w:t>
      </w:r>
      <w:r w:rsidRPr="00C3295F">
        <w:rPr>
          <w:rFonts w:ascii="Calibri" w:hAnsi="Calibri" w:cs="Calibri"/>
          <w:sz w:val="22"/>
          <w:szCs w:val="22"/>
        </w:rPr>
        <w:t xml:space="preserve"> while multiparameter persistence [7,8] remains computationally impractical at the point-cloud scale and temporal density required here.</w:t>
      </w:r>
    </w:p>
    <w:p w14:paraId="2C54C33E" w14:textId="0A1719DA"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 xml:space="preserve">Our framework takes a complementary, domain-informed route: hierarchical clustering at empirically validated cutoffs decomposes the competitive cloud by organisational level before single-parameter homology at each level; adaptive filtration ensures consistent H₁ detection on the post-clustering geometry. This project advances computational topology through these two methodological pillars </w:t>
      </w:r>
      <w:r w:rsidR="006A5E6D">
        <w:rPr>
          <w:rFonts w:ascii="Calibri" w:hAnsi="Calibri" w:cs="Calibri"/>
          <w:sz w:val="22"/>
          <w:szCs w:val="22"/>
        </w:rPr>
        <w:t>(</w:t>
      </w:r>
      <w:proofErr w:type="spellStart"/>
      <w:r w:rsidR="006A5E6D">
        <w:rPr>
          <w:rFonts w:ascii="Calibri" w:hAnsi="Calibri" w:cs="Calibri"/>
          <w:sz w:val="22"/>
          <w:szCs w:val="22"/>
        </w:rPr>
        <w:t>i</w:t>
      </w:r>
      <w:proofErr w:type="spellEnd"/>
      <w:r w:rsidR="006A5E6D">
        <w:rPr>
          <w:rFonts w:ascii="Calibri" w:hAnsi="Calibri" w:cs="Calibri"/>
          <w:sz w:val="22"/>
          <w:szCs w:val="22"/>
        </w:rPr>
        <w:t>)</w:t>
      </w:r>
      <w:r w:rsidRPr="00C3295F">
        <w:rPr>
          <w:rFonts w:ascii="Calibri" w:hAnsi="Calibri" w:cs="Calibri"/>
          <w:sz w:val="22"/>
          <w:szCs w:val="22"/>
        </w:rPr>
        <w:t xml:space="preserve"> domain-informed decomposition and </w:t>
      </w:r>
      <w:r w:rsidR="006A5E6D">
        <w:rPr>
          <w:rFonts w:ascii="Calibri" w:hAnsi="Calibri" w:cs="Calibri"/>
          <w:sz w:val="22"/>
          <w:szCs w:val="22"/>
        </w:rPr>
        <w:t xml:space="preserve">(ii) </w:t>
      </w:r>
      <w:r w:rsidRPr="00C3295F">
        <w:rPr>
          <w:rFonts w:ascii="Calibri" w:hAnsi="Calibri" w:cs="Calibri"/>
          <w:sz w:val="22"/>
          <w:szCs w:val="22"/>
        </w:rPr>
        <w:t>adaptive filtration — extended here by persistence landscape dynamics for competitive sequential diagrams. Stability-validated cutoffs make the decomposition falsifiable and transferable across competitive systems. Three mathematical contributions extend prior work:</w:t>
      </w:r>
    </w:p>
    <w:p w14:paraId="4AD2DE71" w14:textId="34C48F4E" w:rsidR="00C3295F" w:rsidRPr="006A5E6D" w:rsidRDefault="00C3295F" w:rsidP="006A5E6D">
      <w:pPr>
        <w:pStyle w:val="ListParagraph"/>
        <w:numPr>
          <w:ilvl w:val="0"/>
          <w:numId w:val="4"/>
        </w:numPr>
        <w:spacing w:after="100"/>
        <w:ind w:left="426"/>
        <w:jc w:val="both"/>
        <w:rPr>
          <w:rFonts w:ascii="Calibri" w:hAnsi="Calibri" w:cs="Calibri"/>
          <w:sz w:val="22"/>
          <w:szCs w:val="22"/>
        </w:rPr>
      </w:pPr>
      <w:r w:rsidRPr="006A5E6D">
        <w:rPr>
          <w:rFonts w:ascii="Calibri" w:hAnsi="Calibri" w:cs="Calibri"/>
          <w:sz w:val="22"/>
          <w:szCs w:val="22"/>
        </w:rPr>
        <w:t>Domain-validated scale identification: a systematic cutoff sweep identifies three H₀ regimes (individual 2.98 m, tactical 12.0 m, team 30.0 m) with cross-epoch stability scores 0.88, 0.97, and 1.00 [12], replacing heuristic filtration choices with a reproducible, domain-grounded procedure.</w:t>
      </w:r>
    </w:p>
    <w:p w14:paraId="16AC6261" w14:textId="5C48B51D" w:rsidR="00C3295F" w:rsidRPr="006A5E6D" w:rsidRDefault="00C3295F" w:rsidP="006A5E6D">
      <w:pPr>
        <w:pStyle w:val="ListParagraph"/>
        <w:numPr>
          <w:ilvl w:val="0"/>
          <w:numId w:val="4"/>
        </w:numPr>
        <w:spacing w:after="100"/>
        <w:ind w:left="426"/>
        <w:jc w:val="both"/>
        <w:rPr>
          <w:rFonts w:ascii="Calibri" w:hAnsi="Calibri" w:cs="Calibri"/>
          <w:sz w:val="22"/>
          <w:szCs w:val="22"/>
        </w:rPr>
      </w:pPr>
      <w:r w:rsidRPr="006A5E6D">
        <w:rPr>
          <w:rFonts w:ascii="Calibri" w:hAnsi="Calibri" w:cs="Calibri"/>
          <w:sz w:val="22"/>
          <w:szCs w:val="22"/>
        </w:rPr>
        <w:t>Adaptive filtration for multi-scale H₁ detection: a data-driven maximum filtration adjusts to post-clustering geometry at each scale; ablation confirms H₁ outputs are insensitive to the percentile choice within the adaptive formula [9].</w:t>
      </w:r>
    </w:p>
    <w:p w14:paraId="3142DE26" w14:textId="067A2D6D" w:rsidR="00C3295F" w:rsidRPr="006A5E6D" w:rsidRDefault="00C3295F" w:rsidP="006A5E6D">
      <w:pPr>
        <w:pStyle w:val="ListParagraph"/>
        <w:numPr>
          <w:ilvl w:val="0"/>
          <w:numId w:val="4"/>
        </w:numPr>
        <w:spacing w:after="100"/>
        <w:ind w:left="426"/>
        <w:jc w:val="both"/>
        <w:rPr>
          <w:rFonts w:ascii="Calibri" w:hAnsi="Calibri" w:cs="Calibri"/>
          <w:sz w:val="22"/>
          <w:szCs w:val="22"/>
        </w:rPr>
      </w:pPr>
      <w:r w:rsidRPr="006A5E6D">
        <w:rPr>
          <w:rFonts w:ascii="Calibri" w:hAnsi="Calibri" w:cs="Calibri"/>
          <w:sz w:val="22"/>
          <w:szCs w:val="22"/>
        </w:rPr>
        <w:t xml:space="preserve">Persistence landscape dynamics for competitive sequential diagrams [10,11]: each match is treated as a path </w:t>
      </w:r>
      <m:oMath>
        <m:r>
          <w:rPr>
            <w:rFonts w:ascii="Cambria Math" w:hAnsi="Cambria Math" w:cs="Calibri"/>
            <w:sz w:val="22"/>
            <w:szCs w:val="22"/>
          </w:rPr>
          <m:t>t</m:t>
        </m:r>
        <m:r>
          <w:rPr>
            <w:rFonts w:ascii="Cambria Math" w:hAnsi="Cambria Math" w:cs="Cambria Math"/>
            <w:sz w:val="22"/>
            <w:szCs w:val="22"/>
          </w:rPr>
          <m:t>↦</m:t>
        </m:r>
        <m:sSub>
          <m:sSubPr>
            <m:ctrlPr>
              <w:rPr>
                <w:rFonts w:ascii="Cambria Math" w:hAnsi="Cambria Math" w:cs="Calibri"/>
                <w:i/>
                <w:sz w:val="22"/>
                <w:szCs w:val="22"/>
              </w:rPr>
            </m:ctrlPr>
          </m:sSubPr>
          <m:e>
            <m:r>
              <w:rPr>
                <w:rFonts w:ascii="Cambria Math" w:hAnsi="Cambria Math" w:cs="Calibri"/>
                <w:sz w:val="22"/>
                <w:szCs w:val="22"/>
              </w:rPr>
              <m:t>λ</m:t>
            </m:r>
          </m:e>
          <m:sub>
            <m:r>
              <w:rPr>
                <w:rFonts w:ascii="Cambria Math" w:hAnsi="Cambria Math" w:cs="Calibri"/>
                <w:sz w:val="22"/>
                <w:szCs w:val="22"/>
              </w:rPr>
              <m:t>δ</m:t>
            </m:r>
          </m:sub>
        </m:sSub>
        <m:r>
          <w:rPr>
            <w:rFonts w:ascii="Cambria Math" w:hAnsi="Cambria Math" w:cs="Calibri"/>
            <w:sz w:val="22"/>
            <w:szCs w:val="22"/>
          </w:rPr>
          <m:t>(</m:t>
        </m:r>
        <m:r>
          <w:rPr>
            <w:rFonts w:ascii="Cambria Math" w:hAnsi="Cambria Math" w:cs="Calibri"/>
            <w:sz w:val="22"/>
            <w:szCs w:val="22"/>
          </w:rPr>
          <m:t>t</m:t>
        </m:r>
        <m:r>
          <w:rPr>
            <w:rFonts w:ascii="Cambria Math" w:hAnsi="Cambria Math" w:cs="Calibri"/>
            <w:sz w:val="22"/>
            <w:szCs w:val="22"/>
          </w:rPr>
          <m:t>)</m:t>
        </m:r>
      </m:oMath>
      <w:r w:rsidRPr="006A5E6D">
        <w:rPr>
          <w:rFonts w:ascii="Calibri" w:hAnsi="Calibri" w:cs="Calibri"/>
          <w:sz w:val="22"/>
          <w:szCs w:val="22"/>
        </w:rPr>
        <w:t xml:space="preserve"> in landscape function space, enabling CUSUM change-point detection of topological phase transitions.</w:t>
      </w:r>
    </w:p>
    <w:p w14:paraId="5F51D3F5" w14:textId="44B590FF"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Together these constitute a practical advance in computational topology: validated multi-scale persistent homology on hierarchical, competitive, time-evolving point clouds.</w:t>
      </w:r>
    </w:p>
    <w:p w14:paraId="054C22DE" w14:textId="048856D0"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What This Proposal Adds. The preprint [12] establishes that scale-specific barcodes exist and are reproducible across 10 independent matches. This proposal asks what they tell us at population scale: (</w:t>
      </w:r>
      <w:proofErr w:type="spellStart"/>
      <w:r w:rsidRPr="00C3295F">
        <w:rPr>
          <w:rFonts w:ascii="Calibri" w:hAnsi="Calibri" w:cs="Calibri"/>
          <w:sz w:val="22"/>
          <w:szCs w:val="22"/>
        </w:rPr>
        <w:t>i</w:t>
      </w:r>
      <w:proofErr w:type="spellEnd"/>
      <w:r w:rsidRPr="00C3295F">
        <w:rPr>
          <w:rFonts w:ascii="Calibri" w:hAnsi="Calibri" w:cs="Calibri"/>
          <w:sz w:val="22"/>
          <w:szCs w:val="22"/>
        </w:rPr>
        <w:t>) distributional laws of H₀/H₁ barcodes and landscape norms over a full Championship season (~540 matches); (ii) comparison geometry in persistence space — landscape distances that treat tactical systems as distinguishable subsets, enabling topological fingerprinting; (iii) functional dynamics via time-indexed landscapes characterising stability regimes and transitions within matches. None of (</w:t>
      </w:r>
      <w:proofErr w:type="spellStart"/>
      <w:r w:rsidRPr="00C3295F">
        <w:rPr>
          <w:rFonts w:ascii="Calibri" w:hAnsi="Calibri" w:cs="Calibri"/>
          <w:sz w:val="22"/>
          <w:szCs w:val="22"/>
        </w:rPr>
        <w:t>i</w:t>
      </w:r>
      <w:proofErr w:type="spellEnd"/>
      <w:r w:rsidRPr="00C3295F">
        <w:rPr>
          <w:rFonts w:ascii="Calibri" w:hAnsi="Calibri" w:cs="Calibri"/>
          <w:sz w:val="22"/>
          <w:szCs w:val="22"/>
        </w:rPr>
        <w:t>)–(iii) is demonstrated at championship scale in the preprint.</w:t>
      </w:r>
    </w:p>
    <w:p w14:paraId="0A1C1FCD" w14:textId="383EDE48" w:rsidR="00C3295F" w:rsidRPr="00C3295F" w:rsidRDefault="00C3295F" w:rsidP="006A5E6D">
      <w:pPr>
        <w:spacing w:after="100"/>
        <w:jc w:val="both"/>
        <w:rPr>
          <w:rFonts w:ascii="Calibri" w:hAnsi="Calibri" w:cs="Calibri"/>
          <w:sz w:val="22"/>
          <w:szCs w:val="22"/>
        </w:rPr>
      </w:pPr>
      <w:r w:rsidRPr="006A5E6D">
        <w:rPr>
          <w:rFonts w:ascii="Calibri" w:hAnsi="Calibri" w:cs="Calibri"/>
          <w:b/>
          <w:bCs/>
          <w:sz w:val="22"/>
          <w:szCs w:val="22"/>
        </w:rPr>
        <w:t>Preliminary Validation</w:t>
      </w:r>
      <w:r w:rsidRPr="00C3295F">
        <w:rPr>
          <w:rFonts w:ascii="Calibri" w:hAnsi="Calibri" w:cs="Calibri"/>
          <w:sz w:val="22"/>
          <w:szCs w:val="22"/>
        </w:rPr>
        <w:t>. The framework is validated across 10 professional football matches (</w:t>
      </w:r>
      <w:proofErr w:type="spellStart"/>
      <w:r w:rsidRPr="00C3295F">
        <w:rPr>
          <w:rFonts w:ascii="Calibri" w:hAnsi="Calibri" w:cs="Calibri"/>
          <w:sz w:val="22"/>
          <w:szCs w:val="22"/>
        </w:rPr>
        <w:t>SkillCorner</w:t>
      </w:r>
      <w:proofErr w:type="spellEnd"/>
      <w:r w:rsidRPr="00C3295F">
        <w:rPr>
          <w:rFonts w:ascii="Calibri" w:hAnsi="Calibri" w:cs="Calibri"/>
          <w:sz w:val="22"/>
          <w:szCs w:val="22"/>
        </w:rPr>
        <w:t xml:space="preserve"> open broadcast tracking, 10 Hz; 104,722 event–topology pairs) [12]</w:t>
      </w:r>
      <w:r w:rsidR="006A5E6D">
        <w:rPr>
          <w:rFonts w:ascii="Calibri" w:hAnsi="Calibri" w:cs="Calibri"/>
          <w:sz w:val="22"/>
          <w:szCs w:val="22"/>
        </w:rPr>
        <w:t xml:space="preserve">, </w:t>
      </w:r>
      <w:r w:rsidRPr="00C3295F">
        <w:rPr>
          <w:rFonts w:ascii="Calibri" w:hAnsi="Calibri" w:cs="Calibri"/>
          <w:sz w:val="22"/>
          <w:szCs w:val="22"/>
        </w:rPr>
        <w:t xml:space="preserve">an ideal testbed with high-frequency spatial measurements and established positional standards [13,14]. Three </w:t>
      </w:r>
      <m:oMath>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0</m:t>
            </m:r>
          </m:sub>
        </m:sSub>
      </m:oMath>
      <w:r w:rsidRPr="00C3295F">
        <w:rPr>
          <w:rFonts w:ascii="Calibri" w:hAnsi="Calibri" w:cs="Calibri"/>
          <w:sz w:val="22"/>
          <w:szCs w:val="22"/>
        </w:rPr>
        <w:t xml:space="preserve"> regimes are confirmed (individual 2.98 m, tactical 12.0 m, team 30.0 m; stability scores 0.88, 0.97, 1.00). Two </w:t>
      </w:r>
      <m:oMath>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1</m:t>
            </m:r>
          </m:sub>
        </m:sSub>
      </m:oMath>
      <w:r w:rsidRPr="00C3295F">
        <w:rPr>
          <w:rFonts w:ascii="Calibri" w:hAnsi="Calibri" w:cs="Calibri"/>
          <w:sz w:val="22"/>
          <w:szCs w:val="22"/>
        </w:rPr>
        <w:t xml:space="preserve"> regimes emerge: individual-scale loops are near-universal and transient (97.0% ± 1.5% frame presence; 96.0%, 144/150 frames in the primary match); tactical-scale loops are rarer but geometrically more persistent (19.3% ± 7.2%; 12.0%, 18/150 in the primary match; mean persistence 3.80 m vs 1.98 m at individual scale). Scale non-redundancy is confirmed (Spearman ρ = 0.254, 95% </w:t>
      </w:r>
      <w:r w:rsidRPr="00C3295F">
        <w:rPr>
          <w:rFonts w:ascii="Calibri" w:hAnsi="Calibri" w:cs="Calibri"/>
          <w:sz w:val="22"/>
          <w:szCs w:val="22"/>
        </w:rPr>
        <w:lastRenderedPageBreak/>
        <w:t>bootstrap CI [0.200, 0.314]). Topological features respond coherently to match dynamics</w:t>
      </w:r>
      <w:r w:rsidR="006A5E6D">
        <w:rPr>
          <w:rFonts w:ascii="Calibri" w:hAnsi="Calibri" w:cs="Calibri"/>
          <w:sz w:val="22"/>
          <w:szCs w:val="22"/>
        </w:rPr>
        <w:t>,</w:t>
      </w:r>
      <w:r w:rsidRPr="00C3295F">
        <w:rPr>
          <w:rFonts w:ascii="Calibri" w:hAnsi="Calibri" w:cs="Calibri"/>
          <w:sz w:val="22"/>
          <w:szCs w:val="22"/>
        </w:rPr>
        <w:t xml:space="preserve"> on-ball engagements and quick breaks are associated with decreased persistence</w:t>
      </w:r>
      <w:r w:rsidR="006A5E6D">
        <w:rPr>
          <w:rFonts w:ascii="Calibri" w:hAnsi="Calibri" w:cs="Calibri"/>
          <w:sz w:val="22"/>
          <w:szCs w:val="22"/>
        </w:rPr>
        <w:t xml:space="preserve">. </w:t>
      </w:r>
      <w:proofErr w:type="gramStart"/>
      <w:r w:rsidR="006A5E6D">
        <w:rPr>
          <w:rFonts w:ascii="Calibri" w:hAnsi="Calibri" w:cs="Calibri"/>
          <w:sz w:val="22"/>
          <w:szCs w:val="22"/>
        </w:rPr>
        <w:t>Whereas,</w:t>
      </w:r>
      <w:proofErr w:type="gramEnd"/>
      <w:r w:rsidRPr="00C3295F">
        <w:rPr>
          <w:rFonts w:ascii="Calibri" w:hAnsi="Calibri" w:cs="Calibri"/>
          <w:sz w:val="22"/>
          <w:szCs w:val="22"/>
        </w:rPr>
        <w:t xml:space="preserve"> build-up phases </w:t>
      </w:r>
      <w:r w:rsidR="006A5E6D">
        <w:rPr>
          <w:rFonts w:ascii="Calibri" w:hAnsi="Calibri" w:cs="Calibri"/>
          <w:sz w:val="22"/>
          <w:szCs w:val="22"/>
        </w:rPr>
        <w:t xml:space="preserve">are associated </w:t>
      </w:r>
      <w:r w:rsidRPr="00C3295F">
        <w:rPr>
          <w:rFonts w:ascii="Calibri" w:hAnsi="Calibri" w:cs="Calibri"/>
          <w:sz w:val="22"/>
          <w:szCs w:val="22"/>
        </w:rPr>
        <w:t>with increased persistence (</w:t>
      </w:r>
      <w:r w:rsidRPr="00C3295F">
        <w:rPr>
          <w:rFonts w:ascii="Calibri" w:hAnsi="Calibri" w:cs="Calibri"/>
          <w:i/>
          <w:iCs/>
          <w:sz w:val="22"/>
          <w:szCs w:val="22"/>
        </w:rPr>
        <w:t>p</w:t>
      </w:r>
      <w:r w:rsidRPr="00C3295F">
        <w:rPr>
          <w:rFonts w:ascii="Calibri" w:hAnsi="Calibri" w:cs="Calibri"/>
          <w:sz w:val="22"/>
          <w:szCs w:val="22"/>
        </w:rPr>
        <w:t xml:space="preserve"> &lt; 0.001 for both). Temporal persistence dynamics are match-specific rather than universal; the framework provides systematic tools to quantify this variation [12]. All pilot data are public; the Python pipeline will be </w:t>
      </w:r>
      <w:proofErr w:type="gramStart"/>
      <w:r w:rsidRPr="00C3295F">
        <w:rPr>
          <w:rFonts w:ascii="Calibri" w:hAnsi="Calibri" w:cs="Calibri"/>
          <w:sz w:val="22"/>
          <w:szCs w:val="22"/>
        </w:rPr>
        <w:t>open-source</w:t>
      </w:r>
      <w:proofErr w:type="gramEnd"/>
      <w:r w:rsidRPr="00C3295F">
        <w:rPr>
          <w:rFonts w:ascii="Calibri" w:hAnsi="Calibri" w:cs="Calibri"/>
          <w:sz w:val="22"/>
          <w:szCs w:val="22"/>
        </w:rPr>
        <w:t xml:space="preserve"> released with journal submission.</w:t>
      </w:r>
    </w:p>
    <w:p w14:paraId="73FCA5A8" w14:textId="5A668501"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Timeliness, Beneficiaries and National Importance. This grant develops three methodological contributions beyond the preprint [12]: (1) empirical distributional theory on topological invariants at championship scale (O1); (2) comparison geometry in persistence space for topological fingerprinting (O2); (3) persistence landscape methods for temporal dynamics and phase-transition detection (O3). Computational libraries (</w:t>
      </w:r>
      <w:proofErr w:type="spellStart"/>
      <w:r w:rsidRPr="00C3295F">
        <w:rPr>
          <w:rFonts w:ascii="Calibri" w:hAnsi="Calibri" w:cs="Calibri"/>
          <w:sz w:val="22"/>
          <w:szCs w:val="22"/>
        </w:rPr>
        <w:t>Ripser</w:t>
      </w:r>
      <w:proofErr w:type="spellEnd"/>
      <w:r w:rsidRPr="00C3295F">
        <w:rPr>
          <w:rFonts w:ascii="Calibri" w:hAnsi="Calibri" w:cs="Calibri"/>
          <w:sz w:val="22"/>
          <w:szCs w:val="22"/>
        </w:rPr>
        <w:t xml:space="preserve">, GUDHI) enable execution but are not the research contribution. The </w:t>
      </w:r>
      <w:proofErr w:type="spellStart"/>
      <w:r w:rsidRPr="00C3295F">
        <w:rPr>
          <w:rFonts w:ascii="Calibri" w:hAnsi="Calibri" w:cs="Calibri"/>
          <w:sz w:val="22"/>
          <w:szCs w:val="22"/>
        </w:rPr>
        <w:t>Botnan</w:t>
      </w:r>
      <w:proofErr w:type="spellEnd"/>
      <w:r w:rsidRPr="00C3295F">
        <w:rPr>
          <w:rFonts w:ascii="Calibri" w:hAnsi="Calibri" w:cs="Calibri"/>
          <w:sz w:val="22"/>
          <w:szCs w:val="22"/>
        </w:rPr>
        <w:t xml:space="preserve"> and Lesnick survey [7] marks theoretical maturity in multiparameter persistence; validated workflows for competitive hierarchical systems are the gap the field is ready to fill. A Championship season (~540 matches) now makes population-level topological statistics computationally tractable for the first time, to our knowledge. Direct beneficiaries: the mathematical sciences community (validated open-source library for multi-scale homology on competitive point clouds) and sports analytics practitioners — Swansea City AFC performance analysts, as co-development partner, receive practitioner-interpretable visualisations of pressing structures, formation gaps, and defensive-line organisation that standard geometric descriptors (team length, width, convex-hull area) do not directly quantify. The project strengthens UK research infrastructure in applied algebraic topology, aligned with EPSRC mathematical sciences priorities, and demonstrates mathematically driven engagement with the UK sports analytics industry. The domain-validation procedure — cutoff sweep, stability scoring, adaptive filtration — transfers to any competitive multi-agent system once characteristic interaction scales are re-derived.</w:t>
      </w:r>
    </w:p>
    <w:p w14:paraId="002264F3" w14:textId="77777777" w:rsidR="00C3295F" w:rsidRPr="00C3295F" w:rsidRDefault="00C3295F" w:rsidP="006A5E6D">
      <w:pPr>
        <w:spacing w:after="100"/>
        <w:jc w:val="both"/>
        <w:rPr>
          <w:rFonts w:ascii="Calibri" w:hAnsi="Calibri" w:cs="Calibri"/>
          <w:sz w:val="22"/>
          <w:szCs w:val="22"/>
        </w:rPr>
      </w:pPr>
    </w:p>
    <w:p w14:paraId="5FFE97FA" w14:textId="7D772AAC"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APPROACH</w:t>
      </w:r>
    </w:p>
    <w:p w14:paraId="73842EDB" w14:textId="5FAD02C4"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Project Structure and Team. This 12-month project involves: (</w:t>
      </w:r>
      <w:proofErr w:type="spellStart"/>
      <w:r w:rsidRPr="00C3295F">
        <w:rPr>
          <w:rFonts w:ascii="Calibri" w:hAnsi="Calibri" w:cs="Calibri"/>
          <w:sz w:val="22"/>
          <w:szCs w:val="22"/>
        </w:rPr>
        <w:t>i</w:t>
      </w:r>
      <w:proofErr w:type="spellEnd"/>
      <w:r w:rsidRPr="00C3295F">
        <w:rPr>
          <w:rFonts w:ascii="Calibri" w:hAnsi="Calibri" w:cs="Calibri"/>
          <w:sz w:val="22"/>
          <w:szCs w:val="22"/>
        </w:rPr>
        <w:t xml:space="preserve">) the PI (0.2 FTE), framework development, analysis oversight, and publication; (ii) two Co-Investigators (0.25 FTE combined), statistical and domain expertise; (iii) a Research Associate (1.0 FTE, 9 months, Months 2–10), pipeline implementation, full-season analysis, and landscape library development; (iv) partnership with Swansea City AFC and </w:t>
      </w:r>
      <w:proofErr w:type="spellStart"/>
      <w:r w:rsidRPr="00C3295F">
        <w:rPr>
          <w:rFonts w:ascii="Calibri" w:hAnsi="Calibri" w:cs="Calibri"/>
          <w:sz w:val="22"/>
          <w:szCs w:val="22"/>
        </w:rPr>
        <w:t>StatsBomb</w:t>
      </w:r>
      <w:proofErr w:type="spellEnd"/>
      <w:r w:rsidRPr="00C3295F">
        <w:rPr>
          <w:rFonts w:ascii="Calibri" w:hAnsi="Calibri" w:cs="Calibri"/>
          <w:sz w:val="22"/>
          <w:szCs w:val="22"/>
        </w:rPr>
        <w:t xml:space="preserve"> (Championship tracking data and formation labels). Four integrated objectives are pursued (three research objectives plus one strategic output).</w:t>
      </w:r>
    </w:p>
    <w:p w14:paraId="5EF57F3A" w14:textId="0B5003D4"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 xml:space="preserve">Sample-size rationale. A full Championship season (~540 matches) supports subgroup inference (n ≈ 32 matches per stratum for 95% CI half-width 0.025 on tactical-scale H₁ presence; pilot across-match </w:t>
      </w:r>
      <w:proofErr w:type="spellStart"/>
      <w:r w:rsidRPr="00C3295F">
        <w:rPr>
          <w:rFonts w:ascii="Calibri" w:hAnsi="Calibri" w:cs="Calibri"/>
          <w:sz w:val="22"/>
          <w:szCs w:val="22"/>
        </w:rPr>
        <w:t>s.d.</w:t>
      </w:r>
      <w:proofErr w:type="spellEnd"/>
      <w:r w:rsidRPr="00C3295F">
        <w:rPr>
          <w:rFonts w:ascii="Calibri" w:hAnsi="Calibri" w:cs="Calibri"/>
          <w:sz w:val="22"/>
          <w:szCs w:val="22"/>
        </w:rPr>
        <w:t xml:space="preserve"> 0.072) and powers O2 landscape comparisons (Cohen's </w:t>
      </w:r>
      <w:r w:rsidRPr="00C3295F">
        <w:rPr>
          <w:rFonts w:ascii="Calibri" w:hAnsi="Calibri" w:cs="Calibri"/>
          <w:i/>
          <w:iCs/>
          <w:sz w:val="22"/>
          <w:szCs w:val="22"/>
        </w:rPr>
        <w:t>d</w:t>
      </w:r>
      <w:r w:rsidRPr="00C3295F">
        <w:rPr>
          <w:rFonts w:ascii="Calibri" w:hAnsi="Calibri" w:cs="Calibri"/>
          <w:sz w:val="22"/>
          <w:szCs w:val="22"/>
        </w:rPr>
        <w:t xml:space="preserve"> ≥ 0.30 at power 0.80, α = 0.05, Benjamini–Hochberg FDR correction; n ≈ 180 matches per tactical class). A pilot linear mixed model of the within-match half-effect on tactical-scale H₁ persistence (β̂₁ = −0.081, stratified permutation </w:t>
      </w:r>
      <w:r w:rsidRPr="00C3295F">
        <w:rPr>
          <w:rFonts w:ascii="Calibri" w:hAnsi="Calibri" w:cs="Calibri"/>
          <w:i/>
          <w:iCs/>
          <w:sz w:val="22"/>
          <w:szCs w:val="22"/>
        </w:rPr>
        <w:t>p</w:t>
      </w:r>
      <w:r w:rsidRPr="00C3295F">
        <w:rPr>
          <w:rFonts w:ascii="Calibri" w:hAnsi="Calibri" w:cs="Calibri"/>
          <w:sz w:val="22"/>
          <w:szCs w:val="22"/>
        </w:rPr>
        <w:t xml:space="preserve"> = 0.051 [12]) is borderline at α = 0.05 and consistent with match-specific dynamics; season-scale replication resolves it.</w:t>
      </w:r>
    </w:p>
    <w:p w14:paraId="3760C302" w14:textId="17AFA1B4"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Objectives. Building on [12] and landscape foundations [10,11]:</w:t>
      </w:r>
    </w:p>
    <w:p w14:paraId="16260549" w14:textId="380F011B"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 xml:space="preserve">O1 — Population-level topological statistics (PI and RA, Months 1–10): PI establishes a Supercomputing Wales concurrent pipeline in Month 1; a 20-match Championship batch (Months 1–2) re-validates cutoffs (δ = 2.98, 12.0, 30.0 m) before full-season execution — stability scores below 0.80 trigger re-derivation, gating downstream work. RA (Months 2–7) processes ~540 matches (full-season barcode database, Month 7). PI conducts exploratory joint analysis of H₀/H₁ distributions against </w:t>
      </w:r>
      <w:proofErr w:type="spellStart"/>
      <w:r w:rsidRPr="00C3295F">
        <w:rPr>
          <w:rFonts w:ascii="Calibri" w:hAnsi="Calibri" w:cs="Calibri"/>
          <w:sz w:val="22"/>
          <w:szCs w:val="22"/>
        </w:rPr>
        <w:t>StatsBomb</w:t>
      </w:r>
      <w:proofErr w:type="spellEnd"/>
      <w:r w:rsidRPr="00C3295F">
        <w:rPr>
          <w:rFonts w:ascii="Calibri" w:hAnsi="Calibri" w:cs="Calibri"/>
          <w:sz w:val="22"/>
          <w:szCs w:val="22"/>
        </w:rPr>
        <w:t xml:space="preserve"> tactical descriptors (Months 5–7). </w:t>
      </w:r>
      <w:r w:rsidRPr="00C3295F">
        <w:rPr>
          <w:rFonts w:ascii="Calibri" w:hAnsi="Calibri" w:cs="Calibri"/>
          <w:i/>
          <w:iCs/>
          <w:sz w:val="22"/>
          <w:szCs w:val="22"/>
        </w:rPr>
        <w:t>Milestone: cutoff gate (Month 2); barcode database (Month 7).</w:t>
      </w:r>
    </w:p>
    <w:p w14:paraId="113BBC52" w14:textId="3D74C03C"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 xml:space="preserve">O2 — Topological fingerprinting (PI, Months 6–9): Formation labels from </w:t>
      </w:r>
      <w:proofErr w:type="spellStart"/>
      <w:r w:rsidRPr="00C3295F">
        <w:rPr>
          <w:rFonts w:ascii="Calibri" w:hAnsi="Calibri" w:cs="Calibri"/>
          <w:sz w:val="22"/>
          <w:szCs w:val="22"/>
        </w:rPr>
        <w:t>StatsBomb</w:t>
      </w:r>
      <w:proofErr w:type="spellEnd"/>
      <w:r w:rsidRPr="00C3295F">
        <w:rPr>
          <w:rFonts w:ascii="Calibri" w:hAnsi="Calibri" w:cs="Calibri"/>
          <w:sz w:val="22"/>
          <w:szCs w:val="22"/>
        </w:rPr>
        <w:t xml:space="preserve"> and </w:t>
      </w:r>
      <w:proofErr w:type="spellStart"/>
      <w:r w:rsidRPr="00C3295F">
        <w:rPr>
          <w:rFonts w:ascii="Calibri" w:hAnsi="Calibri" w:cs="Calibri"/>
          <w:sz w:val="22"/>
          <w:szCs w:val="22"/>
        </w:rPr>
        <w:t>SkillCorner</w:t>
      </w:r>
      <w:proofErr w:type="spellEnd"/>
      <w:r w:rsidRPr="00C3295F">
        <w:rPr>
          <w:rFonts w:ascii="Calibri" w:hAnsi="Calibri" w:cs="Calibri"/>
          <w:sz w:val="22"/>
          <w:szCs w:val="22"/>
        </w:rPr>
        <w:t>; Cohen's κ computed before confirmatory tests; hypotheses pre-registered on OSF (Month 2). Persistence diagrams compared via persistence-image kernel and landscape L²-distance. Non-</w:t>
      </w:r>
      <w:r w:rsidRPr="00C3295F">
        <w:rPr>
          <w:rFonts w:ascii="Calibri" w:hAnsi="Calibri" w:cs="Calibri"/>
          <w:sz w:val="22"/>
          <w:szCs w:val="22"/>
        </w:rPr>
        <w:lastRenderedPageBreak/>
        <w:t>redundancy tested by ANCOVA against geometric baselines (team length, width, convex-hull area). Success criteria: topological signatures for ≥3 tactical configurations; inter-system differences with Benjamini–Hochberg FDR correction (</w:t>
      </w:r>
      <w:r w:rsidRPr="00C3295F">
        <w:rPr>
          <w:rFonts w:ascii="Calibri" w:hAnsi="Calibri" w:cs="Calibri"/>
          <w:i/>
          <w:iCs/>
          <w:sz w:val="22"/>
          <w:szCs w:val="22"/>
        </w:rPr>
        <w:t>p</w:t>
      </w:r>
      <w:r w:rsidRPr="00C3295F">
        <w:rPr>
          <w:rFonts w:ascii="Calibri" w:hAnsi="Calibri" w:cs="Calibri"/>
          <w:sz w:val="22"/>
          <w:szCs w:val="22"/>
        </w:rPr>
        <w:t xml:space="preserve"> &lt; 0.05). </w:t>
      </w:r>
      <w:r w:rsidRPr="00C3295F">
        <w:rPr>
          <w:rFonts w:ascii="Calibri" w:hAnsi="Calibri" w:cs="Calibri"/>
          <w:i/>
          <w:iCs/>
          <w:sz w:val="22"/>
          <w:szCs w:val="22"/>
        </w:rPr>
        <w:t>Milestone: OSF pre-registration (Month 2); fingerprint results (Month 9).</w:t>
      </w:r>
    </w:p>
    <w:p w14:paraId="0F711B9C" w14:textId="42FF9A55"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O3 — Temporal dynamics and phase transitions (PI and RA, Months 4–10): RA implements landscape library (</w:t>
      </w:r>
      <w:proofErr w:type="spellStart"/>
      <w:r w:rsidRPr="00C3295F">
        <w:rPr>
          <w:rFonts w:ascii="Calibri" w:hAnsi="Calibri" w:cs="Calibri"/>
          <w:sz w:val="22"/>
          <w:szCs w:val="22"/>
        </w:rPr>
        <w:t>λ_δ</w:t>
      </w:r>
      <w:proofErr w:type="spellEnd"/>
      <w:r w:rsidRPr="00C3295F">
        <w:rPr>
          <w:rFonts w:ascii="Calibri" w:hAnsi="Calibri" w:cs="Calibri"/>
          <w:sz w:val="22"/>
          <w:szCs w:val="22"/>
        </w:rPr>
        <w:t>(</w:t>
      </w:r>
      <w:r w:rsidRPr="00C3295F">
        <w:rPr>
          <w:rFonts w:ascii="Calibri" w:hAnsi="Calibri" w:cs="Calibri"/>
          <w:i/>
          <w:iCs/>
          <w:sz w:val="22"/>
          <w:szCs w:val="22"/>
        </w:rPr>
        <w:t>t</w:t>
      </w:r>
      <w:r w:rsidRPr="00C3295F">
        <w:rPr>
          <w:rFonts w:ascii="Calibri" w:hAnsi="Calibri" w:cs="Calibri"/>
          <w:sz w:val="22"/>
          <w:szCs w:val="22"/>
        </w:rPr>
        <w:t>), Fréchet means, inter-landscape L² distances, Months 6–10). PI applies FPCA to within-match landscape paths and CUSUM change-point detection on L²-norm increments; alignment with tactical annotations assessed by permutation test (</w:t>
      </w:r>
      <w:r w:rsidRPr="00C3295F">
        <w:rPr>
          <w:rFonts w:ascii="Calibri" w:hAnsi="Calibri" w:cs="Calibri"/>
          <w:i/>
          <w:iCs/>
          <w:sz w:val="22"/>
          <w:szCs w:val="22"/>
        </w:rPr>
        <w:t>p</w:t>
      </w:r>
      <w:r w:rsidRPr="00C3295F">
        <w:rPr>
          <w:rFonts w:ascii="Calibri" w:hAnsi="Calibri" w:cs="Calibri"/>
          <w:sz w:val="22"/>
          <w:szCs w:val="22"/>
        </w:rPr>
        <w:t xml:space="preserve"> &lt; 0.05). Mathematical targets: (i) well-posedness and stability of the Fréchet mean in landscape function space under the competitive sequential setting, extending [11] to adversarial temporal paths; (ii) a stability bound for the CUSUM detection statistic under Wasserstein perturbations of the underlying diagrams. Success criteria: ≥70% frame-level agreement between CUSUM-identified regime boundaries and tactical annotations (substitutions, formation changes) across held-out match sub-samples. Wasserstein distance comparison provides a defined fallback if competitive sequential landscape extension requires development beyond [10,11]. </w:t>
      </w:r>
      <w:r w:rsidRPr="00C3295F">
        <w:rPr>
          <w:rFonts w:ascii="Calibri" w:hAnsi="Calibri" w:cs="Calibri"/>
          <w:i/>
          <w:iCs/>
          <w:sz w:val="22"/>
          <w:szCs w:val="22"/>
        </w:rPr>
        <w:t>Milestone: landscape module (Month 8); combined O2/O3 outputs (Month 9).</w:t>
      </w:r>
    </w:p>
    <w:p w14:paraId="191C4C62" w14:textId="62D0953B"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 xml:space="preserve">O4 — Standard Grant evidence synthesis (PI, Months 9–12): Standard Grant preparation begins in Month 9, compiling full-season results into a reproducible evidence base for a separate follow-on application extending the framework to broader competitive multi-agent systems (preliminary cross-domain conflict-data analysis defines the longer-term pathway). Submission is targeted within 12 months of project completion. O1–O3 are standalone publishable contributions independently of this strategic output. </w:t>
      </w:r>
      <w:r w:rsidRPr="00C3295F">
        <w:rPr>
          <w:rFonts w:ascii="Calibri" w:hAnsi="Calibri" w:cs="Calibri"/>
          <w:i/>
          <w:iCs/>
          <w:sz w:val="22"/>
          <w:szCs w:val="22"/>
        </w:rPr>
        <w:t>Milestone: evidence pack (Month 12).</w:t>
      </w:r>
    </w:p>
    <w:p w14:paraId="55A38CF2" w14:textId="76F9D6EA"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Methodology and Feasibility. The containerised Python pipeline (</w:t>
      </w:r>
      <w:proofErr w:type="spellStart"/>
      <w:r w:rsidRPr="00C3295F">
        <w:rPr>
          <w:rFonts w:ascii="Calibri" w:hAnsi="Calibri" w:cs="Calibri"/>
          <w:sz w:val="22"/>
          <w:szCs w:val="22"/>
        </w:rPr>
        <w:t>Ripser</w:t>
      </w:r>
      <w:proofErr w:type="spellEnd"/>
      <w:r w:rsidRPr="00C3295F">
        <w:rPr>
          <w:rFonts w:ascii="Calibri" w:hAnsi="Calibri" w:cs="Calibri"/>
          <w:sz w:val="22"/>
          <w:szCs w:val="22"/>
        </w:rPr>
        <w:t xml:space="preserve"> [15], GUDHI, </w:t>
      </w:r>
      <w:proofErr w:type="spellStart"/>
      <w:r w:rsidRPr="00C3295F">
        <w:rPr>
          <w:rFonts w:ascii="Calibri" w:hAnsi="Calibri" w:cs="Calibri"/>
          <w:sz w:val="22"/>
          <w:szCs w:val="22"/>
        </w:rPr>
        <w:t>giotto-tda</w:t>
      </w:r>
      <w:proofErr w:type="spellEnd"/>
      <w:r w:rsidRPr="00C3295F">
        <w:rPr>
          <w:rFonts w:ascii="Calibri" w:hAnsi="Calibri" w:cs="Calibri"/>
          <w:sz w:val="22"/>
          <w:szCs w:val="22"/>
        </w:rPr>
        <w:t xml:space="preserve"> [16]; &lt;2 s per frame) processes tracking data through clustering, adaptive filtration, and barcode computation under the Swansea City AFC–</w:t>
      </w:r>
      <w:proofErr w:type="spellStart"/>
      <w:r w:rsidRPr="00C3295F">
        <w:rPr>
          <w:rFonts w:ascii="Calibri" w:hAnsi="Calibri" w:cs="Calibri"/>
          <w:sz w:val="22"/>
          <w:szCs w:val="22"/>
        </w:rPr>
        <w:t>StatsBomb</w:t>
      </w:r>
      <w:proofErr w:type="spellEnd"/>
      <w:r w:rsidRPr="00C3295F">
        <w:rPr>
          <w:rFonts w:ascii="Calibri" w:hAnsi="Calibri" w:cs="Calibri"/>
          <w:sz w:val="22"/>
          <w:szCs w:val="22"/>
        </w:rPr>
        <w:t xml:space="preserve"> agreement. Full-season processing requires ~1,600 CPU-hours; Supercomputing Wales allocation (5,000 core-hours) covers processing, gate batches, and O3 landscape computation with margin. The Month 1–2 gate confirms cutoff transferability and 1 Hz production fidelity before full-season commitment.</w:t>
      </w:r>
    </w:p>
    <w:p w14:paraId="36257203" w14:textId="69B6D115"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Risk Management. (</w:t>
      </w:r>
      <w:proofErr w:type="spellStart"/>
      <w:r w:rsidRPr="00C3295F">
        <w:rPr>
          <w:rFonts w:ascii="Calibri" w:hAnsi="Calibri" w:cs="Calibri"/>
          <w:sz w:val="22"/>
          <w:szCs w:val="22"/>
        </w:rPr>
        <w:t>i</w:t>
      </w:r>
      <w:proofErr w:type="spellEnd"/>
      <w:r w:rsidRPr="00C3295F">
        <w:rPr>
          <w:rFonts w:ascii="Calibri" w:hAnsi="Calibri" w:cs="Calibri"/>
          <w:sz w:val="22"/>
          <w:szCs w:val="22"/>
        </w:rPr>
        <w:t xml:space="preserve">) </w:t>
      </w:r>
      <w:r w:rsidRPr="00C3295F">
        <w:rPr>
          <w:rFonts w:ascii="Calibri" w:hAnsi="Calibri" w:cs="Calibri"/>
          <w:i/>
          <w:iCs/>
          <w:sz w:val="22"/>
          <w:szCs w:val="22"/>
        </w:rPr>
        <w:t>Data access:</w:t>
      </w:r>
      <w:r w:rsidRPr="00C3295F">
        <w:rPr>
          <w:rFonts w:ascii="Calibri" w:hAnsi="Calibri" w:cs="Calibri"/>
          <w:sz w:val="22"/>
          <w:szCs w:val="22"/>
        </w:rPr>
        <w:t xml:space="preserve"> </w:t>
      </w:r>
      <w:proofErr w:type="spellStart"/>
      <w:r w:rsidRPr="00C3295F">
        <w:rPr>
          <w:rFonts w:ascii="Calibri" w:hAnsi="Calibri" w:cs="Calibri"/>
          <w:sz w:val="22"/>
          <w:szCs w:val="22"/>
        </w:rPr>
        <w:t>StatsBomb</w:t>
      </w:r>
      <w:proofErr w:type="spellEnd"/>
      <w:r w:rsidRPr="00C3295F">
        <w:rPr>
          <w:rFonts w:ascii="Calibri" w:hAnsi="Calibri" w:cs="Calibri"/>
          <w:sz w:val="22"/>
          <w:szCs w:val="22"/>
        </w:rPr>
        <w:t xml:space="preserve"> agreement confirmed for 2024/25; ~270-match contingency remains publishable for O1; O2 would be reported as exploratory only. (ii) </w:t>
      </w:r>
      <w:r w:rsidRPr="00C3295F">
        <w:rPr>
          <w:rFonts w:ascii="Calibri" w:hAnsi="Calibri" w:cs="Calibri"/>
          <w:i/>
          <w:iCs/>
          <w:sz w:val="22"/>
          <w:szCs w:val="22"/>
        </w:rPr>
        <w:t>Scale transferability:</w:t>
      </w:r>
      <w:r w:rsidRPr="00C3295F">
        <w:rPr>
          <w:rFonts w:ascii="Calibri" w:hAnsi="Calibri" w:cs="Calibri"/>
          <w:sz w:val="22"/>
          <w:szCs w:val="22"/>
        </w:rPr>
        <w:t xml:space="preserve"> Month 2 gate re-derives cutoffs on Championship data. (iii) </w:t>
      </w:r>
      <w:r w:rsidRPr="00C3295F">
        <w:rPr>
          <w:rFonts w:ascii="Calibri" w:hAnsi="Calibri" w:cs="Calibri"/>
          <w:i/>
          <w:iCs/>
          <w:sz w:val="22"/>
          <w:szCs w:val="22"/>
        </w:rPr>
        <w:t>Formation-label noise:</w:t>
      </w:r>
      <w:r w:rsidRPr="00C3295F">
        <w:rPr>
          <w:rFonts w:ascii="Calibri" w:hAnsi="Calibri" w:cs="Calibri"/>
          <w:sz w:val="22"/>
          <w:szCs w:val="22"/>
        </w:rPr>
        <w:t xml:space="preserve"> dual-source verification and parallel unsupervised landscape clustering; pre-registered exclusion protocol. (iv) </w:t>
      </w:r>
      <w:r w:rsidRPr="00C3295F">
        <w:rPr>
          <w:rFonts w:ascii="Calibri" w:hAnsi="Calibri" w:cs="Calibri"/>
          <w:i/>
          <w:iCs/>
          <w:sz w:val="22"/>
          <w:szCs w:val="22"/>
        </w:rPr>
        <w:t>Landscape theory:</w:t>
      </w:r>
      <w:r w:rsidRPr="00C3295F">
        <w:rPr>
          <w:rFonts w:ascii="Calibri" w:hAnsi="Calibri" w:cs="Calibri"/>
          <w:sz w:val="22"/>
          <w:szCs w:val="22"/>
        </w:rPr>
        <w:t xml:space="preserve"> Wasserstein fallback preserves O3 if sequential landscape extension requires additional development.</w:t>
      </w:r>
    </w:p>
    <w:p w14:paraId="1B17C597" w14:textId="257FF90F" w:rsidR="00C3295F" w:rsidRPr="00C3295F" w:rsidRDefault="00C3295F" w:rsidP="006A5E6D">
      <w:pPr>
        <w:spacing w:after="100"/>
        <w:jc w:val="both"/>
        <w:rPr>
          <w:rFonts w:ascii="Calibri" w:hAnsi="Calibri" w:cs="Calibri"/>
          <w:sz w:val="22"/>
          <w:szCs w:val="22"/>
        </w:rPr>
      </w:pPr>
      <w:r w:rsidRPr="00C3295F">
        <w:rPr>
          <w:rFonts w:ascii="Calibri" w:hAnsi="Calibri" w:cs="Calibri"/>
          <w:sz w:val="22"/>
          <w:szCs w:val="22"/>
        </w:rPr>
        <w:t xml:space="preserve">Translation to Impact. Open-source code archived via Swansea University's </w:t>
      </w:r>
      <w:proofErr w:type="spellStart"/>
      <w:r w:rsidRPr="00C3295F">
        <w:rPr>
          <w:rFonts w:ascii="Calibri" w:hAnsi="Calibri" w:cs="Calibri"/>
          <w:sz w:val="22"/>
          <w:szCs w:val="22"/>
        </w:rPr>
        <w:t>Zenodo</w:t>
      </w:r>
      <w:proofErr w:type="spellEnd"/>
      <w:r w:rsidRPr="00C3295F">
        <w:rPr>
          <w:rFonts w:ascii="Calibri" w:hAnsi="Calibri" w:cs="Calibri"/>
          <w:sz w:val="22"/>
          <w:szCs w:val="22"/>
        </w:rPr>
        <w:t xml:space="preserve"> community (DOI). Paper 1 (methodology [12]) submitted to </w:t>
      </w:r>
      <w:proofErr w:type="spellStart"/>
      <w:r w:rsidRPr="00C3295F">
        <w:rPr>
          <w:rFonts w:ascii="Calibri" w:hAnsi="Calibri" w:cs="Calibri"/>
          <w:sz w:val="22"/>
          <w:szCs w:val="22"/>
        </w:rPr>
        <w:t>ArXiv</w:t>
      </w:r>
      <w:proofErr w:type="spellEnd"/>
      <w:r w:rsidRPr="00C3295F">
        <w:rPr>
          <w:rFonts w:ascii="Calibri" w:hAnsi="Calibri" w:cs="Calibri"/>
          <w:sz w:val="22"/>
          <w:szCs w:val="22"/>
        </w:rPr>
        <w:t xml:space="preserve"> and JACT (Journal of Applied and Computational Topology) from Month 1; Paper 3 (full-season results and persistence landscapes) targets Month 11. Tactical outputs co-developed with Swansea City AFC as practitioner-interpretable visualisations.</w:t>
      </w:r>
    </w:p>
    <w:p w14:paraId="7A03E87A" w14:textId="4B7C125B" w:rsidR="00C3295F" w:rsidRDefault="00C3295F" w:rsidP="006A5E6D">
      <w:pPr>
        <w:spacing w:after="100"/>
        <w:jc w:val="both"/>
        <w:rPr>
          <w:rFonts w:ascii="Calibri" w:hAnsi="Calibri" w:cs="Calibri"/>
          <w:sz w:val="22"/>
          <w:szCs w:val="22"/>
        </w:rPr>
      </w:pPr>
      <w:r w:rsidRPr="00C3295F">
        <w:rPr>
          <w:rFonts w:ascii="Calibri" w:hAnsi="Calibri" w:cs="Calibri"/>
          <w:sz w:val="22"/>
          <w:szCs w:val="22"/>
        </w:rPr>
        <w:t>Research Environment. Swansea University's Zienkiewicz Institute provides Supercomputing Wales (PI has existing allocation) and the Swansea City AFC–</w:t>
      </w:r>
      <w:proofErr w:type="spellStart"/>
      <w:r w:rsidRPr="00C3295F">
        <w:rPr>
          <w:rFonts w:ascii="Calibri" w:hAnsi="Calibri" w:cs="Calibri"/>
          <w:sz w:val="22"/>
          <w:szCs w:val="22"/>
        </w:rPr>
        <w:t>StatsBomb</w:t>
      </w:r>
      <w:proofErr w:type="spellEnd"/>
      <w:r w:rsidRPr="00C3295F">
        <w:rPr>
          <w:rFonts w:ascii="Calibri" w:hAnsi="Calibri" w:cs="Calibri"/>
          <w:sz w:val="22"/>
          <w:szCs w:val="22"/>
        </w:rPr>
        <w:t xml:space="preserve"> data agreement; the Research Office supports partnership negotiation and fast-tracked ethics review. Co-Is Professor </w:t>
      </w:r>
      <w:proofErr w:type="spellStart"/>
      <w:r w:rsidRPr="00C3295F">
        <w:rPr>
          <w:rFonts w:ascii="Calibri" w:hAnsi="Calibri" w:cs="Calibri"/>
          <w:sz w:val="22"/>
          <w:szCs w:val="22"/>
        </w:rPr>
        <w:t>Gibin</w:t>
      </w:r>
      <w:proofErr w:type="spellEnd"/>
      <w:r w:rsidRPr="00C3295F">
        <w:rPr>
          <w:rFonts w:ascii="Calibri" w:hAnsi="Calibri" w:cs="Calibri"/>
          <w:sz w:val="22"/>
          <w:szCs w:val="22"/>
        </w:rPr>
        <w:t xml:space="preserve"> Powathil (Mathematics) and Professor Liam Kilduff (Sport and Exercise Sciences) provide mathematical and domain supervision.</w:t>
      </w:r>
    </w:p>
    <w:p w14:paraId="7A8E9F5E" w14:textId="058F8C7D" w:rsidR="00EA7FCD" w:rsidRPr="00C3295F" w:rsidRDefault="00EA7FCD" w:rsidP="006A5E6D">
      <w:pPr>
        <w:spacing w:after="100"/>
        <w:jc w:val="both"/>
        <w:rPr>
          <w:rFonts w:ascii="Calibri" w:hAnsi="Calibri" w:cs="Calibri"/>
          <w:sz w:val="22"/>
          <w:szCs w:val="22"/>
        </w:rPr>
      </w:pPr>
      <w:r w:rsidRPr="00C3295F">
        <w:rPr>
          <w:rFonts w:ascii="Calibri" w:hAnsi="Calibri" w:cs="Calibri"/>
          <w:sz w:val="22"/>
          <w:szCs w:val="22"/>
        </w:rPr>
        <w:t>Project Timeline</w:t>
      </w:r>
    </w:p>
    <w:p w14:paraId="4EFF46C7" w14:textId="3E8E6D1B" w:rsidR="00C3295F" w:rsidRDefault="00C3295F" w:rsidP="006A5E6D">
      <w:pPr>
        <w:spacing w:after="60"/>
        <w:jc w:val="both"/>
        <w:rPr>
          <w:rFonts w:ascii="Calibri" w:hAnsi="Calibri" w:cs="Calibri"/>
          <w:sz w:val="22"/>
          <w:szCs w:val="22"/>
        </w:rPr>
      </w:pPr>
    </w:p>
    <w:p w14:paraId="2E79643A" w14:textId="6212210D" w:rsidR="006A5E6D" w:rsidRPr="00C3295F" w:rsidRDefault="006A5E6D" w:rsidP="006A5E6D">
      <w:pPr>
        <w:spacing w:after="60"/>
        <w:jc w:val="both"/>
        <w:rPr>
          <w:rFonts w:ascii="Calibri" w:hAnsi="Calibri" w:cs="Calibri"/>
          <w:sz w:val="22"/>
          <w:szCs w:val="22"/>
        </w:rPr>
      </w:pPr>
      <w:r w:rsidRPr="006A5E6D">
        <w:rPr>
          <w:rFonts w:ascii="Calibri" w:hAnsi="Calibri" w:cs="Calibri"/>
          <w:sz w:val="22"/>
          <w:szCs w:val="22"/>
        </w:rPr>
        <w:lastRenderedPageBreak/>
        <w:drawing>
          <wp:inline distT="0" distB="0" distL="0" distR="0" wp14:anchorId="6C8AD852" wp14:editId="0FBC1C18">
            <wp:extent cx="5727700" cy="1651000"/>
            <wp:effectExtent l="0" t="0" r="0" b="0"/>
            <wp:docPr id="26587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72096" name=""/>
                    <pic:cNvPicPr/>
                  </pic:nvPicPr>
                  <pic:blipFill>
                    <a:blip r:embed="rId5"/>
                    <a:stretch>
                      <a:fillRect/>
                    </a:stretch>
                  </pic:blipFill>
                  <pic:spPr>
                    <a:xfrm>
                      <a:off x="0" y="0"/>
                      <a:ext cx="5727700" cy="1651000"/>
                    </a:xfrm>
                    <a:prstGeom prst="rect">
                      <a:avLst/>
                    </a:prstGeom>
                  </pic:spPr>
                </pic:pic>
              </a:graphicData>
            </a:graphic>
          </wp:inline>
        </w:drawing>
      </w:r>
    </w:p>
    <w:sectPr w:rsidR="006A5E6D" w:rsidRPr="00C3295F"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F0998"/>
    <w:multiLevelType w:val="hybridMultilevel"/>
    <w:tmpl w:val="670E109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E31CA9"/>
    <w:multiLevelType w:val="hybridMultilevel"/>
    <w:tmpl w:val="79F05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377A88"/>
    <w:multiLevelType w:val="hybridMultilevel"/>
    <w:tmpl w:val="957418DE"/>
    <w:lvl w:ilvl="0" w:tplc="6070104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5F06E2F"/>
    <w:multiLevelType w:val="hybridMultilevel"/>
    <w:tmpl w:val="978AF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5361857">
    <w:abstractNumId w:val="1"/>
  </w:num>
  <w:num w:numId="2" w16cid:durableId="1858076727">
    <w:abstractNumId w:val="3"/>
  </w:num>
  <w:num w:numId="3" w16cid:durableId="750152885">
    <w:abstractNumId w:val="2"/>
  </w:num>
  <w:num w:numId="4" w16cid:durableId="7680466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899"/>
    <w:rsid w:val="002431BC"/>
    <w:rsid w:val="00395B8D"/>
    <w:rsid w:val="0039664B"/>
    <w:rsid w:val="005D7D6A"/>
    <w:rsid w:val="006A5E6D"/>
    <w:rsid w:val="00716867"/>
    <w:rsid w:val="00736938"/>
    <w:rsid w:val="008C5AD8"/>
    <w:rsid w:val="00943BA8"/>
    <w:rsid w:val="009F2263"/>
    <w:rsid w:val="00B03625"/>
    <w:rsid w:val="00B80347"/>
    <w:rsid w:val="00C3295F"/>
    <w:rsid w:val="00C436ED"/>
    <w:rsid w:val="00C63905"/>
    <w:rsid w:val="00C8460E"/>
    <w:rsid w:val="00E31899"/>
    <w:rsid w:val="00EA1C93"/>
    <w:rsid w:val="00EA7FCD"/>
    <w:rsid w:val="00F406E1"/>
    <w:rsid w:val="00F86984"/>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700560"/>
  <w15:chartTrackingRefBased/>
  <w15:docId w15:val="{254B6A44-869D-324A-9EA4-7BF486757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8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8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8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8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899"/>
    <w:rPr>
      <w:rFonts w:eastAsiaTheme="majorEastAsia" w:cstheme="majorBidi"/>
      <w:color w:val="272727" w:themeColor="text1" w:themeTint="D8"/>
    </w:rPr>
  </w:style>
  <w:style w:type="paragraph" w:styleId="Title">
    <w:name w:val="Title"/>
    <w:basedOn w:val="Normal"/>
    <w:next w:val="Normal"/>
    <w:link w:val="TitleChar"/>
    <w:uiPriority w:val="10"/>
    <w:qFormat/>
    <w:rsid w:val="00E318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8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8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1899"/>
    <w:rPr>
      <w:i/>
      <w:iCs/>
      <w:color w:val="404040" w:themeColor="text1" w:themeTint="BF"/>
    </w:rPr>
  </w:style>
  <w:style w:type="paragraph" w:styleId="ListParagraph">
    <w:name w:val="List Paragraph"/>
    <w:basedOn w:val="Normal"/>
    <w:uiPriority w:val="34"/>
    <w:qFormat/>
    <w:rsid w:val="00E31899"/>
    <w:pPr>
      <w:ind w:left="720"/>
      <w:contextualSpacing/>
    </w:pPr>
  </w:style>
  <w:style w:type="character" w:styleId="IntenseEmphasis">
    <w:name w:val="Intense Emphasis"/>
    <w:basedOn w:val="DefaultParagraphFont"/>
    <w:uiPriority w:val="21"/>
    <w:qFormat/>
    <w:rsid w:val="00E31899"/>
    <w:rPr>
      <w:i/>
      <w:iCs/>
      <w:color w:val="0F4761" w:themeColor="accent1" w:themeShade="BF"/>
    </w:rPr>
  </w:style>
  <w:style w:type="paragraph" w:styleId="IntenseQuote">
    <w:name w:val="Intense Quote"/>
    <w:basedOn w:val="Normal"/>
    <w:next w:val="Normal"/>
    <w:link w:val="IntenseQuoteChar"/>
    <w:uiPriority w:val="30"/>
    <w:qFormat/>
    <w:rsid w:val="00E31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899"/>
    <w:rPr>
      <w:i/>
      <w:iCs/>
      <w:color w:val="0F4761" w:themeColor="accent1" w:themeShade="BF"/>
    </w:rPr>
  </w:style>
  <w:style w:type="character" w:styleId="IntenseReference">
    <w:name w:val="Intense Reference"/>
    <w:basedOn w:val="DefaultParagraphFont"/>
    <w:uiPriority w:val="32"/>
    <w:qFormat/>
    <w:rsid w:val="00E31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1871</Words>
  <Characters>10670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2</cp:revision>
  <dcterms:created xsi:type="dcterms:W3CDTF">2026-07-02T15:24:00Z</dcterms:created>
  <dcterms:modified xsi:type="dcterms:W3CDTF">2026-07-07T12:52:00Z</dcterms:modified>
</cp:coreProperties>
</file>