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217EE" w14:textId="0E6C75B3" w:rsidR="00FB0B20" w:rsidRPr="009903B5" w:rsidRDefault="00FB0B20" w:rsidP="00FB0B20">
      <w:pPr>
        <w:spacing w:after="120"/>
        <w:jc w:val="both"/>
        <w:rPr>
          <w:rFonts w:ascii="Calibri" w:hAnsi="Calibri" w:cs="Calibri"/>
          <w:b/>
          <w:bCs/>
          <w:sz w:val="22"/>
          <w:szCs w:val="22"/>
        </w:rPr>
      </w:pPr>
      <w:r w:rsidRPr="009903B5">
        <w:rPr>
          <w:rFonts w:ascii="Calibri" w:hAnsi="Calibri" w:cs="Calibri"/>
          <w:b/>
          <w:bCs/>
          <w:sz w:val="22"/>
          <w:szCs w:val="22"/>
        </w:rPr>
        <w:t>VISION</w:t>
      </w:r>
    </w:p>
    <w:p w14:paraId="40C236B3" w14:textId="6356C02A" w:rsidR="009903B5" w:rsidRPr="009903B5" w:rsidRDefault="00FB0B20" w:rsidP="009903B5">
      <w:pPr>
        <w:spacing w:after="120"/>
        <w:jc w:val="both"/>
        <w:rPr>
          <w:rFonts w:ascii="Calibri" w:hAnsi="Calibri" w:cs="Calibri"/>
          <w:sz w:val="22"/>
          <w:szCs w:val="22"/>
        </w:rPr>
      </w:pPr>
      <w:r w:rsidRPr="00FB0B20">
        <w:rPr>
          <w:rFonts w:ascii="Calibri" w:hAnsi="Calibri" w:cs="Calibri"/>
          <w:b/>
          <w:bCs/>
          <w:sz w:val="22"/>
          <w:szCs w:val="22"/>
        </w:rPr>
        <w:t>1. Excellent Quality and Importance</w:t>
      </w:r>
      <w:r>
        <w:rPr>
          <w:rFonts w:ascii="Calibri" w:hAnsi="Calibri" w:cs="Calibri"/>
          <w:b/>
          <w:bCs/>
          <w:sz w:val="22"/>
          <w:szCs w:val="22"/>
        </w:rPr>
        <w:t xml:space="preserve"> </w:t>
      </w:r>
      <w:r w:rsidR="009903B5" w:rsidRPr="009903B5">
        <w:rPr>
          <w:rFonts w:ascii="Calibri" w:hAnsi="Calibri" w:cs="Calibri"/>
          <w:sz w:val="22"/>
          <w:szCs w:val="22"/>
        </w:rPr>
        <w:t>This research develops new mathematical frameworks for the multi-scale topological analysis of competitive collective systems. These systems comprise agents that coordinate internally while opposing an adversary within a bounded domain. They represent an important yet under-modelled class in applied mathematics. A central open question in computational topology is how to attribute topological structure, clusters and enclosing loops, to distinct organisational scales, each defined by a fixed interaction length in the spatial data. Standard persistent homology analyses all agents in a single persistence diagram, merging features across those scales so that level-specific attribution is lost. Furthermore, unlike cooperative swarms, competitive collective systems can exhibit adversarial geometry, in which each subgroup's configuration is deformed by their opponent, potentially generating topological structure across distinct interaction length scales. Professional football serves as the primary validation testbed for this proposal (§7), where validated length scales at individual, tactical, and team organisational levels manifest as, for example, player–player proximity loops, formation enclosures, and team-wide spatial organisation.</w:t>
      </w:r>
    </w:p>
    <w:p w14:paraId="58CBDE94" w14:textId="7A7930EC" w:rsidR="009903B5" w:rsidRDefault="009903B5" w:rsidP="009903B5">
      <w:pPr>
        <w:spacing w:after="120"/>
        <w:jc w:val="both"/>
        <w:rPr>
          <w:rFonts w:ascii="Calibri" w:hAnsi="Calibri" w:cs="Calibri"/>
          <w:sz w:val="22"/>
          <w:szCs w:val="22"/>
        </w:rPr>
      </w:pPr>
      <w:r w:rsidRPr="009903B5">
        <w:rPr>
          <w:rFonts w:ascii="Calibri" w:hAnsi="Calibri" w:cs="Calibri"/>
          <w:sz w:val="22"/>
          <w:szCs w:val="22"/>
        </w:rPr>
        <w:t xml:space="preserve">In this testbed, high-frequency tracking supplies a time-indexed point cloud of player positions </w:t>
      </w:r>
      <w:r>
        <w:rPr>
          <w:rFonts w:ascii="Calibri" w:hAnsi="Calibri" w:cs="Calibri"/>
          <w:sz w:val="22"/>
          <w:szCs w:val="22"/>
        </w:rPr>
        <w:t xml:space="preserve">in </w:t>
      </w:r>
      <w:r w:rsidRPr="009903B5">
        <w:rPr>
          <w:rFonts w:ascii="Calibri" w:hAnsi="Calibri" w:cs="Calibri"/>
          <w:sz w:val="22"/>
          <w:szCs w:val="22"/>
        </w:rPr>
        <w:t>each frame. That cloud is a single geometric object in which structure at multiple interaction length scales is interleaved. Persistent homology [1,2] quantifies connectivity and enclosure rigorously: H₀ counts connected clusters; H₁ counts loops. Standard practice applies a single Vietoris–Rips filtration [3] to the full 22-player cloud. That yields one persistence diagram in which features from distinct length scales are merged, preventing attribution to the individual, tactical, or team levels defined above. Prior work addresses parts of this gap: cooperative biological aggregation [4]; multiscale cluster-then-homology methods in quasi-static settings [5]; Gu et al. [6] track topological change points at one interaction length scale only. Multiparameter persistence [7,8] permits simultaneous length-scale analysis in principle. It remains computationally impractical, however, at the point-cloud sizes and frame rates required here. No existing method combines domain-validated decomposition by interaction length with adaptive Vietoris–Rips filtration on competitive, hierarchical, high-frequency tracking data, validated at population scale.</w:t>
      </w:r>
    </w:p>
    <w:p w14:paraId="1F2D8DDB" w14:textId="7825AF88" w:rsidR="00FB0B20" w:rsidRPr="00FB0B20" w:rsidRDefault="00FB0B20" w:rsidP="009903B5">
      <w:pPr>
        <w:spacing w:after="120"/>
        <w:jc w:val="both"/>
        <w:rPr>
          <w:rFonts w:ascii="Calibri" w:hAnsi="Calibri" w:cs="Calibri"/>
          <w:sz w:val="22"/>
          <w:szCs w:val="22"/>
        </w:rPr>
      </w:pPr>
      <w:r w:rsidRPr="00FB0B20">
        <w:rPr>
          <w:rFonts w:ascii="Calibri" w:hAnsi="Calibri" w:cs="Calibri"/>
          <w:sz w:val="22"/>
          <w:szCs w:val="22"/>
        </w:rPr>
        <w:t>Our framework takes a complementary, domain-informed route. Hierarchical clustering at empirically validated cutoffs decomposes the competitive point cloud by organisational level; single-parameter homology is then computed at each level separately. Adaptive filtration ensures consistent H₁ detection on the post-clustering geometry at each scale.</w:t>
      </w:r>
    </w:p>
    <w:p w14:paraId="0BD049D5"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The project builds on two methodological pillars: (</w:t>
      </w:r>
      <w:proofErr w:type="spellStart"/>
      <w:r w:rsidRPr="00FB0B20">
        <w:rPr>
          <w:rFonts w:ascii="Calibri" w:hAnsi="Calibri" w:cs="Calibri"/>
          <w:sz w:val="22"/>
          <w:szCs w:val="22"/>
        </w:rPr>
        <w:t>i</w:t>
      </w:r>
      <w:proofErr w:type="spellEnd"/>
      <w:r w:rsidRPr="00FB0B20">
        <w:rPr>
          <w:rFonts w:ascii="Calibri" w:hAnsi="Calibri" w:cs="Calibri"/>
          <w:sz w:val="22"/>
          <w:szCs w:val="22"/>
        </w:rPr>
        <w:t>) domain-informed decomposition and (ii) adaptive filtration — and extends both with persistence landscape dynamics for competitive sequential diagrams. Stability-validated cutoffs make the decomposition falsifiable and transferable across competitive systems. Three mathematical contributions extend prior work:</w:t>
      </w:r>
    </w:p>
    <w:p w14:paraId="1DBB34EE" w14:textId="43C86836" w:rsidR="00FB0B20" w:rsidRPr="00FB0B20" w:rsidRDefault="00FB0B20" w:rsidP="00FB0B20">
      <w:pPr>
        <w:pStyle w:val="ListParagraph"/>
        <w:numPr>
          <w:ilvl w:val="0"/>
          <w:numId w:val="3"/>
        </w:numPr>
        <w:spacing w:after="120"/>
        <w:ind w:left="284" w:hanging="284"/>
        <w:jc w:val="both"/>
        <w:rPr>
          <w:rFonts w:ascii="Calibri" w:hAnsi="Calibri" w:cs="Calibri"/>
          <w:sz w:val="22"/>
          <w:szCs w:val="22"/>
        </w:rPr>
      </w:pPr>
      <w:r w:rsidRPr="00FB0B20">
        <w:rPr>
          <w:rFonts w:ascii="Calibri" w:hAnsi="Calibri" w:cs="Calibri"/>
          <w:sz w:val="22"/>
          <w:szCs w:val="22"/>
        </w:rPr>
        <w:t>Domain-validated scale identification: a systematic cutoff sweep identifies three H₀ regimes (individual 2.98 m, tactical 12.0 m, team 30.0 m) with cross-epoch stability scores 0.96, 0.84, and 1.00 [12], replacing heuristic filtration choices with a reproducible, domain-grounded procedure.</w:t>
      </w:r>
    </w:p>
    <w:p w14:paraId="31EA5857" w14:textId="18400C67" w:rsidR="00FB0B20" w:rsidRPr="00FB0B20" w:rsidRDefault="00FB0B20" w:rsidP="00FB0B20">
      <w:pPr>
        <w:pStyle w:val="ListParagraph"/>
        <w:numPr>
          <w:ilvl w:val="0"/>
          <w:numId w:val="3"/>
        </w:numPr>
        <w:spacing w:after="120"/>
        <w:ind w:left="284" w:hanging="284"/>
        <w:jc w:val="both"/>
        <w:rPr>
          <w:rFonts w:ascii="Calibri" w:hAnsi="Calibri" w:cs="Calibri"/>
          <w:sz w:val="22"/>
          <w:szCs w:val="22"/>
        </w:rPr>
      </w:pPr>
      <w:r w:rsidRPr="00FB0B20">
        <w:rPr>
          <w:rFonts w:ascii="Calibri" w:hAnsi="Calibri" w:cs="Calibri"/>
          <w:sz w:val="22"/>
          <w:szCs w:val="22"/>
        </w:rPr>
        <w:t>Adaptive filtration for multi-scale H₁ detection: a data-informed maximum filtration adjusts to post-clustering geometry at each scale (75th percentile of inter-centroid distances, with a floor tied to validated cutoff δ); ablation confirms H₁ outputs are insensitive to the percentile choice within this formula [9].</w:t>
      </w:r>
    </w:p>
    <w:p w14:paraId="064BDF32" w14:textId="11099124" w:rsidR="00FB0B20" w:rsidRPr="00FB0B20" w:rsidRDefault="00FB0B20" w:rsidP="00FB0B20">
      <w:pPr>
        <w:pStyle w:val="ListParagraph"/>
        <w:numPr>
          <w:ilvl w:val="0"/>
          <w:numId w:val="3"/>
        </w:numPr>
        <w:spacing w:after="120"/>
        <w:ind w:left="284" w:hanging="284"/>
        <w:jc w:val="both"/>
        <w:rPr>
          <w:rFonts w:ascii="Calibri" w:hAnsi="Calibri" w:cs="Calibri"/>
          <w:sz w:val="22"/>
          <w:szCs w:val="22"/>
        </w:rPr>
      </w:pPr>
      <w:r w:rsidRPr="00FB0B20">
        <w:rPr>
          <w:rFonts w:ascii="Calibri" w:hAnsi="Calibri" w:cs="Calibri"/>
          <w:sz w:val="22"/>
          <w:szCs w:val="22"/>
        </w:rPr>
        <w:t xml:space="preserve">Persistence landscape dynamics [10,11]: at each validated scale δ, each frame's persistence barcode is summarised as a landscape </w:t>
      </w:r>
      <w:proofErr w:type="spellStart"/>
      <w:r w:rsidRPr="00FB0B20">
        <w:rPr>
          <w:rFonts w:ascii="Calibri" w:hAnsi="Calibri" w:cs="Calibri"/>
          <w:sz w:val="22"/>
          <w:szCs w:val="22"/>
        </w:rPr>
        <w:t>λ_δ</w:t>
      </w:r>
      <w:proofErr w:type="spellEnd"/>
      <w:r w:rsidRPr="00FB0B20">
        <w:rPr>
          <w:rFonts w:ascii="Calibri" w:hAnsi="Calibri" w:cs="Calibri"/>
          <w:sz w:val="22"/>
          <w:szCs w:val="22"/>
        </w:rPr>
        <w:t xml:space="preserve">; tracked through the match, these form the time-indexed path </w:t>
      </w:r>
      <w:r w:rsidRPr="00FB0B20">
        <w:rPr>
          <w:rFonts w:ascii="Calibri" w:hAnsi="Calibri" w:cs="Calibri"/>
          <w:i/>
          <w:iCs/>
          <w:sz w:val="22"/>
          <w:szCs w:val="22"/>
        </w:rPr>
        <w:t>t</w:t>
      </w:r>
      <w:r w:rsidRPr="00FB0B20">
        <w:rPr>
          <w:rFonts w:ascii="Calibri" w:hAnsi="Calibri" w:cs="Calibri"/>
          <w:sz w:val="22"/>
          <w:szCs w:val="22"/>
        </w:rPr>
        <w:t xml:space="preserve"> </w:t>
      </w:r>
      <w:r w:rsidRPr="00FB0B20">
        <w:rPr>
          <w:rFonts w:ascii="Cambria Math" w:hAnsi="Cambria Math" w:cs="Cambria Math"/>
          <w:sz w:val="22"/>
          <w:szCs w:val="22"/>
        </w:rPr>
        <w:t>↦</w:t>
      </w:r>
      <w:r w:rsidRPr="00FB0B20">
        <w:rPr>
          <w:rFonts w:ascii="Calibri" w:hAnsi="Calibri" w:cs="Calibri"/>
          <w:sz w:val="22"/>
          <w:szCs w:val="22"/>
        </w:rPr>
        <w:t xml:space="preserve"> </w:t>
      </w:r>
      <w:proofErr w:type="spellStart"/>
      <w:r w:rsidRPr="00FB0B20">
        <w:rPr>
          <w:rFonts w:ascii="Calibri" w:hAnsi="Calibri" w:cs="Calibri"/>
          <w:sz w:val="22"/>
          <w:szCs w:val="22"/>
        </w:rPr>
        <w:t>λ_δ</w:t>
      </w:r>
      <w:proofErr w:type="spellEnd"/>
      <w:r w:rsidRPr="00FB0B20">
        <w:rPr>
          <w:rFonts w:ascii="Calibri" w:hAnsi="Calibri" w:cs="Calibri"/>
          <w:sz w:val="22"/>
          <w:szCs w:val="22"/>
        </w:rPr>
        <w:t>(</w:t>
      </w:r>
      <w:r w:rsidRPr="00FB0B20">
        <w:rPr>
          <w:rFonts w:ascii="Calibri" w:hAnsi="Calibri" w:cs="Calibri"/>
          <w:i/>
          <w:iCs/>
          <w:sz w:val="22"/>
          <w:szCs w:val="22"/>
        </w:rPr>
        <w:t>t</w:t>
      </w:r>
      <w:r w:rsidRPr="00FB0B20">
        <w:rPr>
          <w:rFonts w:ascii="Calibri" w:hAnsi="Calibri" w:cs="Calibri"/>
          <w:sz w:val="22"/>
          <w:szCs w:val="22"/>
        </w:rPr>
        <w:t>), enabling CUSUM change-point detection of topological phase transitions [18].</w:t>
      </w:r>
    </w:p>
    <w:p w14:paraId="4635B1EA"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Together these constitute a practical advance in computational topology: validated multi-scale persistent homology on hierarchical, competitive, time-evolving point clouds.</w:t>
      </w:r>
    </w:p>
    <w:p w14:paraId="4FCF9E1A" w14:textId="5E7F547D"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lastRenderedPageBreak/>
        <w:t>2. Advancing Current Understanding and Generating New Knowledge</w:t>
      </w:r>
      <w:r>
        <w:rPr>
          <w:rFonts w:ascii="Calibri" w:hAnsi="Calibri" w:cs="Calibri"/>
          <w:b/>
          <w:bCs/>
          <w:sz w:val="22"/>
          <w:szCs w:val="22"/>
        </w:rPr>
        <w:t xml:space="preserve"> </w:t>
      </w:r>
      <w:r w:rsidRPr="00FB0B20">
        <w:rPr>
          <w:rFonts w:ascii="Calibri" w:hAnsi="Calibri" w:cs="Calibri"/>
          <w:sz w:val="22"/>
          <w:szCs w:val="22"/>
        </w:rPr>
        <w:t>The preprint [12] establishes that scale-specific barcodes exist and are reproducible across 10 independent matches. This proposal asks what they tell us at population scale: (</w:t>
      </w:r>
      <w:proofErr w:type="spellStart"/>
      <w:r w:rsidRPr="00FB0B20">
        <w:rPr>
          <w:rFonts w:ascii="Calibri" w:hAnsi="Calibri" w:cs="Calibri"/>
          <w:sz w:val="22"/>
          <w:szCs w:val="22"/>
        </w:rPr>
        <w:t>i</w:t>
      </w:r>
      <w:proofErr w:type="spellEnd"/>
      <w:r w:rsidRPr="00FB0B20">
        <w:rPr>
          <w:rFonts w:ascii="Calibri" w:hAnsi="Calibri" w:cs="Calibri"/>
          <w:sz w:val="22"/>
          <w:szCs w:val="22"/>
        </w:rPr>
        <w:t xml:space="preserve">) distributional laws of H₀/H₁ barcodes and landscape norms over a full Championship season (~540 matches); (ii) comparison geometry in persistence space — landscape distances that treat tactical systems as distinguishable subsets, enabling topological fingerprinting; (iii) functional dynamics of the landscape paths </w:t>
      </w:r>
      <w:r w:rsidRPr="00FB0B20">
        <w:rPr>
          <w:rFonts w:ascii="Calibri" w:hAnsi="Calibri" w:cs="Calibri"/>
          <w:i/>
          <w:iCs/>
          <w:sz w:val="22"/>
          <w:szCs w:val="22"/>
        </w:rPr>
        <w:t>t</w:t>
      </w:r>
      <w:r w:rsidRPr="00FB0B20">
        <w:rPr>
          <w:rFonts w:ascii="Calibri" w:hAnsi="Calibri" w:cs="Calibri"/>
          <w:sz w:val="22"/>
          <w:szCs w:val="22"/>
        </w:rPr>
        <w:t xml:space="preserve"> </w:t>
      </w:r>
      <w:r w:rsidRPr="00FB0B20">
        <w:rPr>
          <w:rFonts w:ascii="Cambria Math" w:hAnsi="Cambria Math" w:cs="Cambria Math"/>
          <w:sz w:val="22"/>
          <w:szCs w:val="22"/>
        </w:rPr>
        <w:t>↦</w:t>
      </w:r>
      <w:r w:rsidRPr="00FB0B20">
        <w:rPr>
          <w:rFonts w:ascii="Calibri" w:hAnsi="Calibri" w:cs="Calibri"/>
          <w:sz w:val="22"/>
          <w:szCs w:val="22"/>
        </w:rPr>
        <w:t xml:space="preserve"> </w:t>
      </w:r>
      <w:proofErr w:type="spellStart"/>
      <w:r w:rsidRPr="00FB0B20">
        <w:rPr>
          <w:rFonts w:ascii="Calibri" w:hAnsi="Calibri" w:cs="Calibri"/>
          <w:sz w:val="22"/>
          <w:szCs w:val="22"/>
        </w:rPr>
        <w:t>λ_δ</w:t>
      </w:r>
      <w:proofErr w:type="spellEnd"/>
      <w:r w:rsidRPr="00FB0B20">
        <w:rPr>
          <w:rFonts w:ascii="Calibri" w:hAnsi="Calibri" w:cs="Calibri"/>
          <w:sz w:val="22"/>
          <w:szCs w:val="22"/>
        </w:rPr>
        <w:t>(</w:t>
      </w:r>
      <w:r w:rsidRPr="00FB0B20">
        <w:rPr>
          <w:rFonts w:ascii="Calibri" w:hAnsi="Calibri" w:cs="Calibri"/>
          <w:i/>
          <w:iCs/>
          <w:sz w:val="22"/>
          <w:szCs w:val="22"/>
        </w:rPr>
        <w:t>t</w:t>
      </w:r>
      <w:r w:rsidRPr="00FB0B20">
        <w:rPr>
          <w:rFonts w:ascii="Calibri" w:hAnsi="Calibri" w:cs="Calibri"/>
          <w:sz w:val="22"/>
          <w:szCs w:val="22"/>
        </w:rPr>
        <w:t>), characterising stability regimes and transitions within matches. None of (</w:t>
      </w:r>
      <w:proofErr w:type="spellStart"/>
      <w:r w:rsidRPr="00FB0B20">
        <w:rPr>
          <w:rFonts w:ascii="Calibri" w:hAnsi="Calibri" w:cs="Calibri"/>
          <w:sz w:val="22"/>
          <w:szCs w:val="22"/>
        </w:rPr>
        <w:t>i</w:t>
      </w:r>
      <w:proofErr w:type="spellEnd"/>
      <w:r w:rsidRPr="00FB0B20">
        <w:rPr>
          <w:rFonts w:ascii="Calibri" w:hAnsi="Calibri" w:cs="Calibri"/>
          <w:sz w:val="22"/>
          <w:szCs w:val="22"/>
        </w:rPr>
        <w:t>)–(iii) is demonstrated at championship scale in the preprint; this project generates that new knowledge.</w:t>
      </w:r>
    </w:p>
    <w:p w14:paraId="6AF121E9" w14:textId="77777777" w:rsidR="00FB0B20" w:rsidRPr="00FB0B20" w:rsidRDefault="00FB0B20" w:rsidP="00FB0B20">
      <w:pPr>
        <w:spacing w:after="120"/>
        <w:jc w:val="both"/>
        <w:rPr>
          <w:rFonts w:ascii="Calibri" w:hAnsi="Calibri" w:cs="Calibri"/>
          <w:sz w:val="22"/>
          <w:szCs w:val="22"/>
        </w:rPr>
      </w:pPr>
    </w:p>
    <w:p w14:paraId="5ED4AC94" w14:textId="4A7DAB47"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3. Timeliness, Need and Opportunity</w:t>
      </w:r>
      <w:r>
        <w:rPr>
          <w:rFonts w:ascii="Calibri" w:hAnsi="Calibri" w:cs="Calibri"/>
          <w:b/>
          <w:bCs/>
          <w:sz w:val="22"/>
          <w:szCs w:val="22"/>
        </w:rPr>
        <w:t xml:space="preserve"> </w:t>
      </w:r>
      <w:proofErr w:type="gramStart"/>
      <w:r w:rsidRPr="00FB0B20">
        <w:rPr>
          <w:rFonts w:ascii="Calibri" w:hAnsi="Calibri" w:cs="Calibri"/>
          <w:sz w:val="22"/>
          <w:szCs w:val="22"/>
        </w:rPr>
        <w:t>The</w:t>
      </w:r>
      <w:proofErr w:type="gramEnd"/>
      <w:r w:rsidRPr="00FB0B20">
        <w:rPr>
          <w:rFonts w:ascii="Calibri" w:hAnsi="Calibri" w:cs="Calibri"/>
          <w:sz w:val="22"/>
          <w:szCs w:val="22"/>
        </w:rPr>
        <w:t xml:space="preserve"> </w:t>
      </w:r>
      <w:proofErr w:type="spellStart"/>
      <w:r w:rsidRPr="00FB0B20">
        <w:rPr>
          <w:rFonts w:ascii="Calibri" w:hAnsi="Calibri" w:cs="Calibri"/>
          <w:sz w:val="22"/>
          <w:szCs w:val="22"/>
        </w:rPr>
        <w:t>Botnan</w:t>
      </w:r>
      <w:proofErr w:type="spellEnd"/>
      <w:r w:rsidRPr="00FB0B20">
        <w:rPr>
          <w:rFonts w:ascii="Calibri" w:hAnsi="Calibri" w:cs="Calibri"/>
          <w:sz w:val="22"/>
          <w:szCs w:val="22"/>
        </w:rPr>
        <w:t xml:space="preserve"> and Lesnick survey [7] marks theoretical maturity in multiparameter persistence; validated workflows for competitive hierarchical systems are the gap this project addresses. Computational libraries (</w:t>
      </w:r>
      <w:proofErr w:type="spellStart"/>
      <w:r w:rsidRPr="00FB0B20">
        <w:rPr>
          <w:rFonts w:ascii="Calibri" w:hAnsi="Calibri" w:cs="Calibri"/>
          <w:sz w:val="22"/>
          <w:szCs w:val="22"/>
        </w:rPr>
        <w:t>Ripser</w:t>
      </w:r>
      <w:proofErr w:type="spellEnd"/>
      <w:r w:rsidRPr="00FB0B20">
        <w:rPr>
          <w:rFonts w:ascii="Calibri" w:hAnsi="Calibri" w:cs="Calibri"/>
          <w:sz w:val="22"/>
          <w:szCs w:val="22"/>
        </w:rPr>
        <w:t>, GUDHI) enable execution but are not the research contribution. To our knowledge, a full Championship season now makes population-level topological statistics tractable at this scale for the first time: theoretical maturity in the underlying mathematics, mature computational tooling, and season-scale competitive tracking data have only recently converged, making this project timely rather than merely feasible.</w:t>
      </w:r>
    </w:p>
    <w:p w14:paraId="274A2A97" w14:textId="74E994AC"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4. Impact</w:t>
      </w:r>
      <w:r>
        <w:rPr>
          <w:rFonts w:ascii="Calibri" w:hAnsi="Calibri" w:cs="Calibri"/>
          <w:b/>
          <w:bCs/>
          <w:sz w:val="22"/>
          <w:szCs w:val="22"/>
        </w:rPr>
        <w:t xml:space="preserve"> </w:t>
      </w:r>
      <w:r w:rsidRPr="00FB0B20">
        <w:rPr>
          <w:rFonts w:ascii="Calibri" w:hAnsi="Calibri" w:cs="Calibri"/>
          <w:sz w:val="22"/>
          <w:szCs w:val="22"/>
        </w:rPr>
        <w:t>The project strengthens UK research infrastructure in applied algebraic topology, aligned with EPSRC mathematical sciences priorities, and demonstrates mathematically driven engagement with the UK sports analytics industry. The domain-validation procedure — cutoff sweep, stability scoring, adaptive filtration — transfers to any competitive multi-agent system once characteristic interaction scales are re-derived, and the validated open-source library is released as a reusable national research asset beyond this project's own use case.</w:t>
      </w:r>
    </w:p>
    <w:p w14:paraId="09B6BCFE" w14:textId="37ECBE9E"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5. Benefits and Beneficiaries</w:t>
      </w:r>
      <w:r>
        <w:rPr>
          <w:rFonts w:ascii="Calibri" w:hAnsi="Calibri" w:cs="Calibri"/>
          <w:b/>
          <w:bCs/>
          <w:sz w:val="22"/>
          <w:szCs w:val="22"/>
        </w:rPr>
        <w:t xml:space="preserve"> </w:t>
      </w:r>
      <w:r w:rsidRPr="00FB0B20">
        <w:rPr>
          <w:rFonts w:ascii="Calibri" w:hAnsi="Calibri" w:cs="Calibri"/>
          <w:i/>
          <w:iCs/>
          <w:sz w:val="22"/>
          <w:szCs w:val="22"/>
        </w:rPr>
        <w:t>Direct beneficiaries</w:t>
      </w:r>
      <w:r w:rsidRPr="00FB0B20">
        <w:rPr>
          <w:rFonts w:ascii="Calibri" w:hAnsi="Calibri" w:cs="Calibri"/>
          <w:sz w:val="22"/>
          <w:szCs w:val="22"/>
        </w:rPr>
        <w:t>: the mathematical sciences community, through a validated open-source library for multi-scale homology on competitive point clouds; sports analytics practitioners, notably Swansea City AFC performance analysts as co-development partner, who receive practitioner-interpretable visualisations of pressing structures, formation gaps, and defensive-line organisation that standard geometric descriptors (team length, width, convex-hull area) do not directly quantify; and the wider sports analytics research community.</w:t>
      </w:r>
    </w:p>
    <w:p w14:paraId="56054590" w14:textId="73C93713" w:rsidR="00FB0B20" w:rsidRPr="00FB0B20" w:rsidRDefault="00FB0B20" w:rsidP="00FB0B20">
      <w:pPr>
        <w:spacing w:after="120"/>
        <w:jc w:val="both"/>
        <w:rPr>
          <w:rFonts w:ascii="Calibri" w:hAnsi="Calibri" w:cs="Calibri"/>
          <w:sz w:val="22"/>
          <w:szCs w:val="22"/>
        </w:rPr>
      </w:pPr>
      <w:r w:rsidRPr="00FB0B20">
        <w:rPr>
          <w:rFonts w:ascii="Calibri" w:hAnsi="Calibri" w:cs="Calibri"/>
          <w:i/>
          <w:iCs/>
          <w:sz w:val="22"/>
          <w:szCs w:val="22"/>
        </w:rPr>
        <w:t>Longer-term beneficiaries</w:t>
      </w:r>
      <w:r w:rsidRPr="00FB0B20">
        <w:rPr>
          <w:rFonts w:ascii="Calibri" w:hAnsi="Calibri" w:cs="Calibri"/>
          <w:sz w:val="22"/>
          <w:szCs w:val="22"/>
        </w:rPr>
        <w:t>: operators of other competitive multi-agent domains, once characteristic interaction scales are re-derived for their setting; the proposed Standard Grant programme (§6, O4), for which this project provides the full-season evidence base; and industry users adopting the open-source pipeline for their own competitive-system analyses.</w:t>
      </w:r>
    </w:p>
    <w:p w14:paraId="72D42E9C" w14:textId="77777777" w:rsidR="00FB0B20" w:rsidRPr="00FB0B20" w:rsidRDefault="00FB0B20" w:rsidP="00FB0B20">
      <w:pPr>
        <w:spacing w:after="120"/>
        <w:jc w:val="both"/>
        <w:rPr>
          <w:rFonts w:ascii="Calibri" w:hAnsi="Calibri" w:cs="Calibri"/>
          <w:sz w:val="22"/>
          <w:szCs w:val="22"/>
        </w:rPr>
      </w:pPr>
    </w:p>
    <w:p w14:paraId="510D0617" w14:textId="399D87F4" w:rsidR="00FB0B20" w:rsidRPr="009903B5" w:rsidRDefault="00FB0B20" w:rsidP="00FB0B20">
      <w:pPr>
        <w:spacing w:after="120"/>
        <w:jc w:val="both"/>
        <w:rPr>
          <w:rFonts w:ascii="Calibri" w:hAnsi="Calibri" w:cs="Calibri"/>
          <w:b/>
          <w:bCs/>
          <w:sz w:val="22"/>
          <w:szCs w:val="22"/>
        </w:rPr>
      </w:pPr>
      <w:r w:rsidRPr="009903B5">
        <w:rPr>
          <w:rFonts w:ascii="Calibri" w:hAnsi="Calibri" w:cs="Calibri"/>
          <w:b/>
          <w:bCs/>
          <w:sz w:val="22"/>
          <w:szCs w:val="22"/>
        </w:rPr>
        <w:t>APPROACH</w:t>
      </w:r>
    </w:p>
    <w:p w14:paraId="12CDB8DD" w14:textId="0BFFEC5F"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6. Research Design and Objectives</w:t>
      </w:r>
      <w:r>
        <w:rPr>
          <w:rFonts w:ascii="Calibri" w:hAnsi="Calibri" w:cs="Calibri"/>
          <w:b/>
          <w:bCs/>
          <w:sz w:val="22"/>
          <w:szCs w:val="22"/>
        </w:rPr>
        <w:t xml:space="preserve"> </w:t>
      </w:r>
      <w:r w:rsidRPr="00FB0B20">
        <w:rPr>
          <w:rFonts w:ascii="Calibri" w:hAnsi="Calibri" w:cs="Calibri"/>
          <w:i/>
          <w:iCs/>
          <w:sz w:val="22"/>
          <w:szCs w:val="22"/>
        </w:rPr>
        <w:t>Project Structure and Team</w:t>
      </w:r>
      <w:r w:rsidRPr="00FB0B20">
        <w:rPr>
          <w:rFonts w:ascii="Calibri" w:hAnsi="Calibri" w:cs="Calibri"/>
          <w:sz w:val="22"/>
          <w:szCs w:val="22"/>
        </w:rPr>
        <w:t>. This 12-month project involves: (</w:t>
      </w:r>
      <w:proofErr w:type="spellStart"/>
      <w:r w:rsidRPr="00FB0B20">
        <w:rPr>
          <w:rFonts w:ascii="Calibri" w:hAnsi="Calibri" w:cs="Calibri"/>
          <w:sz w:val="22"/>
          <w:szCs w:val="22"/>
        </w:rPr>
        <w:t>i</w:t>
      </w:r>
      <w:proofErr w:type="spellEnd"/>
      <w:r w:rsidRPr="00FB0B20">
        <w:rPr>
          <w:rFonts w:ascii="Calibri" w:hAnsi="Calibri" w:cs="Calibri"/>
          <w:sz w:val="22"/>
          <w:szCs w:val="22"/>
        </w:rPr>
        <w:t xml:space="preserve">) the PI (0.2 FTE), framework development, analysis oversight, and publication; (ii) two Co-Investigators (0.25 FTE combined), statistical and domain expertise; (iii) a Research Associate (1.0 FTE, 9 months, Months 2–10), pipeline implementation, full-season analysis, and landscape library development; (iv) partnership with Swansea City AFC and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(Championship tracking data and formation labels). Four integrated objectives are pursued (three research objectives plus one strategic output).</w:t>
      </w:r>
    </w:p>
    <w:p w14:paraId="37E704D6" w14:textId="25AB1267"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Sample-size rationale.</w:t>
      </w:r>
      <w:r w:rsidRPr="00FB0B20">
        <w:rPr>
          <w:rFonts w:ascii="Calibri" w:hAnsi="Calibri" w:cs="Calibri"/>
          <w:sz w:val="22"/>
          <w:szCs w:val="22"/>
        </w:rPr>
        <w:t xml:space="preserve"> A full Championship season (~540 matches) supports subgroup inference (n ≈ 32 matches per stratum for 95% CI half-width 0.025 on tactical-scale H₁ presence; pilot across-match </w:t>
      </w:r>
      <w:proofErr w:type="spellStart"/>
      <w:r w:rsidRPr="00FB0B20">
        <w:rPr>
          <w:rFonts w:ascii="Calibri" w:hAnsi="Calibri" w:cs="Calibri"/>
          <w:sz w:val="22"/>
          <w:szCs w:val="22"/>
        </w:rPr>
        <w:t>s.d.</w:t>
      </w:r>
      <w:proofErr w:type="spellEnd"/>
      <w:r w:rsidRPr="00FB0B20">
        <w:rPr>
          <w:rFonts w:ascii="Calibri" w:hAnsi="Calibri" w:cs="Calibri"/>
          <w:sz w:val="22"/>
          <w:szCs w:val="22"/>
        </w:rPr>
        <w:t xml:space="preserve"> 0.072) and powers O2 landscape comparisons (effect size Cohen's </w:t>
      </w:r>
      <w:r w:rsidRPr="00FB0B20">
        <w:rPr>
          <w:rFonts w:ascii="Calibri" w:hAnsi="Calibri" w:cs="Calibri"/>
          <w:i/>
          <w:iCs/>
          <w:sz w:val="22"/>
          <w:szCs w:val="22"/>
        </w:rPr>
        <w:t>d</w:t>
      </w:r>
      <w:r w:rsidRPr="00FB0B20">
        <w:rPr>
          <w:rFonts w:ascii="Calibri" w:hAnsi="Calibri" w:cs="Calibri"/>
          <w:sz w:val="22"/>
          <w:szCs w:val="22"/>
        </w:rPr>
        <w:t xml:space="preserve"> ≥ 0.30 at power 0.80, α = 0.05, Benjamini–Hochberg FDR correction; n ≈ 180 matches per tactical class). A pilot linear mixed model of the within-match half-effect on tactical-scale H₁ persistence (β̂₁ = −0.081, stratified permutation </w:t>
      </w:r>
      <w:r w:rsidRPr="00FB0B20">
        <w:rPr>
          <w:rFonts w:ascii="Calibri" w:hAnsi="Calibri" w:cs="Calibri"/>
          <w:i/>
          <w:iCs/>
          <w:sz w:val="22"/>
          <w:szCs w:val="22"/>
        </w:rPr>
        <w:t>p</w:t>
      </w:r>
      <w:r w:rsidRPr="00FB0B20">
        <w:rPr>
          <w:rFonts w:ascii="Calibri" w:hAnsi="Calibri" w:cs="Calibri"/>
          <w:sz w:val="22"/>
          <w:szCs w:val="22"/>
        </w:rPr>
        <w:t xml:space="preserve"> = 0.051 [12]) is borderline at α = 0.05 and consistent with match-specific dynamics; season-scale replication resolves it.</w:t>
      </w:r>
    </w:p>
    <w:p w14:paraId="11064753" w14:textId="019838ED"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lastRenderedPageBreak/>
        <w:t>Objectives</w:t>
      </w:r>
      <w:r w:rsidRPr="00FB0B20">
        <w:rPr>
          <w:rFonts w:ascii="Calibri" w:hAnsi="Calibri" w:cs="Calibri"/>
          <w:sz w:val="22"/>
          <w:szCs w:val="22"/>
        </w:rPr>
        <w:t>. Building on the validated multi-scale framework of Brown et al. [12] and persistence landscape methods of Bubenik [10] and Chazal et al. [11]:</w:t>
      </w:r>
    </w:p>
    <w:p w14:paraId="29C591A9" w14:textId="1697B9E0"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O1 — Population-level topological statistics</w:t>
      </w:r>
      <w:r w:rsidRPr="00FB0B20">
        <w:rPr>
          <w:rFonts w:ascii="Calibri" w:hAnsi="Calibri" w:cs="Calibri"/>
          <w:sz w:val="22"/>
          <w:szCs w:val="22"/>
        </w:rPr>
        <w:t xml:space="preserve"> (PI and RA, Months 1–10): Scale the validated pipeline [12] to a full Championship season. Establish how topological features vary across hundreds of matches and how they relate to standard tactical descriptors from partner data. PI establishes the Supercomputing Wales concurrent pipeline in Month 1; a 20-match Championship batch (Months 1–2) re-validates cutoffs per [12] before full-season execution — stability scores below 0.80 trigger re-derivation, gating downstream work. RA (Months 2–7) processes the full season (barcode database complete by Month 7). PI conducts exploratory joint analysis (Months 5–7). </w:t>
      </w:r>
      <w:r w:rsidRPr="00FB0B20">
        <w:rPr>
          <w:rFonts w:ascii="Calibri" w:hAnsi="Calibri" w:cs="Calibri"/>
          <w:i/>
          <w:iCs/>
          <w:sz w:val="22"/>
          <w:szCs w:val="22"/>
        </w:rPr>
        <w:t>Milestone: cutoff gate (Month 2); barcode database (Month 7).</w:t>
      </w:r>
    </w:p>
    <w:p w14:paraId="75C33006" w14:textId="46772C30"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O2 — Topological fingerprinting</w:t>
      </w:r>
      <w:r w:rsidRPr="00FB0B20">
        <w:rPr>
          <w:rFonts w:ascii="Calibri" w:hAnsi="Calibri" w:cs="Calibri"/>
          <w:sz w:val="22"/>
          <w:szCs w:val="22"/>
        </w:rPr>
        <w:t xml:space="preserve"> (PI, Months 6–9): Can different formation systems be distinguished by topological signatures? Formation labels from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and </w:t>
      </w:r>
      <w:proofErr w:type="spellStart"/>
      <w:r w:rsidRPr="00FB0B20">
        <w:rPr>
          <w:rFonts w:ascii="Calibri" w:hAnsi="Calibri" w:cs="Calibri"/>
          <w:sz w:val="22"/>
          <w:szCs w:val="22"/>
        </w:rPr>
        <w:t>SkillCorner</w:t>
      </w:r>
      <w:proofErr w:type="spellEnd"/>
      <w:r w:rsidRPr="00FB0B20">
        <w:rPr>
          <w:rFonts w:ascii="Calibri" w:hAnsi="Calibri" w:cs="Calibri"/>
          <w:sz w:val="22"/>
          <w:szCs w:val="22"/>
        </w:rPr>
        <w:t>; inter-rater agreement between the two label feeds (Cohen's κ) computed before confirmatory tests; hypotheses pre-registered on the Open Science Framework (OSF) in Month 2. Success criteria: distinct signatures for ≥3 tactical configurations; statistically significant between-system differences after Benjamini–Hochberg multiple-comparison correction (</w:t>
      </w:r>
      <w:r w:rsidRPr="00FB0B20">
        <w:rPr>
          <w:rFonts w:ascii="Calibri" w:hAnsi="Calibri" w:cs="Calibri"/>
          <w:i/>
          <w:iCs/>
          <w:sz w:val="22"/>
          <w:szCs w:val="22"/>
        </w:rPr>
        <w:t>p</w:t>
      </w:r>
      <w:r w:rsidRPr="00FB0B20">
        <w:rPr>
          <w:rFonts w:ascii="Calibri" w:hAnsi="Calibri" w:cs="Calibri"/>
          <w:sz w:val="22"/>
          <w:szCs w:val="22"/>
        </w:rPr>
        <w:t xml:space="preserve"> &lt; 0.05); topological measures add information beyond team length, width, and convex-hull area. Formation types are compared by standard L² distance between their averaged landscape summaries [10,11] and by vectorised diagram-image features, benchmarked against conventional team-shape metrics (§8). </w:t>
      </w:r>
      <w:r w:rsidRPr="00FB0B20">
        <w:rPr>
          <w:rFonts w:ascii="Calibri" w:hAnsi="Calibri" w:cs="Calibri"/>
          <w:i/>
          <w:iCs/>
          <w:sz w:val="22"/>
          <w:szCs w:val="22"/>
        </w:rPr>
        <w:t>Milestone: OSF pre-registration (Month 2); fingerprint results (Month 9).</w:t>
      </w:r>
    </w:p>
    <w:p w14:paraId="5E0895D9" w14:textId="198E82A1"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O3 — Temporal dynamics and phase transitions</w:t>
      </w:r>
      <w:r w:rsidRPr="00FB0B20">
        <w:rPr>
          <w:rFonts w:ascii="Calibri" w:hAnsi="Calibri" w:cs="Calibri"/>
          <w:sz w:val="22"/>
          <w:szCs w:val="22"/>
        </w:rPr>
        <w:t xml:space="preserve"> (PI and RA, Months 4–10): How does topological structure evolve within matches, and do detected transitions align with tactical events (substitutions, formation changes)? RA implements landscape tracking for within-match paths </w:t>
      </w:r>
      <w:r w:rsidRPr="00FB0B20">
        <w:rPr>
          <w:rFonts w:ascii="Calibri" w:hAnsi="Calibri" w:cs="Calibri"/>
          <w:i/>
          <w:iCs/>
          <w:sz w:val="22"/>
          <w:szCs w:val="22"/>
        </w:rPr>
        <w:t>t</w:t>
      </w:r>
      <w:r w:rsidRPr="00FB0B20">
        <w:rPr>
          <w:rFonts w:ascii="Calibri" w:hAnsi="Calibri" w:cs="Calibri"/>
          <w:sz w:val="22"/>
          <w:szCs w:val="22"/>
        </w:rPr>
        <w:t xml:space="preserve"> </w:t>
      </w:r>
      <w:r w:rsidRPr="00FB0B20">
        <w:rPr>
          <w:rFonts w:ascii="Cambria Math" w:hAnsi="Cambria Math" w:cs="Cambria Math"/>
          <w:sz w:val="22"/>
          <w:szCs w:val="22"/>
        </w:rPr>
        <w:t>↦</w:t>
      </w:r>
      <w:r w:rsidRPr="00FB0B20">
        <w:rPr>
          <w:rFonts w:ascii="Calibri" w:hAnsi="Calibri" w:cs="Calibri"/>
          <w:sz w:val="22"/>
          <w:szCs w:val="22"/>
        </w:rPr>
        <w:t xml:space="preserve"> </w:t>
      </w:r>
      <w:proofErr w:type="spellStart"/>
      <w:r w:rsidRPr="00FB0B20">
        <w:rPr>
          <w:rFonts w:ascii="Calibri" w:hAnsi="Calibri" w:cs="Calibri"/>
          <w:sz w:val="22"/>
          <w:szCs w:val="22"/>
        </w:rPr>
        <w:t>λ_δ</w:t>
      </w:r>
      <w:proofErr w:type="spellEnd"/>
      <w:r w:rsidRPr="00FB0B20">
        <w:rPr>
          <w:rFonts w:ascii="Calibri" w:hAnsi="Calibri" w:cs="Calibri"/>
          <w:sz w:val="22"/>
          <w:szCs w:val="22"/>
        </w:rPr>
        <w:t>(</w:t>
      </w:r>
      <w:r w:rsidRPr="00FB0B20">
        <w:rPr>
          <w:rFonts w:ascii="Calibri" w:hAnsi="Calibri" w:cs="Calibri"/>
          <w:i/>
          <w:iCs/>
          <w:sz w:val="22"/>
          <w:szCs w:val="22"/>
        </w:rPr>
        <w:t>t</w:t>
      </w:r>
      <w:r w:rsidRPr="00FB0B20">
        <w:rPr>
          <w:rFonts w:ascii="Calibri" w:hAnsi="Calibri" w:cs="Calibri"/>
          <w:sz w:val="22"/>
          <w:szCs w:val="22"/>
        </w:rPr>
        <w:t>) (Months 6–10); PI applies functional PCA [17] and CUSUM change-point detection [18], with bootstrap calibration [11]. Mathematical targets: well-</w:t>
      </w:r>
      <w:proofErr w:type="spellStart"/>
      <w:r w:rsidRPr="00FB0B20">
        <w:rPr>
          <w:rFonts w:ascii="Calibri" w:hAnsi="Calibri" w:cs="Calibri"/>
          <w:sz w:val="22"/>
          <w:szCs w:val="22"/>
        </w:rPr>
        <w:t>posedness</w:t>
      </w:r>
      <w:proofErr w:type="spellEnd"/>
      <w:r w:rsidRPr="00FB0B20">
        <w:rPr>
          <w:rFonts w:ascii="Calibri" w:hAnsi="Calibri" w:cs="Calibri"/>
          <w:sz w:val="22"/>
          <w:szCs w:val="22"/>
        </w:rPr>
        <w:t xml:space="preserve"> of the Fréchet mean under competitive sequential paths extending [11], and a stability bound for the CUSUM statistic under Wasserstein diagram perturbations. Success criteria: CUSUM change-points align with tactical annotations at ≥70% agreement in randomly held-out match sub-samples (permutation </w:t>
      </w:r>
      <w:r w:rsidRPr="00FB0B20">
        <w:rPr>
          <w:rFonts w:ascii="Calibri" w:hAnsi="Calibri" w:cs="Calibri"/>
          <w:i/>
          <w:iCs/>
          <w:sz w:val="22"/>
          <w:szCs w:val="22"/>
        </w:rPr>
        <w:t>p</w:t>
      </w:r>
      <w:r w:rsidRPr="00FB0B20">
        <w:rPr>
          <w:rFonts w:ascii="Calibri" w:hAnsi="Calibri" w:cs="Calibri"/>
          <w:sz w:val="22"/>
          <w:szCs w:val="22"/>
        </w:rPr>
        <w:t xml:space="preserve"> &lt; 0.05). Wasserstein comparison is the defined fallback if landscape extension requires development beyond [10,11]. </w:t>
      </w:r>
      <w:r w:rsidRPr="00FB0B20">
        <w:rPr>
          <w:rFonts w:ascii="Calibri" w:hAnsi="Calibri" w:cs="Calibri"/>
          <w:i/>
          <w:iCs/>
          <w:sz w:val="22"/>
          <w:szCs w:val="22"/>
        </w:rPr>
        <w:t>Milestone: landscape module (Month 8); combined O2/O3 outputs (Month 9).</w:t>
      </w:r>
    </w:p>
    <w:p w14:paraId="7A8C30B3" w14:textId="63C5AB68" w:rsidR="00FB0B20" w:rsidRPr="00FB0B20" w:rsidRDefault="00FB0B20" w:rsidP="00FB0B20">
      <w:pPr>
        <w:spacing w:after="120"/>
        <w:jc w:val="both"/>
        <w:rPr>
          <w:rFonts w:ascii="Calibri" w:hAnsi="Calibri" w:cs="Calibri"/>
          <w:sz w:val="22"/>
          <w:szCs w:val="22"/>
        </w:rPr>
      </w:pPr>
      <w:r w:rsidRPr="00FB0B20">
        <w:rPr>
          <w:rFonts w:ascii="Calibri" w:hAnsi="Calibri" w:cs="Calibri"/>
          <w:b/>
          <w:bCs/>
          <w:i/>
          <w:iCs/>
          <w:sz w:val="22"/>
          <w:szCs w:val="22"/>
        </w:rPr>
        <w:t>O4 — Standard Grant evidence synthesis</w:t>
      </w:r>
      <w:r w:rsidRPr="00FB0B20">
        <w:rPr>
          <w:rFonts w:ascii="Calibri" w:hAnsi="Calibri" w:cs="Calibri"/>
          <w:sz w:val="22"/>
          <w:szCs w:val="22"/>
        </w:rPr>
        <w:t xml:space="preserve"> (PI, Months 9–12): Standard Grant preparation begins in Month 9, compiling full-season results into a reproducible evidence base for a separate follow-on application extending the framework to broader competitive multi-agent systems where domain-validated scales can be re-derived. Submission is targeted within 12 months of project completion. O1–O3 are standalone publishable contributions independently of this strategic output. </w:t>
      </w:r>
      <w:r w:rsidRPr="00FB0B20">
        <w:rPr>
          <w:rFonts w:ascii="Calibri" w:hAnsi="Calibri" w:cs="Calibri"/>
          <w:i/>
          <w:iCs/>
          <w:sz w:val="22"/>
          <w:szCs w:val="22"/>
        </w:rPr>
        <w:t>Milestone: evidence pack (Month 12).</w:t>
      </w:r>
    </w:p>
    <w:p w14:paraId="25DD98ED" w14:textId="3CAA13C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7. Building on Previous Work</w:t>
      </w:r>
      <w:r>
        <w:rPr>
          <w:rFonts w:ascii="Calibri" w:hAnsi="Calibri" w:cs="Calibri"/>
          <w:b/>
          <w:bCs/>
          <w:sz w:val="22"/>
          <w:szCs w:val="22"/>
        </w:rPr>
        <w:t xml:space="preserve"> </w:t>
      </w:r>
      <w:r w:rsidRPr="00FB0B20">
        <w:rPr>
          <w:rFonts w:ascii="Calibri" w:hAnsi="Calibri" w:cs="Calibri"/>
          <w:i/>
          <w:iCs/>
          <w:sz w:val="22"/>
          <w:szCs w:val="22"/>
        </w:rPr>
        <w:t>Preliminary Validation</w:t>
      </w:r>
      <w:r w:rsidRPr="00FB0B20">
        <w:rPr>
          <w:rFonts w:ascii="Calibri" w:hAnsi="Calibri" w:cs="Calibri"/>
          <w:sz w:val="22"/>
          <w:szCs w:val="22"/>
        </w:rPr>
        <w:t>. The framework is validated across 10 professional football matches (</w:t>
      </w:r>
      <w:proofErr w:type="spellStart"/>
      <w:r w:rsidRPr="00FB0B20">
        <w:rPr>
          <w:rFonts w:ascii="Calibri" w:hAnsi="Calibri" w:cs="Calibri"/>
          <w:sz w:val="22"/>
          <w:szCs w:val="22"/>
        </w:rPr>
        <w:t>SkillCorner</w:t>
      </w:r>
      <w:proofErr w:type="spellEnd"/>
      <w:r w:rsidRPr="00FB0B20">
        <w:rPr>
          <w:rFonts w:ascii="Calibri" w:hAnsi="Calibri" w:cs="Calibri"/>
          <w:sz w:val="22"/>
          <w:szCs w:val="22"/>
        </w:rPr>
        <w:t xml:space="preserve"> open broadcast tracking, 10 Hz; 104,722 event–topology pairs) [12] — an ideal testbed with high-frequency spatial measurements and established positional standards [13,14]. Two H₁ regimes emerge: individual-scale loops are near-universal and transient (97.0% ± 1.5% frame presence; 95.3%, 143/150 frames in the primary match); tactical-scale loops are rarer but geometrically more persistent (19.3% ± 7.2%; 12.7%, 19/150 in the primary match; mean persistence 3.80 m (tactical) vs 1.98 m (individual)). Scale non-redundancy is confirmed (Spearman ρ = 0.264, 95% bootstrap CI [0.200, 0.314]). Topological features respond coherently to match dynamics — on-ball engagements and quick breaks are associated with decreased persistence, build-up phases with increased persistence (</w:t>
      </w:r>
      <w:r w:rsidRPr="00FB0B20">
        <w:rPr>
          <w:rFonts w:ascii="Calibri" w:hAnsi="Calibri" w:cs="Calibri"/>
          <w:i/>
          <w:iCs/>
          <w:sz w:val="22"/>
          <w:szCs w:val="22"/>
        </w:rPr>
        <w:t>p</w:t>
      </w:r>
      <w:r w:rsidRPr="00FB0B20">
        <w:rPr>
          <w:rFonts w:ascii="Calibri" w:hAnsi="Calibri" w:cs="Calibri"/>
          <w:sz w:val="22"/>
          <w:szCs w:val="22"/>
        </w:rPr>
        <w:t xml:space="preserve"> &lt; 0.001 for both). Temporal persistence dynamics are match-specific rather than universal; the framework provides systematic tools to quantify this variation [12]. All pilot data are public; the Python pipeline will be </w:t>
      </w:r>
      <w:proofErr w:type="gramStart"/>
      <w:r w:rsidRPr="00FB0B20">
        <w:rPr>
          <w:rFonts w:ascii="Calibri" w:hAnsi="Calibri" w:cs="Calibri"/>
          <w:sz w:val="22"/>
          <w:szCs w:val="22"/>
        </w:rPr>
        <w:t>open-source</w:t>
      </w:r>
      <w:proofErr w:type="gramEnd"/>
      <w:r w:rsidRPr="00FB0B20">
        <w:rPr>
          <w:rFonts w:ascii="Calibri" w:hAnsi="Calibri" w:cs="Calibri"/>
          <w:sz w:val="22"/>
          <w:szCs w:val="22"/>
        </w:rPr>
        <w:t xml:space="preserve"> released with journal submission.</w:t>
      </w:r>
    </w:p>
    <w:p w14:paraId="36DE3403" w14:textId="056A362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lastRenderedPageBreak/>
        <w:t xml:space="preserve">This validated foundation is what Objectives 1–3 (§6) </w:t>
      </w:r>
      <w:proofErr w:type="gramStart"/>
      <w:r w:rsidRPr="00FB0B20">
        <w:rPr>
          <w:rFonts w:ascii="Calibri" w:hAnsi="Calibri" w:cs="Calibri"/>
          <w:sz w:val="22"/>
          <w:szCs w:val="22"/>
        </w:rPr>
        <w:t>build</w:t>
      </w:r>
      <w:proofErr w:type="gramEnd"/>
      <w:r w:rsidRPr="00FB0B20">
        <w:rPr>
          <w:rFonts w:ascii="Calibri" w:hAnsi="Calibri" w:cs="Calibri"/>
          <w:sz w:val="22"/>
          <w:szCs w:val="22"/>
        </w:rPr>
        <w:t xml:space="preserve"> upon and progress: from a 10-match proof of concept to full-season distributional statistics (O1), from detection to classification (O2), and from single-diagram summaries to functional dynamics (O3).</w:t>
      </w:r>
    </w:p>
    <w:p w14:paraId="4AA50D34" w14:textId="4DCA50F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8. Methodology</w:t>
      </w:r>
      <w:r>
        <w:rPr>
          <w:rFonts w:ascii="Calibri" w:hAnsi="Calibri" w:cs="Calibri"/>
          <w:b/>
          <w:bCs/>
          <w:sz w:val="22"/>
          <w:szCs w:val="22"/>
        </w:rPr>
        <w:t xml:space="preserve"> </w:t>
      </w:r>
      <w:r w:rsidRPr="00FB0B20">
        <w:rPr>
          <w:rFonts w:ascii="Calibri" w:hAnsi="Calibri" w:cs="Calibri"/>
          <w:sz w:val="22"/>
          <w:szCs w:val="22"/>
        </w:rPr>
        <w:t>The containerised Python pipeline (</w:t>
      </w:r>
      <w:proofErr w:type="spellStart"/>
      <w:r w:rsidRPr="00FB0B20">
        <w:rPr>
          <w:rFonts w:ascii="Calibri" w:hAnsi="Calibri" w:cs="Calibri"/>
          <w:sz w:val="22"/>
          <w:szCs w:val="22"/>
        </w:rPr>
        <w:t>Ripser</w:t>
      </w:r>
      <w:proofErr w:type="spellEnd"/>
      <w:r w:rsidRPr="00FB0B20">
        <w:rPr>
          <w:rFonts w:ascii="Calibri" w:hAnsi="Calibri" w:cs="Calibri"/>
          <w:sz w:val="22"/>
          <w:szCs w:val="22"/>
        </w:rPr>
        <w:t xml:space="preserve"> [15], GUDHI, </w:t>
      </w:r>
      <w:proofErr w:type="spellStart"/>
      <w:r w:rsidRPr="00FB0B20">
        <w:rPr>
          <w:rFonts w:ascii="Calibri" w:hAnsi="Calibri" w:cs="Calibri"/>
          <w:sz w:val="22"/>
          <w:szCs w:val="22"/>
        </w:rPr>
        <w:t>giotto-tda</w:t>
      </w:r>
      <w:proofErr w:type="spellEnd"/>
      <w:r w:rsidRPr="00FB0B20">
        <w:rPr>
          <w:rFonts w:ascii="Calibri" w:hAnsi="Calibri" w:cs="Calibri"/>
          <w:sz w:val="22"/>
          <w:szCs w:val="22"/>
        </w:rPr>
        <w:t xml:space="preserve"> [16]; &lt;2 s per frame) processes tracking data through clustering, adaptive filtration, barcode computation, and persistence comparisons (diagram-image features, L² distance between averaged landscapes, ANCOVA baselines). The Month 1–2 gate confirms cutoff transferability and 1 Hz production fidelity before full-season commitment. Computational infrastructure and data-access arrangements are detailed in §12.</w:t>
      </w:r>
    </w:p>
    <w:p w14:paraId="2AF44353" w14:textId="026199C5" w:rsidR="00FB0B20" w:rsidRPr="00FB0B20" w:rsidRDefault="00FB0B20" w:rsidP="00FB0B20">
      <w:pPr>
        <w:spacing w:after="120"/>
        <w:jc w:val="both"/>
        <w:rPr>
          <w:rFonts w:ascii="Calibri" w:hAnsi="Calibri" w:cs="Calibri"/>
          <w:b/>
          <w:bCs/>
          <w:sz w:val="22"/>
          <w:szCs w:val="22"/>
        </w:rPr>
      </w:pPr>
      <w:r w:rsidRPr="00FB0B20">
        <w:rPr>
          <w:rFonts w:ascii="Calibri" w:hAnsi="Calibri" w:cs="Calibri"/>
          <w:b/>
          <w:bCs/>
          <w:sz w:val="22"/>
          <w:szCs w:val="22"/>
        </w:rPr>
        <w:t>9. Feasibility and Risk Management</w:t>
      </w:r>
    </w:p>
    <w:p w14:paraId="3C1F93FF"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Risk | Likelihood | Impact | Mitigation |</w:t>
      </w:r>
    </w:p>
    <w:p w14:paraId="227D66B2"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w:t>
      </w:r>
    </w:p>
    <w:p w14:paraId="3FD971F6"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xml:space="preserve">| Data access | Low | High |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agreement confirmed for 2024/25; ~270-match contingency remains publishable for O1 (O2 reported as exploratory only under contingency) |</w:t>
      </w:r>
    </w:p>
    <w:p w14:paraId="13F5C628"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Scale transferability | Medium | Medium | Month 2 validation gate re-derives cutoffs on Championship data |</w:t>
      </w:r>
    </w:p>
    <w:p w14:paraId="56BFB390" w14:textId="77777777" w:rsidR="00FB0B20" w:rsidRPr="00FB0B20" w:rsidRDefault="00FB0B20" w:rsidP="00FB0B20">
      <w:pPr>
        <w:spacing w:after="120"/>
        <w:jc w:val="both"/>
        <w:rPr>
          <w:rFonts w:ascii="Calibri" w:hAnsi="Calibri" w:cs="Calibri"/>
          <w:sz w:val="22"/>
          <w:szCs w:val="22"/>
        </w:rPr>
      </w:pPr>
      <w:r w:rsidRPr="00FB0B20">
        <w:rPr>
          <w:rFonts w:ascii="Calibri" w:hAnsi="Calibri" w:cs="Calibri"/>
          <w:sz w:val="22"/>
          <w:szCs w:val="22"/>
        </w:rPr>
        <w:t>| Formation-label noise | Medium | Medium | Dual-source verification (</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and </w:t>
      </w:r>
      <w:proofErr w:type="spellStart"/>
      <w:r w:rsidRPr="00FB0B20">
        <w:rPr>
          <w:rFonts w:ascii="Calibri" w:hAnsi="Calibri" w:cs="Calibri"/>
          <w:sz w:val="22"/>
          <w:szCs w:val="22"/>
        </w:rPr>
        <w:t>SkillCorner</w:t>
      </w:r>
      <w:proofErr w:type="spellEnd"/>
      <w:r w:rsidRPr="00FB0B20">
        <w:rPr>
          <w:rFonts w:ascii="Calibri" w:hAnsi="Calibri" w:cs="Calibri"/>
          <w:sz w:val="22"/>
          <w:szCs w:val="22"/>
        </w:rPr>
        <w:t>), parallel unsupervised landscape clustering, pre-registered exclusion protocol |</w:t>
      </w:r>
    </w:p>
    <w:p w14:paraId="44B29DE8" w14:textId="6AA2DEEE" w:rsidR="00FB0B20" w:rsidRDefault="00FB0B20" w:rsidP="00FB0B20">
      <w:pPr>
        <w:spacing w:after="120"/>
        <w:jc w:val="both"/>
        <w:rPr>
          <w:rFonts w:ascii="Calibri" w:hAnsi="Calibri" w:cs="Calibri"/>
          <w:sz w:val="22"/>
          <w:szCs w:val="22"/>
        </w:rPr>
      </w:pPr>
      <w:r w:rsidRPr="00FB0B20">
        <w:rPr>
          <w:rFonts w:ascii="Calibri" w:hAnsi="Calibri" w:cs="Calibri"/>
          <w:sz w:val="22"/>
          <w:szCs w:val="22"/>
        </w:rPr>
        <w:t>| Landscape theory | Medium | Medium | Wasserstein fallback preserves O3 if sequential landscape extension requires additional development |</w:t>
      </w:r>
    </w:p>
    <w:p w14:paraId="4E522161" w14:textId="77777777" w:rsidR="00FB0B20" w:rsidRPr="00FB0B20" w:rsidRDefault="00FB0B20" w:rsidP="00FB0B20">
      <w:pPr>
        <w:spacing w:after="120"/>
        <w:jc w:val="both"/>
        <w:rPr>
          <w:rFonts w:ascii="Calibri" w:hAnsi="Calibri" w:cs="Calibri"/>
          <w:sz w:val="22"/>
          <w:szCs w:val="22"/>
        </w:rPr>
      </w:pPr>
    </w:p>
    <w:p w14:paraId="0BBD30D5" w14:textId="7338F1D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10. Translation to Outcomes and Impact</w:t>
      </w:r>
      <w:r>
        <w:rPr>
          <w:rFonts w:ascii="Calibri" w:hAnsi="Calibri" w:cs="Calibri"/>
          <w:b/>
          <w:bCs/>
          <w:sz w:val="22"/>
          <w:szCs w:val="22"/>
        </w:rPr>
        <w:t xml:space="preserve"> </w:t>
      </w:r>
      <w:r w:rsidRPr="00FB0B20">
        <w:rPr>
          <w:rFonts w:ascii="Calibri" w:hAnsi="Calibri" w:cs="Calibri"/>
          <w:sz w:val="22"/>
          <w:szCs w:val="22"/>
        </w:rPr>
        <w:t xml:space="preserve">Open-source code archived via Swansea University's </w:t>
      </w:r>
      <w:proofErr w:type="spellStart"/>
      <w:r w:rsidRPr="00FB0B20">
        <w:rPr>
          <w:rFonts w:ascii="Calibri" w:hAnsi="Calibri" w:cs="Calibri"/>
          <w:sz w:val="22"/>
          <w:szCs w:val="22"/>
        </w:rPr>
        <w:t>Zenodo</w:t>
      </w:r>
      <w:proofErr w:type="spellEnd"/>
      <w:r w:rsidRPr="00FB0B20">
        <w:rPr>
          <w:rFonts w:ascii="Calibri" w:hAnsi="Calibri" w:cs="Calibri"/>
          <w:sz w:val="22"/>
          <w:szCs w:val="22"/>
        </w:rPr>
        <w:t xml:space="preserve"> community (DOI). Paper 1 (methodology [12]) submitted to </w:t>
      </w:r>
      <w:proofErr w:type="spellStart"/>
      <w:r w:rsidRPr="00FB0B20">
        <w:rPr>
          <w:rFonts w:ascii="Calibri" w:hAnsi="Calibri" w:cs="Calibri"/>
          <w:sz w:val="22"/>
          <w:szCs w:val="22"/>
        </w:rPr>
        <w:t>ArXiv</w:t>
      </w:r>
      <w:proofErr w:type="spellEnd"/>
      <w:r w:rsidRPr="00FB0B20">
        <w:rPr>
          <w:rFonts w:ascii="Calibri" w:hAnsi="Calibri" w:cs="Calibri"/>
          <w:sz w:val="22"/>
          <w:szCs w:val="22"/>
        </w:rPr>
        <w:t xml:space="preserve"> and to the </w:t>
      </w:r>
      <w:r w:rsidRPr="00FB0B20">
        <w:rPr>
          <w:rFonts w:ascii="Calibri" w:hAnsi="Calibri" w:cs="Calibri"/>
          <w:i/>
          <w:iCs/>
          <w:sz w:val="22"/>
          <w:szCs w:val="22"/>
        </w:rPr>
        <w:t>Journal of Applied and Computational Topology</w:t>
      </w:r>
      <w:r w:rsidRPr="00FB0B20">
        <w:rPr>
          <w:rFonts w:ascii="Calibri" w:hAnsi="Calibri" w:cs="Calibri"/>
          <w:sz w:val="22"/>
          <w:szCs w:val="22"/>
        </w:rPr>
        <w:t xml:space="preserve"> (JACT) from Month 1; Paper 2 (football analytics) targets </w:t>
      </w:r>
      <w:r w:rsidRPr="00FB0B20">
        <w:rPr>
          <w:rFonts w:ascii="Calibri" w:hAnsi="Calibri" w:cs="Calibri"/>
          <w:i/>
          <w:iCs/>
          <w:sz w:val="22"/>
          <w:szCs w:val="22"/>
        </w:rPr>
        <w:t>Journal of Sports Sciences</w:t>
      </w:r>
      <w:r w:rsidRPr="00FB0B20">
        <w:rPr>
          <w:rFonts w:ascii="Calibri" w:hAnsi="Calibri" w:cs="Calibri"/>
          <w:sz w:val="22"/>
          <w:szCs w:val="22"/>
        </w:rPr>
        <w:t>; Paper 3 (full-season results and persistence landscapes) targets Month 11. Tactical outputs co-developed with Swansea City AFC as practitioner-interpretable visualisations. The Standard Grant evidence pack (§6, O4) is a further translation route, converting full-season results into a reproducible base for a broader competitive-systems programme.</w:t>
      </w:r>
    </w:p>
    <w:p w14:paraId="469A7793" w14:textId="51B04AF8"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11. Research Environment</w:t>
      </w:r>
      <w:r>
        <w:rPr>
          <w:rFonts w:ascii="Calibri" w:hAnsi="Calibri" w:cs="Calibri"/>
          <w:b/>
          <w:bCs/>
          <w:sz w:val="22"/>
          <w:szCs w:val="22"/>
        </w:rPr>
        <w:t xml:space="preserve"> </w:t>
      </w:r>
      <w:r w:rsidRPr="00FB0B20">
        <w:rPr>
          <w:rFonts w:ascii="Calibri" w:hAnsi="Calibri" w:cs="Calibri"/>
          <w:sz w:val="22"/>
          <w:szCs w:val="22"/>
        </w:rPr>
        <w:t xml:space="preserve">Swansea University's Zienkiewicz Institute provides the computational mathematics research environment for this project. Co-Investigators Professor </w:t>
      </w:r>
      <w:proofErr w:type="spellStart"/>
      <w:r w:rsidRPr="00FB0B20">
        <w:rPr>
          <w:rFonts w:ascii="Calibri" w:hAnsi="Calibri" w:cs="Calibri"/>
          <w:sz w:val="22"/>
          <w:szCs w:val="22"/>
        </w:rPr>
        <w:t>Gibin</w:t>
      </w:r>
      <w:proofErr w:type="spellEnd"/>
      <w:r w:rsidRPr="00FB0B20">
        <w:rPr>
          <w:rFonts w:ascii="Calibri" w:hAnsi="Calibri" w:cs="Calibri"/>
          <w:sz w:val="22"/>
          <w:szCs w:val="22"/>
        </w:rPr>
        <w:t xml:space="preserve"> Powathil (Mathematics) and Professor Liam Kilduff (Sport and Exercise Sciences) provide mathematical and domain supervision, and the established Swansea City AFC partnership provides sustained access to a professional football environment for co-development of practitioner outputs.</w:t>
      </w:r>
    </w:p>
    <w:p w14:paraId="0FFE2E25" w14:textId="53FDFBC3" w:rsidR="00FB0B20" w:rsidRPr="00FB0B20" w:rsidRDefault="00FB0B20" w:rsidP="00FB0B20">
      <w:pPr>
        <w:spacing w:after="120"/>
        <w:jc w:val="both"/>
        <w:rPr>
          <w:rFonts w:ascii="Calibri" w:hAnsi="Calibri" w:cs="Calibri"/>
          <w:sz w:val="22"/>
          <w:szCs w:val="22"/>
        </w:rPr>
      </w:pPr>
      <w:r w:rsidRPr="00FB0B20">
        <w:rPr>
          <w:rFonts w:ascii="Calibri" w:hAnsi="Calibri" w:cs="Calibri"/>
          <w:b/>
          <w:bCs/>
          <w:sz w:val="22"/>
          <w:szCs w:val="22"/>
        </w:rPr>
        <w:t>12. Facilities, Infrastructure and Host Support</w:t>
      </w:r>
      <w:r>
        <w:rPr>
          <w:rFonts w:ascii="Calibri" w:hAnsi="Calibri" w:cs="Calibri"/>
          <w:b/>
          <w:bCs/>
          <w:sz w:val="22"/>
          <w:szCs w:val="22"/>
        </w:rPr>
        <w:t xml:space="preserve"> </w:t>
      </w:r>
      <w:r w:rsidRPr="00FB0B20">
        <w:rPr>
          <w:rFonts w:ascii="Calibri" w:hAnsi="Calibri" w:cs="Calibri"/>
          <w:sz w:val="22"/>
          <w:szCs w:val="22"/>
        </w:rPr>
        <w:t>Full-season processing requires ~1,600 CPU-hours; the Supercomputing Wales allocation (5,000 core-hours; PI's existing access) covers processing, gate batches, and O3 landscape computation with margin. Championship tracking data and formation labels are secured through the Swansea City AFC–</w:t>
      </w:r>
      <w:proofErr w:type="spellStart"/>
      <w:r w:rsidRPr="00FB0B20">
        <w:rPr>
          <w:rFonts w:ascii="Calibri" w:hAnsi="Calibri" w:cs="Calibri"/>
          <w:sz w:val="22"/>
          <w:szCs w:val="22"/>
        </w:rPr>
        <w:t>StatsBomb</w:t>
      </w:r>
      <w:proofErr w:type="spellEnd"/>
      <w:r w:rsidRPr="00FB0B20">
        <w:rPr>
          <w:rFonts w:ascii="Calibri" w:hAnsi="Calibri" w:cs="Calibri"/>
          <w:sz w:val="22"/>
          <w:szCs w:val="22"/>
        </w:rPr>
        <w:t xml:space="preserve"> data agreement. Swansea University's Research Office supports partnership negotiation and provides fast-tracked ethics review — specific host-organisation support secured for this application.</w:t>
      </w:r>
    </w:p>
    <w:p w14:paraId="49356D1D" w14:textId="77777777" w:rsidR="009F2263" w:rsidRPr="00FB0B20" w:rsidRDefault="009F2263" w:rsidP="00FB0B20">
      <w:pPr>
        <w:spacing w:after="120"/>
        <w:jc w:val="both"/>
        <w:rPr>
          <w:rFonts w:ascii="Calibri" w:hAnsi="Calibri" w:cs="Calibri"/>
          <w:sz w:val="22"/>
          <w:szCs w:val="22"/>
        </w:rPr>
      </w:pPr>
    </w:p>
    <w:sectPr w:rsidR="009F2263" w:rsidRPr="00FB0B20"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D25AFF"/>
    <w:multiLevelType w:val="hybridMultilevel"/>
    <w:tmpl w:val="6E0C4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BD3785"/>
    <w:multiLevelType w:val="hybridMultilevel"/>
    <w:tmpl w:val="893E896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D9C19C9"/>
    <w:multiLevelType w:val="hybridMultilevel"/>
    <w:tmpl w:val="C6C40A80"/>
    <w:lvl w:ilvl="0" w:tplc="62EA0C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0756224">
    <w:abstractNumId w:val="0"/>
  </w:num>
  <w:num w:numId="2" w16cid:durableId="320617893">
    <w:abstractNumId w:val="2"/>
  </w:num>
  <w:num w:numId="3" w16cid:durableId="6690682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20"/>
    <w:rsid w:val="00187F6D"/>
    <w:rsid w:val="0039664B"/>
    <w:rsid w:val="005439CB"/>
    <w:rsid w:val="005D7D6A"/>
    <w:rsid w:val="006521C1"/>
    <w:rsid w:val="00716867"/>
    <w:rsid w:val="00736938"/>
    <w:rsid w:val="00737D38"/>
    <w:rsid w:val="008C5AD8"/>
    <w:rsid w:val="009903B5"/>
    <w:rsid w:val="009F2263"/>
    <w:rsid w:val="00B03625"/>
    <w:rsid w:val="00B80347"/>
    <w:rsid w:val="00C436ED"/>
    <w:rsid w:val="00C63905"/>
    <w:rsid w:val="00C8460E"/>
    <w:rsid w:val="00EA1C93"/>
    <w:rsid w:val="00F406E1"/>
    <w:rsid w:val="00F94B3A"/>
    <w:rsid w:val="00FB0B20"/>
    <w:rsid w:val="00FC7B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5C2515"/>
  <w15:chartTrackingRefBased/>
  <w15:docId w15:val="{0DEDD4EA-5CE1-4F42-878F-421E7E8F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20"/>
    <w:rPr>
      <w:rFonts w:eastAsiaTheme="majorEastAsia" w:cstheme="majorBidi"/>
      <w:color w:val="272727" w:themeColor="text1" w:themeTint="D8"/>
    </w:rPr>
  </w:style>
  <w:style w:type="paragraph" w:styleId="Title">
    <w:name w:val="Title"/>
    <w:basedOn w:val="Normal"/>
    <w:next w:val="Normal"/>
    <w:link w:val="TitleChar"/>
    <w:uiPriority w:val="10"/>
    <w:qFormat/>
    <w:rsid w:val="00FB0B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B20"/>
    <w:rPr>
      <w:i/>
      <w:iCs/>
      <w:color w:val="404040" w:themeColor="text1" w:themeTint="BF"/>
    </w:rPr>
  </w:style>
  <w:style w:type="paragraph" w:styleId="ListParagraph">
    <w:name w:val="List Paragraph"/>
    <w:basedOn w:val="Normal"/>
    <w:uiPriority w:val="34"/>
    <w:qFormat/>
    <w:rsid w:val="00FB0B20"/>
    <w:pPr>
      <w:ind w:left="720"/>
      <w:contextualSpacing/>
    </w:pPr>
  </w:style>
  <w:style w:type="character" w:styleId="IntenseEmphasis">
    <w:name w:val="Intense Emphasis"/>
    <w:basedOn w:val="DefaultParagraphFont"/>
    <w:uiPriority w:val="21"/>
    <w:qFormat/>
    <w:rsid w:val="00FB0B20"/>
    <w:rPr>
      <w:i/>
      <w:iCs/>
      <w:color w:val="0F4761" w:themeColor="accent1" w:themeShade="BF"/>
    </w:rPr>
  </w:style>
  <w:style w:type="paragraph" w:styleId="IntenseQuote">
    <w:name w:val="Intense Quote"/>
    <w:basedOn w:val="Normal"/>
    <w:next w:val="Normal"/>
    <w:link w:val="IntenseQuoteChar"/>
    <w:uiPriority w:val="30"/>
    <w:qFormat/>
    <w:rsid w:val="00FB0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B20"/>
    <w:rPr>
      <w:i/>
      <w:iCs/>
      <w:color w:val="0F4761" w:themeColor="accent1" w:themeShade="BF"/>
    </w:rPr>
  </w:style>
  <w:style w:type="character" w:styleId="IntenseReference">
    <w:name w:val="Intense Reference"/>
    <w:basedOn w:val="DefaultParagraphFont"/>
    <w:uiPriority w:val="32"/>
    <w:qFormat/>
    <w:rsid w:val="00FB0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2</cp:revision>
  <dcterms:created xsi:type="dcterms:W3CDTF">2026-07-14T06:53:00Z</dcterms:created>
  <dcterms:modified xsi:type="dcterms:W3CDTF">2026-07-14T06:53:00Z</dcterms:modified>
</cp:coreProperties>
</file>