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27F51" w14:textId="02633FB3"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1</w:t>
      </w:r>
      <w:r w:rsidRPr="00FF49D6">
        <w:rPr>
          <w:rFonts w:ascii="Calibri" w:hAnsi="Calibri" w:cs="Calibri"/>
          <w:b/>
          <w:bCs/>
          <w:sz w:val="22"/>
          <w:szCs w:val="22"/>
        </w:rPr>
        <w:t>. Excellent Quality and Importance</w:t>
      </w:r>
    </w:p>
    <w:p w14:paraId="3C4321EA"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This research develops a mathematical framework extending multi-scale topological analysis to competitive collective systems: systems of agents that coordinate internally while competing against an adversary within a bounded domain. Such systems arise across autonomous-vehicle fleets, tumour–immune dynamics, and team sports, yet remain under-modelled as a distinct class of dynamical systems. Their defining feature is adversarial geometry: unlike cooperative swarms, the additional degrees of freedom introduced by adversarial interactions render each subgroup’s configuration susceptible to deformation by its opponent across multiple interaction scales.</w:t>
      </w:r>
    </w:p>
    <w:p w14:paraId="17889FD3" w14:textId="77777777" w:rsidR="00601079" w:rsidRPr="00601079" w:rsidRDefault="00601079" w:rsidP="00601079">
      <w:pPr>
        <w:jc w:val="both"/>
        <w:rPr>
          <w:rFonts w:ascii="Calibri" w:hAnsi="Calibri" w:cs="Calibri"/>
          <w:sz w:val="22"/>
          <w:szCs w:val="22"/>
        </w:rPr>
      </w:pPr>
      <w:r w:rsidRPr="00FF49D6">
        <w:rPr>
          <w:rFonts w:ascii="Calibri" w:hAnsi="Calibri" w:cs="Calibri"/>
          <w:b/>
          <w:bCs/>
          <w:sz w:val="22"/>
          <w:szCs w:val="22"/>
        </w:rPr>
        <w:t>Importance</w:t>
      </w:r>
      <w:r w:rsidRPr="00601079">
        <w:rPr>
          <w:rFonts w:ascii="Calibri" w:hAnsi="Calibri" w:cs="Calibri"/>
          <w:sz w:val="22"/>
          <w:szCs w:val="22"/>
        </w:rPr>
        <w:t xml:space="preserve">. No existing method </w:t>
      </w:r>
      <w:proofErr w:type="gramStart"/>
      <w:r w:rsidRPr="00601079">
        <w:rPr>
          <w:rFonts w:ascii="Calibri" w:hAnsi="Calibri" w:cs="Calibri"/>
          <w:sz w:val="22"/>
          <w:szCs w:val="22"/>
        </w:rPr>
        <w:t>attributes</w:t>
      </w:r>
      <w:proofErr w:type="gramEnd"/>
      <w:r w:rsidRPr="00601079">
        <w:rPr>
          <w:rFonts w:ascii="Calibri" w:hAnsi="Calibri" w:cs="Calibri"/>
          <w:sz w:val="22"/>
          <w:szCs w:val="22"/>
        </w:rPr>
        <w:t xml:space="preserve"> topological structure, connected clusters (H₀) and enclosing loops (H₁), to the distinct interaction scales exhibited by competitive systems in hierarchical, high-frequency data. Standard persistent homology [1,2], applied using a single distance threshold across all agents [3], collapses these scales into a single summary, preventing features from being linked to individual-, group-, or system-level organisation. Although multi-parameter topology [4,5] provides a theoretical route to resolving such scale-specific structure, existing methods remain computationally prohibitive for real-world, high-frequency observations of competitive systems. This project closes that gap in professional football: pilot analysis has already identified distinct, stability-validated interaction scales (§2), albeit across only a small number of matches. Scaling to a full Championship season will test whether these scales persist as population-level structure and establish an analysis framework transferable to other bounded competitive multi-agent systems once their characteristic scales have been re-derived (§5).</w:t>
      </w:r>
    </w:p>
    <w:p w14:paraId="1EC3985A" w14:textId="0A693D59" w:rsidR="00601079" w:rsidRDefault="00601079" w:rsidP="00601079">
      <w:pPr>
        <w:jc w:val="both"/>
        <w:rPr>
          <w:rFonts w:ascii="Calibri" w:hAnsi="Calibri" w:cs="Calibri"/>
          <w:sz w:val="22"/>
          <w:szCs w:val="22"/>
        </w:rPr>
      </w:pPr>
      <w:r w:rsidRPr="00FF49D6">
        <w:rPr>
          <w:rFonts w:ascii="Calibri" w:hAnsi="Calibri" w:cs="Calibri"/>
          <w:b/>
          <w:bCs/>
          <w:sz w:val="22"/>
          <w:szCs w:val="22"/>
        </w:rPr>
        <w:t>Quality</w:t>
      </w:r>
      <w:r w:rsidRPr="00601079">
        <w:rPr>
          <w:rFonts w:ascii="Calibri" w:hAnsi="Calibri" w:cs="Calibri"/>
          <w:sz w:val="22"/>
          <w:szCs w:val="22"/>
        </w:rPr>
        <w:t>. The project’s quality lies in combining mathematical rigour with empirical validation. Rigour comes from stability-validated cutoffs: groups are defined by empirically tested interaction lengths rather than arbitrary thresholds, making the procedure falsifiable rather than ad hoc. Reproducibility follows because the two core components of the pipeline, scale decomposition and adaptive distance thresholds, have already been validated at pilot scale (§2). The new contribution is to move from identifying scale-specific topological structure to analysing its evolution over time, producing dynamic summaries from which structural change-points can be detected [6,7] and tested at season scale (§7, O3). This advances prior work through: (</w:t>
      </w:r>
      <w:proofErr w:type="spellStart"/>
      <w:r w:rsidRPr="00601079">
        <w:rPr>
          <w:rFonts w:ascii="Calibri" w:hAnsi="Calibri" w:cs="Calibri"/>
          <w:sz w:val="22"/>
          <w:szCs w:val="22"/>
        </w:rPr>
        <w:t>i</w:t>
      </w:r>
      <w:proofErr w:type="spellEnd"/>
      <w:r w:rsidRPr="00601079">
        <w:rPr>
          <w:rFonts w:ascii="Calibri" w:hAnsi="Calibri" w:cs="Calibri"/>
          <w:sz w:val="22"/>
          <w:szCs w:val="22"/>
        </w:rPr>
        <w:t>) domain-validated scale identification in place of heuristic choices; (ii) adaptive distance thresholds for consistent multi-scale loop (H₁) detection; and (iii) time-evolving topological summaries for detecting structural transitions in competitive systems.</w:t>
      </w:r>
    </w:p>
    <w:p w14:paraId="7CFA6998" w14:textId="77777777" w:rsidR="00601079" w:rsidRDefault="00601079" w:rsidP="00601079">
      <w:pPr>
        <w:jc w:val="both"/>
        <w:rPr>
          <w:rFonts w:ascii="Calibri" w:hAnsi="Calibri" w:cs="Calibri"/>
          <w:sz w:val="22"/>
          <w:szCs w:val="22"/>
        </w:rPr>
      </w:pPr>
    </w:p>
    <w:p w14:paraId="37EC3063" w14:textId="348F6AA1"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2. Background — Building on Previous Work</w:t>
      </w:r>
    </w:p>
    <w:p w14:paraId="2658678E"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Three foundations underpin this project: persistent homology; topology of collective systems; and football spatiotemporal analysis. Persistent homology [1,2], supported by its stability theorem [8], provides the mathematical basis: small tracking errors induce only small changes in the topological summary, making the method suitable for real measurement data. Established statistical tools then convert persistence summaries into comparable quantities for classification, distance-based analysis and change-point detection [6,7,9], forming the basis for O2–O3. However, standard applications remain poorly suited to competitive systems because they either use a single global scale [3] or rely on multi-scale clustering approaches developed for cooperative, slowly evolving systems [10]. This project instead uses validated interaction lengths to decompose competitive systems before computing homology at each scale.</w:t>
      </w:r>
    </w:p>
    <w:p w14:paraId="3DCC1B11"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Topology has already shown its value for collective organisation in biological aggregation [11], collective motion [12] and flocking systems governed by nearest-neighbour count rather than metric radius [13], motivating this project’s focus on empirically derived interaction lengths. Existing topological change-point methods for multi-agent systems [14] demonstrate that structural transitions can be detected, but only at a single scale. O3 extends this idea to competitive, bounded, multi-scale systems. Football spatiotemporal analysis provides the ideal testbed: it is competitive, high-frequency, spatially bounded and already supported by established geometric baselines, including team length, width, centroid distance [17] and pitch-control space creation [18]. These descriptors provide the benchmarks that any new topological feature must exceed.</w:t>
      </w:r>
    </w:p>
    <w:p w14:paraId="5A372B93" w14:textId="77777777" w:rsidR="00601079" w:rsidRPr="00601079" w:rsidRDefault="00601079" w:rsidP="00601079">
      <w:pPr>
        <w:jc w:val="both"/>
        <w:rPr>
          <w:rFonts w:ascii="Calibri" w:hAnsi="Calibri" w:cs="Calibri"/>
          <w:sz w:val="22"/>
          <w:szCs w:val="22"/>
        </w:rPr>
      </w:pPr>
    </w:p>
    <w:p w14:paraId="4F6CBB8A" w14:textId="118F7C6C" w:rsidR="00601079" w:rsidRDefault="00601079" w:rsidP="00601079">
      <w:pPr>
        <w:jc w:val="both"/>
        <w:rPr>
          <w:rFonts w:ascii="Calibri" w:hAnsi="Calibri" w:cs="Calibri"/>
          <w:sz w:val="22"/>
          <w:szCs w:val="22"/>
        </w:rPr>
      </w:pPr>
      <w:r w:rsidRPr="00601079">
        <w:rPr>
          <w:rFonts w:ascii="Calibri" w:hAnsi="Calibri" w:cs="Calibri"/>
          <w:sz w:val="22"/>
          <w:szCs w:val="22"/>
        </w:rPr>
        <w:t>The project builds directly on our methodology paper in the Journal of Applied and Computational Topology [19], which develops and validates the multi-scale pipeline: decompose by validated interaction length, then compute homology at each scale using an adaptive distance threshold. Across 10 professional matches (</w:t>
      </w:r>
      <w:proofErr w:type="spellStart"/>
      <w:r w:rsidRPr="00601079">
        <w:rPr>
          <w:rFonts w:ascii="Calibri" w:hAnsi="Calibri" w:cs="Calibri"/>
          <w:sz w:val="22"/>
          <w:szCs w:val="22"/>
        </w:rPr>
        <w:t>SkillCorner</w:t>
      </w:r>
      <w:proofErr w:type="spellEnd"/>
      <w:r w:rsidRPr="00601079">
        <w:rPr>
          <w:rFonts w:ascii="Calibri" w:hAnsi="Calibri" w:cs="Calibri"/>
          <w:sz w:val="22"/>
          <w:szCs w:val="22"/>
        </w:rPr>
        <w:t xml:space="preserve">, 10 Hz; 104,722 event–topology pairs [19]; positional standards [20,21]), three cluster-scale (H₀) regimes reproduce consistently: individual 2.98 m, tactical 12.0 m and team 30.0 m, with cross-epoch stability 0.96, 0.84 and 1.00 respectively. Two loop-scale (H₁) regimes also emerge: individual-scale loops are near-universal but short-lived, appearing in 97.0% ± 1.5% of frames, while tactical-scale loops are rarer but more persistent, appearing in 19.3% ± 7.2% of frames with mean persistence 3.80 m versus 1.98 m. The two scales carry largely independent information, with correlation ρ = 0.264, and respond coherently to match events (p &lt; 0.001), although their dynamics remain </w:t>
      </w:r>
      <w:proofErr w:type="gramStart"/>
      <w:r w:rsidRPr="00601079">
        <w:rPr>
          <w:rFonts w:ascii="Calibri" w:hAnsi="Calibri" w:cs="Calibri"/>
          <w:sz w:val="22"/>
          <w:szCs w:val="22"/>
        </w:rPr>
        <w:t>match-specific</w:t>
      </w:r>
      <w:proofErr w:type="gramEnd"/>
      <w:r w:rsidRPr="00601079">
        <w:rPr>
          <w:rFonts w:ascii="Calibri" w:hAnsi="Calibri" w:cs="Calibri"/>
          <w:sz w:val="22"/>
          <w:szCs w:val="22"/>
        </w:rPr>
        <w:t xml:space="preserve">. A companion paper in the Journal of Sports Sciences [22] develops practitioner interpretation and motivates the fingerprinting question in §3. Pilot data are public; the pipeline will be released </w:t>
      </w:r>
      <w:proofErr w:type="gramStart"/>
      <w:r w:rsidRPr="00601079">
        <w:rPr>
          <w:rFonts w:ascii="Calibri" w:hAnsi="Calibri" w:cs="Calibri"/>
          <w:sz w:val="22"/>
          <w:szCs w:val="22"/>
        </w:rPr>
        <w:t>open-source</w:t>
      </w:r>
      <w:proofErr w:type="gramEnd"/>
      <w:r w:rsidRPr="00601079">
        <w:rPr>
          <w:rFonts w:ascii="Calibri" w:hAnsi="Calibri" w:cs="Calibri"/>
          <w:sz w:val="22"/>
          <w:szCs w:val="22"/>
        </w:rPr>
        <w:t xml:space="preserve"> on submission.</w:t>
      </w:r>
    </w:p>
    <w:p w14:paraId="1B673723" w14:textId="77777777" w:rsidR="00601079" w:rsidRDefault="00601079" w:rsidP="00601079">
      <w:pPr>
        <w:jc w:val="both"/>
        <w:rPr>
          <w:rFonts w:ascii="Calibri" w:hAnsi="Calibri" w:cs="Calibri"/>
          <w:sz w:val="22"/>
          <w:szCs w:val="22"/>
        </w:rPr>
      </w:pPr>
    </w:p>
    <w:p w14:paraId="7E8219A6" w14:textId="77777777"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3. Advancing Current Understanding and Generating New Knowledge</w:t>
      </w:r>
    </w:p>
    <w:p w14:paraId="5ACB66BD" w14:textId="1BCF0FCE" w:rsidR="00601079" w:rsidRDefault="00601079" w:rsidP="00601079">
      <w:pPr>
        <w:jc w:val="both"/>
        <w:rPr>
          <w:rFonts w:ascii="Calibri" w:hAnsi="Calibri" w:cs="Calibri"/>
          <w:sz w:val="22"/>
          <w:szCs w:val="22"/>
        </w:rPr>
      </w:pPr>
      <w:r w:rsidRPr="00601079">
        <w:rPr>
          <w:rFonts w:ascii="Calibri" w:hAnsi="Calibri" w:cs="Calibri"/>
          <w:sz w:val="22"/>
          <w:szCs w:val="22"/>
        </w:rPr>
        <w:t>Section 2 establishes that scale-specific topological summaries exist, are reproducible, and respond coherently to match events at pilot scale. The unresolved question, and the new knowledge this project will generate, is whether these structures persist at population scale across a full competitive season (~540 Championship matches). The project addresses this through three linked advances. (</w:t>
      </w:r>
      <w:proofErr w:type="spellStart"/>
      <w:r w:rsidRPr="00601079">
        <w:rPr>
          <w:rFonts w:ascii="Calibri" w:hAnsi="Calibri" w:cs="Calibri"/>
          <w:sz w:val="22"/>
          <w:szCs w:val="22"/>
        </w:rPr>
        <w:t>i</w:t>
      </w:r>
      <w:proofErr w:type="spellEnd"/>
      <w:r w:rsidRPr="00601079">
        <w:rPr>
          <w:rFonts w:ascii="Calibri" w:hAnsi="Calibri" w:cs="Calibri"/>
          <w:sz w:val="22"/>
          <w:szCs w:val="22"/>
        </w:rPr>
        <w:t>) Distributional laws: it will determine whether pilot-scale stability scores, loop-presence rates and scale complementarity are population-level regularities, or whether they vary systematically with tactical, contextual or match-state conditions. (ii) Comparison geometry: it will test whether distances between topological summaries [6,9] distinguish formation systems, yielding a topologically grounded definition of formation identity. (iii) Functional dynamics: by treating each match as a time series of topological summaries, it will characterise within-match stability regimes and structural transitions, including change-points that mark shifts in collective organisation. Together, these advances extend statistical topology [6,7,9] into a setting it has not yet reached: competitive, multi-scale, hierarchical systems observed at population scale. They map directly onto Objectives O1–O3 (§7).</w:t>
      </w:r>
    </w:p>
    <w:p w14:paraId="26AECEDE" w14:textId="77777777" w:rsidR="00601079" w:rsidRDefault="00601079" w:rsidP="00601079">
      <w:pPr>
        <w:jc w:val="both"/>
        <w:rPr>
          <w:rFonts w:ascii="Calibri" w:hAnsi="Calibri" w:cs="Calibri"/>
          <w:sz w:val="22"/>
          <w:szCs w:val="22"/>
        </w:rPr>
      </w:pPr>
    </w:p>
    <w:p w14:paraId="19B72756" w14:textId="48314EF4"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4. Timeliness, Need and Opportunity</w:t>
      </w:r>
    </w:p>
    <w:p w14:paraId="4389A7E9" w14:textId="77777777" w:rsidR="00601079" w:rsidRPr="00601079" w:rsidRDefault="00601079" w:rsidP="00601079">
      <w:pPr>
        <w:jc w:val="both"/>
        <w:rPr>
          <w:rFonts w:ascii="Calibri" w:hAnsi="Calibri" w:cs="Calibri"/>
          <w:sz w:val="22"/>
          <w:szCs w:val="22"/>
        </w:rPr>
      </w:pPr>
      <w:r w:rsidRPr="00FF49D6">
        <w:rPr>
          <w:rFonts w:ascii="Calibri" w:hAnsi="Calibri" w:cs="Calibri"/>
          <w:b/>
          <w:bCs/>
          <w:sz w:val="22"/>
          <w:szCs w:val="22"/>
        </w:rPr>
        <w:t>Timeliness</w:t>
      </w:r>
      <w:r w:rsidRPr="00601079">
        <w:rPr>
          <w:rFonts w:ascii="Calibri" w:hAnsi="Calibri" w:cs="Calibri"/>
          <w:sz w:val="22"/>
          <w:szCs w:val="22"/>
        </w:rPr>
        <w:t xml:space="preserve">. The project is timely because three developments have converged. First, multi-scale topology and statistical tools for comparing persistence summaries have matured to the point where inference across large samples is now realistic [4,6,7,9]. Second, software and </w:t>
      </w:r>
      <w:proofErr w:type="spellStart"/>
      <w:r w:rsidRPr="00601079">
        <w:rPr>
          <w:rFonts w:ascii="Calibri" w:hAnsi="Calibri" w:cs="Calibri"/>
          <w:sz w:val="22"/>
          <w:szCs w:val="22"/>
        </w:rPr>
        <w:t>compute</w:t>
      </w:r>
      <w:proofErr w:type="spellEnd"/>
      <w:r w:rsidRPr="00601079">
        <w:rPr>
          <w:rFonts w:ascii="Calibri" w:hAnsi="Calibri" w:cs="Calibri"/>
          <w:sz w:val="22"/>
          <w:szCs w:val="22"/>
        </w:rPr>
        <w:t xml:space="preserve"> resources now make frame-by-frame topological computation feasible at season scale (§8), enabling but not constituting the contribution. Third, season-scale tracking data for competitive systems have only recently become accessible at the resolution needed to test whether pilot-scale topological structure persists as a population-level phenomenon.</w:t>
      </w:r>
    </w:p>
    <w:p w14:paraId="5152CC57" w14:textId="77777777" w:rsidR="00601079" w:rsidRPr="00601079" w:rsidRDefault="00601079" w:rsidP="00601079">
      <w:pPr>
        <w:jc w:val="both"/>
        <w:rPr>
          <w:rFonts w:ascii="Calibri" w:hAnsi="Calibri" w:cs="Calibri"/>
          <w:sz w:val="22"/>
          <w:szCs w:val="22"/>
        </w:rPr>
      </w:pPr>
      <w:r w:rsidRPr="00FF49D6">
        <w:rPr>
          <w:rFonts w:ascii="Calibri" w:hAnsi="Calibri" w:cs="Calibri"/>
          <w:b/>
          <w:bCs/>
          <w:sz w:val="22"/>
          <w:szCs w:val="22"/>
        </w:rPr>
        <w:t>Need</w:t>
      </w:r>
      <w:r w:rsidRPr="00601079">
        <w:rPr>
          <w:rFonts w:ascii="Calibri" w:hAnsi="Calibri" w:cs="Calibri"/>
          <w:sz w:val="22"/>
          <w:szCs w:val="22"/>
        </w:rPr>
        <w:t>. Despite these developments, no validated workflow yet exists for multi-scale topological analysis of competitive, hierarchical, high-frequency systems. Existing approaches either collapse structure into a single global topological summary or remain computationally impractical for real-world competitive data. Analysts in sport, and prospectively in health, logistics and autonomous coordination, need interpretable structural measures that capture organisation, gaps, loops and transitions beyond what conventional geometric descriptors provide.</w:t>
      </w:r>
    </w:p>
    <w:p w14:paraId="69715972" w14:textId="7C762BD2" w:rsidR="009F2263" w:rsidRDefault="00601079" w:rsidP="00601079">
      <w:pPr>
        <w:jc w:val="both"/>
        <w:rPr>
          <w:rFonts w:ascii="Calibri" w:hAnsi="Calibri" w:cs="Calibri"/>
          <w:sz w:val="22"/>
          <w:szCs w:val="22"/>
        </w:rPr>
      </w:pPr>
      <w:r w:rsidRPr="00FF49D6">
        <w:rPr>
          <w:rFonts w:ascii="Calibri" w:hAnsi="Calibri" w:cs="Calibri"/>
          <w:b/>
          <w:bCs/>
          <w:sz w:val="22"/>
          <w:szCs w:val="22"/>
        </w:rPr>
        <w:t>Opportunity</w:t>
      </w:r>
      <w:r w:rsidRPr="00601079">
        <w:rPr>
          <w:rFonts w:ascii="Calibri" w:hAnsi="Calibri" w:cs="Calibri"/>
          <w:sz w:val="22"/>
          <w:szCs w:val="22"/>
        </w:rPr>
        <w:t>. The simultaneous availability of mature topological methods, scalable computation and season-scale competitive tracking data creates a narrow opportunity to settle these questions now. This project uses professional football as the first population-scale testbed, establishing a validated workflow that can then be transferred to other bounded competitive multi-agent systems once their characteristic interaction scales are re-derived.</w:t>
      </w:r>
    </w:p>
    <w:p w14:paraId="30A7D81B" w14:textId="77777777" w:rsidR="00601079" w:rsidRDefault="00601079" w:rsidP="00601079">
      <w:pPr>
        <w:jc w:val="both"/>
        <w:rPr>
          <w:rFonts w:ascii="Calibri" w:hAnsi="Calibri" w:cs="Calibri"/>
          <w:sz w:val="22"/>
          <w:szCs w:val="22"/>
        </w:rPr>
      </w:pPr>
    </w:p>
    <w:p w14:paraId="082554DF" w14:textId="0712EE33"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5</w:t>
      </w:r>
      <w:r w:rsidRPr="00FF49D6">
        <w:rPr>
          <w:rFonts w:ascii="Calibri" w:hAnsi="Calibri" w:cs="Calibri"/>
          <w:b/>
          <w:bCs/>
          <w:sz w:val="22"/>
          <w:szCs w:val="22"/>
        </w:rPr>
        <w:t>. Impact</w:t>
      </w:r>
    </w:p>
    <w:p w14:paraId="768745F9"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lastRenderedPageBreak/>
        <w:t>Impact on research. The primary impact is to the mathematical sciences: the project will deliver a validated, open-source library for multi-scale persistent homology on competitive, time-evolving point clouds. This contributes directly to EPSRC’s physical and mathematical sciences powerhouse priority by building UK capability in applied topology, and to AI, digitisation and data by providing new mathematical tools for analysing complex dynamic systems. The research establishes a practical route from stable, scale-specific topology to dynamic structural analysis in competitive systems.</w:t>
      </w:r>
    </w:p>
    <w:p w14:paraId="5A824406"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Economic and industry impact. Co-developed with Swansea City AFC and data partners, including </w:t>
      </w:r>
      <w:proofErr w:type="spellStart"/>
      <w:r w:rsidRPr="00601079">
        <w:rPr>
          <w:rFonts w:ascii="Calibri" w:hAnsi="Calibri" w:cs="Calibri"/>
          <w:sz w:val="22"/>
          <w:szCs w:val="22"/>
        </w:rPr>
        <w:t>StatsBomb</w:t>
      </w:r>
      <w:proofErr w:type="spellEnd"/>
      <w:r w:rsidRPr="00601079">
        <w:rPr>
          <w:rFonts w:ascii="Calibri" w:hAnsi="Calibri" w:cs="Calibri"/>
          <w:sz w:val="22"/>
          <w:szCs w:val="22"/>
        </w:rPr>
        <w:t xml:space="preserve"> and Genius Sports, the project translates mathematical summaries into practitioner-interpretable tools for analysing pressing structures, formation gaps and defensive-line organisation. These are aspects of collective organisation that standard geometric descriptors, such as team length, width and convex-hull area, do not directly quantify. The football setting therefore provides both a demanding real-world testbed and a direct route to industry engagement.</w:t>
      </w:r>
    </w:p>
    <w:p w14:paraId="7E1A67FF" w14:textId="73D680AA" w:rsidR="00601079" w:rsidRDefault="00601079" w:rsidP="00601079">
      <w:pPr>
        <w:jc w:val="both"/>
        <w:rPr>
          <w:rFonts w:ascii="Calibri" w:hAnsi="Calibri" w:cs="Calibri"/>
          <w:sz w:val="22"/>
          <w:szCs w:val="22"/>
        </w:rPr>
      </w:pPr>
      <w:r w:rsidRPr="00601079">
        <w:rPr>
          <w:rFonts w:ascii="Calibri" w:hAnsi="Calibri" w:cs="Calibri"/>
          <w:sz w:val="22"/>
          <w:szCs w:val="22"/>
        </w:rPr>
        <w:t xml:space="preserve">Stepping-stone to translation. This project prepares a follow-on Standard Grant (§7, O4) by establishing the season-scale evidence base needed to transfer the methodology beyond football. The domain-validation procedure is designed to transfer to other bounded competitive systems once their characteristic interaction scales are re-derived. Credible pathways, but not deliverables of this project, include tumour–immune competition with Co-I </w:t>
      </w:r>
      <w:proofErr w:type="spellStart"/>
      <w:r w:rsidRPr="00601079">
        <w:rPr>
          <w:rFonts w:ascii="Calibri" w:hAnsi="Calibri" w:cs="Calibri"/>
          <w:sz w:val="22"/>
          <w:szCs w:val="22"/>
        </w:rPr>
        <w:t>Powathil</w:t>
      </w:r>
      <w:proofErr w:type="spellEnd"/>
      <w:r w:rsidRPr="00601079">
        <w:rPr>
          <w:rFonts w:ascii="Calibri" w:hAnsi="Calibri" w:cs="Calibri"/>
          <w:sz w:val="22"/>
          <w:szCs w:val="22"/>
        </w:rPr>
        <w:t>, aligned with transforming health and healthcare, and competitive logistics or autonomous-fleet coordination, aligned with AI, digitisation and data. The full-season analysis makes that larger translation programme mathematically and empirically fundable.</w:t>
      </w:r>
    </w:p>
    <w:p w14:paraId="79D68B57" w14:textId="77777777" w:rsidR="00601079" w:rsidRDefault="00601079" w:rsidP="00601079">
      <w:pPr>
        <w:jc w:val="both"/>
        <w:rPr>
          <w:rFonts w:ascii="Calibri" w:hAnsi="Calibri" w:cs="Calibri"/>
          <w:sz w:val="22"/>
          <w:szCs w:val="22"/>
        </w:rPr>
      </w:pPr>
    </w:p>
    <w:p w14:paraId="41F7B89E" w14:textId="77777777"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6. Benefits and Beneficiaries</w:t>
      </w:r>
    </w:p>
    <w:p w14:paraId="5BE18021"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Direct beneficiaries. The main beneficiaries are the mathematical sciences community, sports analytics practitioners, and the wider sports-analytics research community. Mathematicians and data scientists will benefit from an open-source library for multi-scale persistent homology on competitive, time-evolving point clouds, together with validated procedures for deriving interaction scales and adaptive thresholds. Sports practitioners, especially Swansea City AFC performance analysts as co-development partners, will gain interpretable visualisations of pressing structures, formation gaps, loop-like organisation and defensive-line shape. These tools quantify aspects of collective organisation that standard geometric descriptors, including length, width, centroid distance and convex-hull area, do not directly capture.</w:t>
      </w:r>
    </w:p>
    <w:p w14:paraId="74FD5DE2" w14:textId="77777777" w:rsidR="00601079" w:rsidRPr="00601079" w:rsidRDefault="00601079" w:rsidP="00601079">
      <w:pPr>
        <w:jc w:val="both"/>
        <w:rPr>
          <w:rFonts w:ascii="Calibri" w:hAnsi="Calibri" w:cs="Calibri"/>
          <w:sz w:val="22"/>
          <w:szCs w:val="22"/>
        </w:rPr>
      </w:pPr>
    </w:p>
    <w:p w14:paraId="7D6FC43D" w14:textId="37079685" w:rsidR="00601079" w:rsidRDefault="00601079" w:rsidP="00601079">
      <w:pPr>
        <w:jc w:val="both"/>
        <w:rPr>
          <w:rFonts w:ascii="Calibri" w:hAnsi="Calibri" w:cs="Calibri"/>
          <w:sz w:val="22"/>
          <w:szCs w:val="22"/>
        </w:rPr>
      </w:pPr>
      <w:r w:rsidRPr="00601079">
        <w:rPr>
          <w:rFonts w:ascii="Calibri" w:hAnsi="Calibri" w:cs="Calibri"/>
          <w:sz w:val="22"/>
          <w:szCs w:val="22"/>
        </w:rPr>
        <w:t>Wider beneficiaries. The wider sports-analytics community will benefit from reproducible topological features that can be compared against established spatial metrics and tested across match contexts. Longer term, the project benefits operators and researchers in other bounded competitive multi-agent domains, including tumour–immune dynamics, competitive logistics and autonomous-fleet coordination, by establishing a transferable validation procedure once domain-specific interaction scales are re-derived. The proposed follow-on Standard Grant (§7, O4) and open-source pipeline provide the route through which these longer-term beneficiaries can adopt and extend the methodology.</w:t>
      </w:r>
    </w:p>
    <w:p w14:paraId="7732221E" w14:textId="77777777" w:rsidR="00601079" w:rsidRDefault="00601079" w:rsidP="00601079">
      <w:pPr>
        <w:jc w:val="both"/>
        <w:rPr>
          <w:rFonts w:ascii="Calibri" w:hAnsi="Calibri" w:cs="Calibri"/>
          <w:sz w:val="22"/>
          <w:szCs w:val="22"/>
        </w:rPr>
      </w:pPr>
    </w:p>
    <w:p w14:paraId="7129EE07" w14:textId="77777777"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7. Research Design and Objectives</w:t>
      </w:r>
    </w:p>
    <w:p w14:paraId="641E1D08"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Project structure and team. This 12-month project comprises: (</w:t>
      </w:r>
      <w:proofErr w:type="spellStart"/>
      <w:r w:rsidRPr="00601079">
        <w:rPr>
          <w:rFonts w:ascii="Calibri" w:hAnsi="Calibri" w:cs="Calibri"/>
          <w:sz w:val="22"/>
          <w:szCs w:val="22"/>
        </w:rPr>
        <w:t>i</w:t>
      </w:r>
      <w:proofErr w:type="spellEnd"/>
      <w:r w:rsidRPr="00601079">
        <w:rPr>
          <w:rFonts w:ascii="Calibri" w:hAnsi="Calibri" w:cs="Calibri"/>
          <w:sz w:val="22"/>
          <w:szCs w:val="22"/>
        </w:rPr>
        <w:t xml:space="preserve">) the PI, 0.2 FTE, responsible for mathematical framework development, analysis oversight and publication; (ii) two Co-Investigators, 0.25 FTE combined, providing statistical and domain expertise; (iii) a Research Associate, 1.0 FTE for 9 months, Months 2–10, implementing the pipeline, running the full-season analysis and developing the landscape library; and (iv) partnerships with Swansea City AFC and </w:t>
      </w:r>
      <w:proofErr w:type="spellStart"/>
      <w:r w:rsidRPr="00601079">
        <w:rPr>
          <w:rFonts w:ascii="Calibri" w:hAnsi="Calibri" w:cs="Calibri"/>
          <w:sz w:val="22"/>
          <w:szCs w:val="22"/>
        </w:rPr>
        <w:t>StatsBomb</w:t>
      </w:r>
      <w:proofErr w:type="spellEnd"/>
      <w:r w:rsidRPr="00601079">
        <w:rPr>
          <w:rFonts w:ascii="Calibri" w:hAnsi="Calibri" w:cs="Calibri"/>
          <w:sz w:val="22"/>
          <w:szCs w:val="22"/>
        </w:rPr>
        <w:t>, providing Championship tracking data and formation labels. The project has three research objectives, O1–O3, and one strategic output, O4.</w:t>
      </w:r>
    </w:p>
    <w:p w14:paraId="04665505"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Sample-size rationale. A full Championship season, approximately 540 matches, provides both precision and power. For subgroup inference, approximately 32 matches per stratum gives a 95% </w:t>
      </w:r>
      <w:r w:rsidRPr="00601079">
        <w:rPr>
          <w:rFonts w:ascii="Calibri" w:hAnsi="Calibri" w:cs="Calibri"/>
          <w:sz w:val="22"/>
          <w:szCs w:val="22"/>
        </w:rPr>
        <w:lastRenderedPageBreak/>
        <w:t>confidence interval half-width of 0.025 for tactical-scale loop, H₁, presence, based on the pilot across-match standard deviation of 0.072. For O2 formation comparisons, approximately 180 matches per tactical class detects an effect of Cohen’s d ≥ 0.30 at power 0.80 and α = 0.05, with Benjamini–Hochberg false-discovery-rate correction. A pilot estimate of the within-match half-effect on tactical-scale H₁ persistence is borderline, p = 0.051 [19], consistent with match-specific dynamics; season-scale replication is therefore required to determine whether this effect is systematic.</w:t>
      </w:r>
    </w:p>
    <w:p w14:paraId="5BCFFFC7"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Together, the objectives advance the §2 pilot from ten matches to population scale and map directly onto the knowledge questions in §3.</w:t>
      </w:r>
    </w:p>
    <w:p w14:paraId="55945294" w14:textId="77777777" w:rsidR="00601079" w:rsidRPr="00601079" w:rsidRDefault="00601079" w:rsidP="00601079">
      <w:pPr>
        <w:jc w:val="both"/>
        <w:rPr>
          <w:rFonts w:ascii="Calibri" w:hAnsi="Calibri" w:cs="Calibri"/>
          <w:sz w:val="22"/>
          <w:szCs w:val="22"/>
        </w:rPr>
      </w:pPr>
    </w:p>
    <w:p w14:paraId="3630D713"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O1 — Population-level topological statistics</w:t>
      </w:r>
    </w:p>
    <w:p w14:paraId="0AB7CF8B"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PI and RA, Months 1–7.</w:t>
      </w:r>
    </w:p>
    <w:p w14:paraId="48A1C097"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O1 asks how topological features vary across a full Championship season, and how they relate to standard tactical descriptors from partner data. In Month 1, the PI establishes the Supercomputing Wales concurrent pipeline. A 20-match Championship batch in Months 1–2 re-validates the interaction-length cutoffs against [19]; stability below 0.80 triggers re-derivation and gates downstream analysis. The RA then processes the full season in Months 2–7, with the PI leading exploratory joint analysis in Months 5–7.</w:t>
      </w:r>
    </w:p>
    <w:p w14:paraId="00664A6F"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Milestones: cutoff gate, Month 2; barcode database, Month 7.</w:t>
      </w:r>
    </w:p>
    <w:p w14:paraId="6F42352D" w14:textId="77777777" w:rsidR="00601079" w:rsidRPr="00601079" w:rsidRDefault="00601079" w:rsidP="00601079">
      <w:pPr>
        <w:jc w:val="both"/>
        <w:rPr>
          <w:rFonts w:ascii="Calibri" w:hAnsi="Calibri" w:cs="Calibri"/>
          <w:sz w:val="22"/>
          <w:szCs w:val="22"/>
        </w:rPr>
      </w:pPr>
    </w:p>
    <w:p w14:paraId="59FEE9AC"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O2 — Topological fingerprinting</w:t>
      </w:r>
    </w:p>
    <w:p w14:paraId="23574A1F"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PI, Months 6–9.</w:t>
      </w:r>
    </w:p>
    <w:p w14:paraId="66C34A8C"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O2 tests whether formation systems can be distinguished by topological signatures, beyond what standard geometric shape metrics already capture. Formation labels will be drawn from </w:t>
      </w:r>
      <w:proofErr w:type="spellStart"/>
      <w:r w:rsidRPr="00601079">
        <w:rPr>
          <w:rFonts w:ascii="Calibri" w:hAnsi="Calibri" w:cs="Calibri"/>
          <w:sz w:val="22"/>
          <w:szCs w:val="22"/>
        </w:rPr>
        <w:t>StatsBomb</w:t>
      </w:r>
      <w:proofErr w:type="spellEnd"/>
      <w:r w:rsidRPr="00601079">
        <w:rPr>
          <w:rFonts w:ascii="Calibri" w:hAnsi="Calibri" w:cs="Calibri"/>
          <w:sz w:val="22"/>
          <w:szCs w:val="22"/>
        </w:rPr>
        <w:t xml:space="preserve"> and </w:t>
      </w:r>
      <w:proofErr w:type="spellStart"/>
      <w:r w:rsidRPr="00601079">
        <w:rPr>
          <w:rFonts w:ascii="Calibri" w:hAnsi="Calibri" w:cs="Calibri"/>
          <w:sz w:val="22"/>
          <w:szCs w:val="22"/>
        </w:rPr>
        <w:t>SkillCorner</w:t>
      </w:r>
      <w:proofErr w:type="spellEnd"/>
      <w:r w:rsidRPr="00601079">
        <w:rPr>
          <w:rFonts w:ascii="Calibri" w:hAnsi="Calibri" w:cs="Calibri"/>
          <w:sz w:val="22"/>
          <w:szCs w:val="22"/>
        </w:rPr>
        <w:t xml:space="preserve">; inter-rater agreement, measured by Cohen’s κ, will be checked before confirmatory testing, and hypotheses will be pre-registered on the Open Science Framework in Month 2. Tactical systems will be compared using standard distances between averaged topological summaries [6,7] and vectorised diagram-image features (§8), benchmarked against team length, width and convex-hull area. Success criteria </w:t>
      </w:r>
      <w:proofErr w:type="gramStart"/>
      <w:r w:rsidRPr="00601079">
        <w:rPr>
          <w:rFonts w:ascii="Calibri" w:hAnsi="Calibri" w:cs="Calibri"/>
          <w:sz w:val="22"/>
          <w:szCs w:val="22"/>
        </w:rPr>
        <w:t>are:</w:t>
      </w:r>
      <w:proofErr w:type="gramEnd"/>
      <w:r w:rsidRPr="00601079">
        <w:rPr>
          <w:rFonts w:ascii="Calibri" w:hAnsi="Calibri" w:cs="Calibri"/>
          <w:sz w:val="22"/>
          <w:szCs w:val="22"/>
        </w:rPr>
        <w:t xml:space="preserve"> distinct signatures for at least three tactical configurations; statistically significant between-system differences after FDR correction, p &lt; 0.05; and evidence that topological measures add information beyond geometric baselines.</w:t>
      </w:r>
    </w:p>
    <w:p w14:paraId="6D0FBB0B"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Milestones: OSF pre-registration, Month 2; fingerprint results, Month 9.</w:t>
      </w:r>
    </w:p>
    <w:p w14:paraId="0F877B34" w14:textId="77777777" w:rsidR="00601079" w:rsidRPr="00601079" w:rsidRDefault="00601079" w:rsidP="00601079">
      <w:pPr>
        <w:jc w:val="both"/>
        <w:rPr>
          <w:rFonts w:ascii="Calibri" w:hAnsi="Calibri" w:cs="Calibri"/>
          <w:sz w:val="22"/>
          <w:szCs w:val="22"/>
        </w:rPr>
      </w:pPr>
    </w:p>
    <w:p w14:paraId="5B8E2413"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O3 — Temporal dynamics and structural transitions</w:t>
      </w:r>
    </w:p>
    <w:p w14:paraId="770AD0DB"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PI and RA, Months 4–10.</w:t>
      </w:r>
    </w:p>
    <w:p w14:paraId="74FB473C"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O3 extends single-scale multi-agent change-point detection [14] to competitive, bounded, multi-scale systems (§2). It asks whether within-match evolution of topological structure aligns with annotated tactical events, including substitutions and formation changes. The RA will represent each match as a time series of topological summaries in Months 6–10. The PI will apply functional principal component analysis [25] and CUSUM change-point detection [26], with bootstrap calibration [7]. The mathematical targets </w:t>
      </w:r>
      <w:proofErr w:type="gramStart"/>
      <w:r w:rsidRPr="00601079">
        <w:rPr>
          <w:rFonts w:ascii="Calibri" w:hAnsi="Calibri" w:cs="Calibri"/>
          <w:sz w:val="22"/>
          <w:szCs w:val="22"/>
        </w:rPr>
        <w:t>are:</w:t>
      </w:r>
      <w:proofErr w:type="gramEnd"/>
      <w:r w:rsidRPr="00601079">
        <w:rPr>
          <w:rFonts w:ascii="Calibri" w:hAnsi="Calibri" w:cs="Calibri"/>
          <w:sz w:val="22"/>
          <w:szCs w:val="22"/>
        </w:rPr>
        <w:t xml:space="preserve"> well-</w:t>
      </w:r>
      <w:proofErr w:type="spellStart"/>
      <w:r w:rsidRPr="00601079">
        <w:rPr>
          <w:rFonts w:ascii="Calibri" w:hAnsi="Calibri" w:cs="Calibri"/>
          <w:sz w:val="22"/>
          <w:szCs w:val="22"/>
        </w:rPr>
        <w:t>posedness</w:t>
      </w:r>
      <w:proofErr w:type="spellEnd"/>
      <w:r w:rsidRPr="00601079">
        <w:rPr>
          <w:rFonts w:ascii="Calibri" w:hAnsi="Calibri" w:cs="Calibri"/>
          <w:sz w:val="22"/>
          <w:szCs w:val="22"/>
        </w:rPr>
        <w:t xml:space="preserve"> of the mean path in summary space under competitive sequential data, extending [7]; and a stability bound for the CUSUM statistic when summaries are perturbed in Wasserstein distance. The success criterion is that detected change-points agree with held-out tactical annotations at ≥70%, with permutation p &lt; 0.05. If the landscape-based extension requires development beyond [6,7], direct Wasserstein comparison of diagrams is the defined fallback.</w:t>
      </w:r>
    </w:p>
    <w:p w14:paraId="66E8B55E"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Milestones: landscape module, Month 8; combined O2/O3 outputs, Month 9.</w:t>
      </w:r>
    </w:p>
    <w:p w14:paraId="0882B8A2" w14:textId="77777777" w:rsidR="00601079" w:rsidRPr="00601079" w:rsidRDefault="00601079" w:rsidP="00601079">
      <w:pPr>
        <w:jc w:val="both"/>
        <w:rPr>
          <w:rFonts w:ascii="Calibri" w:hAnsi="Calibri" w:cs="Calibri"/>
          <w:sz w:val="22"/>
          <w:szCs w:val="22"/>
        </w:rPr>
      </w:pPr>
    </w:p>
    <w:p w14:paraId="19F1DE65"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O4 — Standard Grant evidence synthesis</w:t>
      </w:r>
    </w:p>
    <w:p w14:paraId="6EED7D5D"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PI, Months 9–12.</w:t>
      </w:r>
    </w:p>
    <w:p w14:paraId="27EF4D3A"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 From Month 9, the PI will compile the full-season results into a reproducible evidence pack for a separate follow-on Standard Grant translating the framework to higher-impact adversarial systems </w:t>
      </w:r>
      <w:r w:rsidRPr="00601079">
        <w:rPr>
          <w:rFonts w:ascii="Calibri" w:hAnsi="Calibri" w:cs="Calibri"/>
          <w:sz w:val="22"/>
          <w:szCs w:val="22"/>
        </w:rPr>
        <w:lastRenderedPageBreak/>
        <w:t>(§5). Submission is targeted within 12 months of project completion. O1–O3 remain standalone publishable contributions independently of this strategic output.</w:t>
      </w:r>
    </w:p>
    <w:p w14:paraId="01CD9FFC" w14:textId="2272680A" w:rsidR="00601079" w:rsidRDefault="00601079" w:rsidP="00601079">
      <w:pPr>
        <w:jc w:val="both"/>
        <w:rPr>
          <w:rFonts w:ascii="Calibri" w:hAnsi="Calibri" w:cs="Calibri"/>
          <w:sz w:val="22"/>
          <w:szCs w:val="22"/>
        </w:rPr>
      </w:pPr>
      <w:r w:rsidRPr="00601079">
        <w:rPr>
          <w:rFonts w:ascii="Calibri" w:hAnsi="Calibri" w:cs="Calibri"/>
          <w:sz w:val="22"/>
          <w:szCs w:val="22"/>
        </w:rPr>
        <w:t xml:space="preserve"> Milestone: evidence pack, Month 12.</w:t>
      </w:r>
    </w:p>
    <w:p w14:paraId="54B96027" w14:textId="77777777" w:rsidR="00601079" w:rsidRDefault="00601079" w:rsidP="00601079">
      <w:pPr>
        <w:jc w:val="both"/>
        <w:rPr>
          <w:rFonts w:ascii="Calibri" w:hAnsi="Calibri" w:cs="Calibri"/>
          <w:sz w:val="22"/>
          <w:szCs w:val="22"/>
        </w:rPr>
      </w:pPr>
    </w:p>
    <w:p w14:paraId="37A51583" w14:textId="77777777"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8. Methodology</w:t>
      </w:r>
    </w:p>
    <w:p w14:paraId="053C05C7"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The analysis will use a containerised Python pipeline built around standard topological data analysis libraries, including </w:t>
      </w:r>
      <w:proofErr w:type="spellStart"/>
      <w:r w:rsidRPr="00601079">
        <w:rPr>
          <w:rFonts w:ascii="Calibri" w:hAnsi="Calibri" w:cs="Calibri"/>
          <w:sz w:val="22"/>
          <w:szCs w:val="22"/>
        </w:rPr>
        <w:t>Ripser</w:t>
      </w:r>
      <w:proofErr w:type="spellEnd"/>
      <w:r w:rsidRPr="00601079">
        <w:rPr>
          <w:rFonts w:ascii="Calibri" w:hAnsi="Calibri" w:cs="Calibri"/>
          <w:sz w:val="22"/>
          <w:szCs w:val="22"/>
        </w:rPr>
        <w:t xml:space="preserve"> [23], GUDHI and </w:t>
      </w:r>
      <w:proofErr w:type="spellStart"/>
      <w:r w:rsidRPr="00601079">
        <w:rPr>
          <w:rFonts w:ascii="Calibri" w:hAnsi="Calibri" w:cs="Calibri"/>
          <w:sz w:val="22"/>
          <w:szCs w:val="22"/>
        </w:rPr>
        <w:t>giotto-tda</w:t>
      </w:r>
      <w:proofErr w:type="spellEnd"/>
      <w:r w:rsidRPr="00601079">
        <w:rPr>
          <w:rFonts w:ascii="Calibri" w:hAnsi="Calibri" w:cs="Calibri"/>
          <w:sz w:val="22"/>
          <w:szCs w:val="22"/>
        </w:rPr>
        <w:t xml:space="preserve"> [24]. For each frame, player locations are represented as point clouds and processed through the validated multi-scale workflow developed in clustering at empirically derived interaction lengths, computation of homology at each scale using adaptive distance thresholds, and storage of the resulting barcodes and vectorised summaries. The pipeline computes homology in under 2 seconds per frame and is embarrassingly parallel, allowing season-scale processing on Supercomputing Wales (§12).</w:t>
      </w:r>
    </w:p>
    <w:p w14:paraId="6E9C0736"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The Month 1–2 validation gate ensures that the pilot-derived interaction scales transfer to Championship data before full-season analysis begins. A 20-match batch will test whether the previously identified cutoffs remain stable; if stability falls below 0.80, cutoffs will be re-derived on the Championship sample before O1–O3 proceed. The same gate will confirm that 1 Hz production sampling preserves the topological features detected at higher temporal resolution, preventing unnecessary full-season computation on an invalid sampling regime.</w:t>
      </w:r>
    </w:p>
    <w:p w14:paraId="5576496A"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For O1, the resulting barcode database will be summarised using scale-specific H₀ and H₁ statistics, including cluster regimes, loop presence, loop persistence and correlations between scales. For O2, tactical systems will be compared using distances between averaged landscape summaries [6,7], vectorised diagram-image features, and benchmark models based on conventional geometric descriptors, including team length, width and convex-hull area. For O3, each match will be treated as a time series of topological summaries; functional principal component analysis [25], CUSUM change-point detection [26] and bootstrap calibration [7] will be used to identify structural transitions and compare them </w:t>
      </w:r>
      <w:proofErr w:type="spellStart"/>
      <w:r w:rsidRPr="00601079">
        <w:rPr>
          <w:rFonts w:ascii="Calibri" w:hAnsi="Calibri" w:cs="Calibri"/>
          <w:sz w:val="22"/>
          <w:szCs w:val="22"/>
        </w:rPr>
        <w:t>with held</w:t>
      </w:r>
      <w:proofErr w:type="spellEnd"/>
      <w:r w:rsidRPr="00601079">
        <w:rPr>
          <w:rFonts w:ascii="Calibri" w:hAnsi="Calibri" w:cs="Calibri"/>
          <w:sz w:val="22"/>
          <w:szCs w:val="22"/>
        </w:rPr>
        <w:t>-out tactical annotations.</w:t>
      </w:r>
    </w:p>
    <w:p w14:paraId="36AD3051" w14:textId="1BD2550B" w:rsidR="00601079" w:rsidRDefault="00601079" w:rsidP="00601079">
      <w:pPr>
        <w:jc w:val="both"/>
        <w:rPr>
          <w:rFonts w:ascii="Calibri" w:hAnsi="Calibri" w:cs="Calibri"/>
          <w:sz w:val="22"/>
          <w:szCs w:val="22"/>
        </w:rPr>
      </w:pPr>
      <w:r w:rsidRPr="00601079">
        <w:rPr>
          <w:rFonts w:ascii="Calibri" w:hAnsi="Calibri" w:cs="Calibri"/>
          <w:sz w:val="22"/>
          <w:szCs w:val="22"/>
        </w:rPr>
        <w:t>All analyses will be reproducible: the pipeline will be containerised, hypotheses for O2 will be pre-registered, code will be archived with a DOI, and the final outputs will include the barcode database, feature tables, validation diagnostics and documented scripts needed to reproduce the season-scale results.</w:t>
      </w:r>
    </w:p>
    <w:p w14:paraId="417D0E63" w14:textId="77777777" w:rsidR="00601079" w:rsidRDefault="00601079" w:rsidP="00601079">
      <w:pPr>
        <w:jc w:val="both"/>
        <w:rPr>
          <w:rFonts w:ascii="Calibri" w:hAnsi="Calibri" w:cs="Calibri"/>
          <w:sz w:val="22"/>
          <w:szCs w:val="22"/>
        </w:rPr>
      </w:pPr>
    </w:p>
    <w:p w14:paraId="5FBF6C01" w14:textId="77777777"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9. Feasibility and Risk Management</w:t>
      </w:r>
    </w:p>
    <w:p w14:paraId="71510300" w14:textId="77777777" w:rsidR="00601079" w:rsidRPr="00601079" w:rsidRDefault="00601079" w:rsidP="00601079">
      <w:pPr>
        <w:jc w:val="both"/>
        <w:rPr>
          <w:rFonts w:ascii="Calibri" w:hAnsi="Calibri" w:cs="Calibri"/>
          <w:sz w:val="22"/>
          <w:szCs w:val="22"/>
        </w:rPr>
      </w:pPr>
      <w:r w:rsidRPr="00FF49D6">
        <w:rPr>
          <w:rFonts w:ascii="Calibri" w:hAnsi="Calibri" w:cs="Calibri"/>
          <w:b/>
          <w:bCs/>
          <w:sz w:val="22"/>
          <w:szCs w:val="22"/>
        </w:rPr>
        <w:t>Feasibility</w:t>
      </w:r>
      <w:r w:rsidRPr="00601079">
        <w:rPr>
          <w:rFonts w:ascii="Calibri" w:hAnsi="Calibri" w:cs="Calibri"/>
          <w:sz w:val="22"/>
          <w:szCs w:val="22"/>
        </w:rPr>
        <w:t>. The project is feasible within 12 months because the core methodology has already been validated at pilot scale (§2), the computational workload is modest, and the workplan contains an early validation gate before full-season commitment. Season-scale processing requires approximately 1,600 CPU-hours, well within the 5,000 core-hour Supercomputing Wales allocation (§12), and the computation is embarrassingly parallel. The Month-2 cutoff gate (§7, §8) de-risks the analysis by confirming transferability of interaction-length cutoffs and 1 Hz production sampling before the full Championship dataset is processed. The team combines the required expertise in applied topology, statistical modelling and football-domain interpretation (§11), while the RA role provides dedicated implementation capacity during the computationally intensive phase.</w:t>
      </w:r>
    </w:p>
    <w:p w14:paraId="4BECFF00" w14:textId="77777777" w:rsidR="00601079" w:rsidRPr="00601079" w:rsidRDefault="00601079" w:rsidP="00601079">
      <w:pPr>
        <w:jc w:val="both"/>
        <w:rPr>
          <w:rFonts w:ascii="Calibri" w:hAnsi="Calibri" w:cs="Calibri"/>
          <w:sz w:val="22"/>
          <w:szCs w:val="22"/>
        </w:rPr>
      </w:pPr>
    </w:p>
    <w:p w14:paraId="5DFF8155" w14:textId="77777777" w:rsidR="00601079" w:rsidRPr="00601079" w:rsidRDefault="00601079" w:rsidP="00601079">
      <w:pPr>
        <w:jc w:val="both"/>
        <w:rPr>
          <w:rFonts w:ascii="Calibri" w:hAnsi="Calibri" w:cs="Calibri"/>
          <w:sz w:val="22"/>
          <w:szCs w:val="22"/>
        </w:rPr>
      </w:pPr>
      <w:r w:rsidRPr="00FF49D6">
        <w:rPr>
          <w:rFonts w:ascii="Calibri" w:hAnsi="Calibri" w:cs="Calibri"/>
          <w:b/>
          <w:bCs/>
          <w:sz w:val="22"/>
          <w:szCs w:val="22"/>
        </w:rPr>
        <w:t>Risk management.</w:t>
      </w:r>
      <w:r w:rsidRPr="00601079">
        <w:rPr>
          <w:rFonts w:ascii="Calibri" w:hAnsi="Calibri" w:cs="Calibri"/>
          <w:sz w:val="22"/>
          <w:szCs w:val="22"/>
        </w:rPr>
        <w:t xml:space="preserve"> The project has been designed so that the main research objectives remain deliverable under realistic contingencies.</w:t>
      </w:r>
    </w:p>
    <w:p w14:paraId="2E118E05" w14:textId="77777777" w:rsidR="00601079" w:rsidRPr="00601079" w:rsidRDefault="00601079" w:rsidP="00601079">
      <w:pPr>
        <w:jc w:val="both"/>
        <w:rPr>
          <w:rFonts w:ascii="Calibri" w:hAnsi="Calibri" w:cs="Calibri"/>
          <w:sz w:val="22"/>
          <w:szCs w:val="22"/>
        </w:rPr>
      </w:pPr>
    </w:p>
    <w:p w14:paraId="72821E1F" w14:textId="77777777" w:rsidR="00601079" w:rsidRPr="00FF49D6" w:rsidRDefault="00601079" w:rsidP="00FF49D6">
      <w:pPr>
        <w:pStyle w:val="ListParagraph"/>
        <w:numPr>
          <w:ilvl w:val="0"/>
          <w:numId w:val="1"/>
        </w:numPr>
        <w:ind w:left="284" w:hanging="284"/>
        <w:jc w:val="both"/>
        <w:rPr>
          <w:rFonts w:ascii="Calibri" w:hAnsi="Calibri" w:cs="Calibri"/>
          <w:sz w:val="22"/>
          <w:szCs w:val="22"/>
        </w:rPr>
      </w:pPr>
      <w:r w:rsidRPr="00FF49D6">
        <w:rPr>
          <w:rFonts w:ascii="Calibri" w:hAnsi="Calibri" w:cs="Calibri"/>
          <w:sz w:val="22"/>
          <w:szCs w:val="22"/>
        </w:rPr>
        <w:t>Data access</w:t>
      </w:r>
    </w:p>
    <w:p w14:paraId="04CA6FF8" w14:textId="13C75D65"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i/>
          <w:iCs/>
          <w:sz w:val="22"/>
          <w:szCs w:val="22"/>
        </w:rPr>
        <w:t>Likelihood: Low; Impact: High</w:t>
      </w:r>
      <w:r w:rsidRPr="00FF49D6">
        <w:rPr>
          <w:rFonts w:ascii="Calibri" w:hAnsi="Calibri" w:cs="Calibri"/>
          <w:sz w:val="22"/>
          <w:szCs w:val="22"/>
        </w:rPr>
        <w:t>.</w:t>
      </w:r>
    </w:p>
    <w:p w14:paraId="6536355D" w14:textId="16BC5909"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sz w:val="22"/>
          <w:szCs w:val="22"/>
        </w:rPr>
        <w:t xml:space="preserve">The </w:t>
      </w:r>
      <w:proofErr w:type="spellStart"/>
      <w:r w:rsidRPr="00FF49D6">
        <w:rPr>
          <w:rFonts w:ascii="Calibri" w:hAnsi="Calibri" w:cs="Calibri"/>
          <w:sz w:val="22"/>
          <w:szCs w:val="22"/>
        </w:rPr>
        <w:t>StatsBomb</w:t>
      </w:r>
      <w:proofErr w:type="spellEnd"/>
      <w:r w:rsidRPr="00FF49D6">
        <w:rPr>
          <w:rFonts w:ascii="Calibri" w:hAnsi="Calibri" w:cs="Calibri"/>
          <w:sz w:val="22"/>
          <w:szCs w:val="22"/>
        </w:rPr>
        <w:t xml:space="preserve"> agreement is confirmed for the 2024/25 Championship season. If full-season access is delayed or reduced, a contingency dataset of approximately 270 matches remains sufficient for O1 population-level estimation, although O2 formation comparisons would become exploratory rather than confirmatory.</w:t>
      </w:r>
    </w:p>
    <w:p w14:paraId="6BAA1A6F" w14:textId="77777777" w:rsidR="00601079" w:rsidRPr="00601079" w:rsidRDefault="00601079" w:rsidP="00FF49D6">
      <w:pPr>
        <w:ind w:left="284" w:hanging="284"/>
        <w:jc w:val="both"/>
        <w:rPr>
          <w:rFonts w:ascii="Calibri" w:hAnsi="Calibri" w:cs="Calibri"/>
          <w:sz w:val="22"/>
          <w:szCs w:val="22"/>
        </w:rPr>
      </w:pPr>
    </w:p>
    <w:p w14:paraId="77C4F282" w14:textId="77777777" w:rsidR="00601079" w:rsidRPr="00FF49D6" w:rsidRDefault="00601079" w:rsidP="00FF49D6">
      <w:pPr>
        <w:pStyle w:val="ListParagraph"/>
        <w:numPr>
          <w:ilvl w:val="0"/>
          <w:numId w:val="1"/>
        </w:numPr>
        <w:ind w:left="284" w:hanging="284"/>
        <w:jc w:val="both"/>
        <w:rPr>
          <w:rFonts w:ascii="Calibri" w:hAnsi="Calibri" w:cs="Calibri"/>
          <w:sz w:val="22"/>
          <w:szCs w:val="22"/>
        </w:rPr>
      </w:pPr>
      <w:r w:rsidRPr="00FF49D6">
        <w:rPr>
          <w:rFonts w:ascii="Calibri" w:hAnsi="Calibri" w:cs="Calibri"/>
          <w:sz w:val="22"/>
          <w:szCs w:val="22"/>
        </w:rPr>
        <w:t>Scale transferability</w:t>
      </w:r>
    </w:p>
    <w:p w14:paraId="59984B81" w14:textId="3BAF5207"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i/>
          <w:iCs/>
          <w:sz w:val="22"/>
          <w:szCs w:val="22"/>
        </w:rPr>
        <w:t>Likelihood: Medium; Impact: Medium</w:t>
      </w:r>
      <w:r w:rsidRPr="00FF49D6">
        <w:rPr>
          <w:rFonts w:ascii="Calibri" w:hAnsi="Calibri" w:cs="Calibri"/>
          <w:sz w:val="22"/>
          <w:szCs w:val="22"/>
        </w:rPr>
        <w:t>.</w:t>
      </w:r>
    </w:p>
    <w:p w14:paraId="42956B74" w14:textId="6F5B2D1E"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sz w:val="22"/>
          <w:szCs w:val="22"/>
        </w:rPr>
        <w:t>Pilot-derived cutoffs may not transfer directly to Championship data. This is managed by the Month-2 validation gate: if stability falls below 0.80 on the 20-match batch, interaction-length cutoffs will be re-derived before downstream O1–O3 analysis proceeds.</w:t>
      </w:r>
    </w:p>
    <w:p w14:paraId="794827F0" w14:textId="77777777" w:rsidR="00601079" w:rsidRPr="00601079" w:rsidRDefault="00601079" w:rsidP="00FF49D6">
      <w:pPr>
        <w:ind w:left="284" w:hanging="284"/>
        <w:jc w:val="both"/>
        <w:rPr>
          <w:rFonts w:ascii="Calibri" w:hAnsi="Calibri" w:cs="Calibri"/>
          <w:sz w:val="22"/>
          <w:szCs w:val="22"/>
        </w:rPr>
      </w:pPr>
    </w:p>
    <w:p w14:paraId="60312A7B" w14:textId="77777777" w:rsidR="00601079" w:rsidRPr="00FF49D6" w:rsidRDefault="00601079" w:rsidP="00FF49D6">
      <w:pPr>
        <w:pStyle w:val="ListParagraph"/>
        <w:numPr>
          <w:ilvl w:val="0"/>
          <w:numId w:val="1"/>
        </w:numPr>
        <w:ind w:left="284" w:hanging="284"/>
        <w:jc w:val="both"/>
        <w:rPr>
          <w:rFonts w:ascii="Calibri" w:hAnsi="Calibri" w:cs="Calibri"/>
          <w:sz w:val="22"/>
          <w:szCs w:val="22"/>
        </w:rPr>
      </w:pPr>
      <w:r w:rsidRPr="00FF49D6">
        <w:rPr>
          <w:rFonts w:ascii="Calibri" w:hAnsi="Calibri" w:cs="Calibri"/>
          <w:sz w:val="22"/>
          <w:szCs w:val="22"/>
        </w:rPr>
        <w:t>Formation-label noise</w:t>
      </w:r>
    </w:p>
    <w:p w14:paraId="59379A1B" w14:textId="340102AC"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i/>
          <w:iCs/>
          <w:sz w:val="22"/>
          <w:szCs w:val="22"/>
        </w:rPr>
        <w:t>Likelihood: Medium; Impact: Medium</w:t>
      </w:r>
      <w:r w:rsidRPr="00FF49D6">
        <w:rPr>
          <w:rFonts w:ascii="Calibri" w:hAnsi="Calibri" w:cs="Calibri"/>
          <w:sz w:val="22"/>
          <w:szCs w:val="22"/>
        </w:rPr>
        <w:t>.</w:t>
      </w:r>
    </w:p>
    <w:p w14:paraId="451FED74" w14:textId="2CE641CF"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sz w:val="22"/>
          <w:szCs w:val="22"/>
        </w:rPr>
        <w:t>Tactical labels may vary between providers or analysts. This is mitigated through dual-source verification, inter-rater agreement checks using Cohen’s κ, unsupervised clustering of topological summaries, and a pre-registered exclusion protocol for ambiguous cases.</w:t>
      </w:r>
    </w:p>
    <w:p w14:paraId="74E54757" w14:textId="77777777" w:rsidR="00601079" w:rsidRPr="00601079" w:rsidRDefault="00601079" w:rsidP="00FF49D6">
      <w:pPr>
        <w:ind w:left="284" w:hanging="284"/>
        <w:jc w:val="both"/>
        <w:rPr>
          <w:rFonts w:ascii="Calibri" w:hAnsi="Calibri" w:cs="Calibri"/>
          <w:sz w:val="22"/>
          <w:szCs w:val="22"/>
        </w:rPr>
      </w:pPr>
    </w:p>
    <w:p w14:paraId="1AEECA65" w14:textId="77777777" w:rsidR="00601079" w:rsidRPr="00FF49D6" w:rsidRDefault="00601079" w:rsidP="00FF49D6">
      <w:pPr>
        <w:pStyle w:val="ListParagraph"/>
        <w:numPr>
          <w:ilvl w:val="0"/>
          <w:numId w:val="1"/>
        </w:numPr>
        <w:ind w:left="284" w:hanging="284"/>
        <w:jc w:val="both"/>
        <w:rPr>
          <w:rFonts w:ascii="Calibri" w:hAnsi="Calibri" w:cs="Calibri"/>
          <w:sz w:val="22"/>
          <w:szCs w:val="22"/>
        </w:rPr>
      </w:pPr>
      <w:r w:rsidRPr="00FF49D6">
        <w:rPr>
          <w:rFonts w:ascii="Calibri" w:hAnsi="Calibri" w:cs="Calibri"/>
          <w:sz w:val="22"/>
          <w:szCs w:val="22"/>
        </w:rPr>
        <w:t>Landscape theory and sequential summaries</w:t>
      </w:r>
    </w:p>
    <w:p w14:paraId="55D74CD9" w14:textId="1D00EB72"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i/>
          <w:iCs/>
          <w:sz w:val="22"/>
          <w:szCs w:val="22"/>
        </w:rPr>
        <w:t>Likelihood: Medium; Impact: Medium</w:t>
      </w:r>
      <w:r w:rsidRPr="00FF49D6">
        <w:rPr>
          <w:rFonts w:ascii="Calibri" w:hAnsi="Calibri" w:cs="Calibri"/>
          <w:sz w:val="22"/>
          <w:szCs w:val="22"/>
        </w:rPr>
        <w:t>.</w:t>
      </w:r>
    </w:p>
    <w:p w14:paraId="3FABF799" w14:textId="41FDA2F3" w:rsidR="00601079" w:rsidRPr="00FF49D6" w:rsidRDefault="00601079" w:rsidP="00FF49D6">
      <w:pPr>
        <w:pStyle w:val="ListParagraph"/>
        <w:ind w:left="284"/>
        <w:jc w:val="both"/>
        <w:rPr>
          <w:rFonts w:ascii="Calibri" w:hAnsi="Calibri" w:cs="Calibri"/>
          <w:sz w:val="22"/>
          <w:szCs w:val="22"/>
        </w:rPr>
      </w:pPr>
      <w:r w:rsidRPr="00FF49D6">
        <w:rPr>
          <w:rFonts w:ascii="Calibri" w:hAnsi="Calibri" w:cs="Calibri"/>
          <w:sz w:val="22"/>
          <w:szCs w:val="22"/>
        </w:rPr>
        <w:t>The extension of landscape-based summaries to sequential competitive data may require additional theoretical development beyond [6,7]. O3 is protected by a defined fallback: direct Wasserstein comparison of persistence diagrams will be used if the landscape-based extension cannot be completed within the project timescale.</w:t>
      </w:r>
    </w:p>
    <w:p w14:paraId="43468F75" w14:textId="77777777" w:rsidR="00601079" w:rsidRPr="00601079" w:rsidRDefault="00601079" w:rsidP="00601079">
      <w:pPr>
        <w:jc w:val="both"/>
        <w:rPr>
          <w:rFonts w:ascii="Calibri" w:hAnsi="Calibri" w:cs="Calibri"/>
          <w:sz w:val="22"/>
          <w:szCs w:val="22"/>
        </w:rPr>
      </w:pPr>
    </w:p>
    <w:p w14:paraId="3F75701F" w14:textId="04FA6468" w:rsidR="00601079" w:rsidRDefault="00601079" w:rsidP="00601079">
      <w:pPr>
        <w:jc w:val="both"/>
        <w:rPr>
          <w:rFonts w:ascii="Calibri" w:hAnsi="Calibri" w:cs="Calibri"/>
          <w:sz w:val="22"/>
          <w:szCs w:val="22"/>
        </w:rPr>
      </w:pPr>
      <w:r w:rsidRPr="00601079">
        <w:rPr>
          <w:rFonts w:ascii="Calibri" w:hAnsi="Calibri" w:cs="Calibri"/>
          <w:sz w:val="22"/>
          <w:szCs w:val="22"/>
        </w:rPr>
        <w:t>Together, these mitigations ensure that the project remains publishable even under partial delivery: O1 provides the season-scale barcode database and population statistics; O2 provides either confirmatory or exploratory formation fingerprinting, depending on label and sample quality; and O3 provides dynamic change-point analysis through either landscape summaries or Wasserstein-based diagram comparison.</w:t>
      </w:r>
    </w:p>
    <w:p w14:paraId="20E88195" w14:textId="77777777" w:rsidR="00601079" w:rsidRDefault="00601079" w:rsidP="00601079">
      <w:pPr>
        <w:jc w:val="both"/>
        <w:rPr>
          <w:rFonts w:ascii="Calibri" w:hAnsi="Calibri" w:cs="Calibri"/>
          <w:sz w:val="22"/>
          <w:szCs w:val="22"/>
        </w:rPr>
      </w:pPr>
    </w:p>
    <w:p w14:paraId="5448E158" w14:textId="77777777"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10. Translation to Outcomes and Impact</w:t>
      </w:r>
    </w:p>
    <w:p w14:paraId="2E5AA1B2"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The project translates research outputs into outcomes through open software, peer-reviewed publications, practitioner engagement and a follow-on funding pathway. The multi-scale topology pipeline will be released as a documented, containerised open-source package and archived through Swansea University’s </w:t>
      </w:r>
      <w:proofErr w:type="spellStart"/>
      <w:r w:rsidRPr="00601079">
        <w:rPr>
          <w:rFonts w:ascii="Calibri" w:hAnsi="Calibri" w:cs="Calibri"/>
          <w:sz w:val="22"/>
          <w:szCs w:val="22"/>
        </w:rPr>
        <w:t>Zenodo</w:t>
      </w:r>
      <w:proofErr w:type="spellEnd"/>
      <w:r w:rsidRPr="00601079">
        <w:rPr>
          <w:rFonts w:ascii="Calibri" w:hAnsi="Calibri" w:cs="Calibri"/>
          <w:sz w:val="22"/>
          <w:szCs w:val="22"/>
        </w:rPr>
        <w:t xml:space="preserve"> community with a DOI. The release will include reproducible scripts, validation diagnostics, example workflows and the derived feature tables needed to support reuse by mathematical scientists and applied data analysts.</w:t>
      </w:r>
    </w:p>
    <w:p w14:paraId="42120CCC"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 xml:space="preserve">The publication plan has three complementary strands. The methodology paper [19], submitted to </w:t>
      </w:r>
      <w:proofErr w:type="spellStart"/>
      <w:r w:rsidRPr="00601079">
        <w:rPr>
          <w:rFonts w:ascii="Calibri" w:hAnsi="Calibri" w:cs="Calibri"/>
          <w:sz w:val="22"/>
          <w:szCs w:val="22"/>
        </w:rPr>
        <w:t>arXiv</w:t>
      </w:r>
      <w:proofErr w:type="spellEnd"/>
      <w:r w:rsidRPr="00601079">
        <w:rPr>
          <w:rFonts w:ascii="Calibri" w:hAnsi="Calibri" w:cs="Calibri"/>
          <w:sz w:val="22"/>
          <w:szCs w:val="22"/>
        </w:rPr>
        <w:t xml:space="preserve"> and the Journal of Applied and Computational Topology from Month 1, establishes the validated multi-scale pipeline. The companion football-analytics paper [22], targeting the Journal of Sports Sciences, develops practitioner interpretation and domain-facing use cases. A full-season results paper, targeted for Month 11, will report the population-scale statistics, formation fingerprints and dynamic change-point analyses developed through O1–O3.</w:t>
      </w:r>
    </w:p>
    <w:p w14:paraId="10F21D32" w14:textId="77777777" w:rsidR="00601079" w:rsidRPr="00601079" w:rsidRDefault="00601079" w:rsidP="00601079">
      <w:pPr>
        <w:jc w:val="both"/>
        <w:rPr>
          <w:rFonts w:ascii="Calibri" w:hAnsi="Calibri" w:cs="Calibri"/>
          <w:sz w:val="22"/>
          <w:szCs w:val="22"/>
        </w:rPr>
      </w:pPr>
      <w:r w:rsidRPr="00601079">
        <w:rPr>
          <w:rFonts w:ascii="Calibri" w:hAnsi="Calibri" w:cs="Calibri"/>
          <w:sz w:val="22"/>
          <w:szCs w:val="22"/>
        </w:rPr>
        <w:t>Practitioner translation will be co-developed with Swansea City AFC. Outputs will focus on interpretable visualisations of pressing structures, formation gaps and defensive-line organisation, allowing analysts to compare topological summaries against familiar geometric descriptors. These outputs are designed as decision-support and interpretation tools, not automated tactical prescriptions.</w:t>
      </w:r>
    </w:p>
    <w:p w14:paraId="6BDC247D" w14:textId="23EF1879" w:rsidR="00601079" w:rsidRDefault="00601079" w:rsidP="00601079">
      <w:pPr>
        <w:jc w:val="both"/>
        <w:rPr>
          <w:rFonts w:ascii="Calibri" w:hAnsi="Calibri" w:cs="Calibri"/>
          <w:sz w:val="22"/>
          <w:szCs w:val="22"/>
        </w:rPr>
      </w:pPr>
      <w:r w:rsidRPr="00601079">
        <w:rPr>
          <w:rFonts w:ascii="Calibri" w:hAnsi="Calibri" w:cs="Calibri"/>
          <w:sz w:val="22"/>
          <w:szCs w:val="22"/>
        </w:rPr>
        <w:t>The longer-term translation route is the follow-on Standard Grant (§7, O4). The evidence pack produced in Month 12 will combine the open-source pipeline, full-season validation results, practitioner feedback and domain-transfer plan needed to extend the framework to higher-impact adversarial systems identified in §5.</w:t>
      </w:r>
    </w:p>
    <w:p w14:paraId="3B66E7FA" w14:textId="77777777" w:rsidR="00601079" w:rsidRPr="00601079" w:rsidRDefault="00601079" w:rsidP="00601079">
      <w:pPr>
        <w:jc w:val="both"/>
        <w:rPr>
          <w:rFonts w:ascii="Calibri" w:hAnsi="Calibri" w:cs="Calibri"/>
          <w:sz w:val="22"/>
          <w:szCs w:val="22"/>
        </w:rPr>
      </w:pPr>
    </w:p>
    <w:p w14:paraId="2FD1C97C" w14:textId="7DFF8A66"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11. Research Environment</w:t>
      </w:r>
    </w:p>
    <w:p w14:paraId="042C1B97" w14:textId="1BE1F00A" w:rsidR="00601079" w:rsidRPr="00601079" w:rsidRDefault="00601079" w:rsidP="00601079">
      <w:pPr>
        <w:jc w:val="both"/>
        <w:rPr>
          <w:rFonts w:ascii="Calibri" w:hAnsi="Calibri" w:cs="Calibri"/>
          <w:sz w:val="22"/>
          <w:szCs w:val="22"/>
        </w:rPr>
      </w:pPr>
      <w:r w:rsidRPr="00601079">
        <w:rPr>
          <w:rFonts w:ascii="Calibri" w:hAnsi="Calibri" w:cs="Calibri"/>
          <w:sz w:val="22"/>
          <w:szCs w:val="22"/>
        </w:rPr>
        <w:lastRenderedPageBreak/>
        <w:t xml:space="preserve">Research Environment. Swansea University provides the interdisciplinary environment required for delivery, combining computational mathematics, applied topology, sport science and external partnership. The Zienkiewicz Institute offers the computational mathematics setting for method development, high-performance analysis and reusable software. The PI leads the applied-topology framework, pipeline development and season-scale analysis; Professor </w:t>
      </w:r>
      <w:proofErr w:type="spellStart"/>
      <w:r w:rsidRPr="00601079">
        <w:rPr>
          <w:rFonts w:ascii="Calibri" w:hAnsi="Calibri" w:cs="Calibri"/>
          <w:sz w:val="22"/>
          <w:szCs w:val="22"/>
        </w:rPr>
        <w:t>Gibin</w:t>
      </w:r>
      <w:proofErr w:type="spellEnd"/>
      <w:r w:rsidRPr="00601079">
        <w:rPr>
          <w:rFonts w:ascii="Calibri" w:hAnsi="Calibri" w:cs="Calibri"/>
          <w:sz w:val="22"/>
          <w:szCs w:val="22"/>
        </w:rPr>
        <w:t xml:space="preserve"> Powathil contributes mathematical-oncology expertise underpinning the future health-sector pathway (§5); and Professor Liam Kilduff provides sport and exercise science expertise for tactical interpretation. The established Swansea City AFC partnership provides a live co-development setting for practitioner-facing outputs, ensuring that topological summaries are interpreted against meaningful football contexts. Together, these resources support delivery of the 12-month project and preparation of the follow-on Standard Grant pathway (§7, O4).</w:t>
      </w:r>
    </w:p>
    <w:p w14:paraId="2F3C9978" w14:textId="77777777" w:rsidR="00601079" w:rsidRPr="00601079" w:rsidRDefault="00601079" w:rsidP="00601079">
      <w:pPr>
        <w:jc w:val="both"/>
        <w:rPr>
          <w:rFonts w:ascii="Calibri" w:hAnsi="Calibri" w:cs="Calibri"/>
          <w:sz w:val="22"/>
          <w:szCs w:val="22"/>
        </w:rPr>
      </w:pPr>
    </w:p>
    <w:p w14:paraId="53B65032" w14:textId="77777777" w:rsidR="00601079" w:rsidRPr="00FF49D6" w:rsidRDefault="00601079" w:rsidP="00601079">
      <w:pPr>
        <w:jc w:val="both"/>
        <w:rPr>
          <w:rFonts w:ascii="Calibri" w:hAnsi="Calibri" w:cs="Calibri"/>
          <w:b/>
          <w:bCs/>
          <w:sz w:val="22"/>
          <w:szCs w:val="22"/>
        </w:rPr>
      </w:pPr>
      <w:r w:rsidRPr="00FF49D6">
        <w:rPr>
          <w:rFonts w:ascii="Calibri" w:hAnsi="Calibri" w:cs="Calibri"/>
          <w:b/>
          <w:bCs/>
          <w:sz w:val="22"/>
          <w:szCs w:val="22"/>
        </w:rPr>
        <w:t>12. Facilities, Infrastructure and Host Support</w:t>
      </w:r>
    </w:p>
    <w:p w14:paraId="00C6150A" w14:textId="649D31C4" w:rsidR="00601079" w:rsidRPr="00601079" w:rsidRDefault="00601079" w:rsidP="00601079">
      <w:pPr>
        <w:jc w:val="both"/>
        <w:rPr>
          <w:rFonts w:ascii="Calibri" w:hAnsi="Calibri" w:cs="Calibri"/>
          <w:sz w:val="22"/>
          <w:szCs w:val="22"/>
        </w:rPr>
      </w:pPr>
      <w:r w:rsidRPr="00601079">
        <w:rPr>
          <w:rFonts w:ascii="Calibri" w:hAnsi="Calibri" w:cs="Calibri"/>
          <w:sz w:val="22"/>
          <w:szCs w:val="22"/>
        </w:rPr>
        <w:t>Full-season processing requires approximately 1,600 CPU-hours, comfortably within the PI’s existing 5,000 core-hour Supercomputing Wales allocation. This covers the Month 1–2 validation batches, full-season production runs, O3 temporal analysis and contingency re-processing if interaction-length cutoffs need to be re-derived. Championship tracking data and formation labels are secured through the Swansea City AFC–</w:t>
      </w:r>
      <w:proofErr w:type="spellStart"/>
      <w:r w:rsidRPr="00601079">
        <w:rPr>
          <w:rFonts w:ascii="Calibri" w:hAnsi="Calibri" w:cs="Calibri"/>
          <w:sz w:val="22"/>
          <w:szCs w:val="22"/>
        </w:rPr>
        <w:t>StatsBomb</w:t>
      </w:r>
      <w:proofErr w:type="spellEnd"/>
      <w:r w:rsidRPr="00601079">
        <w:rPr>
          <w:rFonts w:ascii="Calibri" w:hAnsi="Calibri" w:cs="Calibri"/>
          <w:sz w:val="22"/>
          <w:szCs w:val="22"/>
        </w:rPr>
        <w:t xml:space="preserve"> agreement, providing the empirical basis for O1–O3. The established containerised pipeline (§8) ensures reproducible execution across local and high-performance computing environments. Swansea University provides host support through the Zienkiewicz Institute, Research Office and existing partnership infrastructure, including support for data governance and fast-tracked ethics review. Together, the confirmed compute allocation, secured data access and institutional support provide the infrastructure required to deliver the 12-month workplan.</w:t>
      </w:r>
    </w:p>
    <w:sectPr w:rsidR="00601079" w:rsidRPr="00601079"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164E6E"/>
    <w:multiLevelType w:val="hybridMultilevel"/>
    <w:tmpl w:val="45CCF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62194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079"/>
    <w:rsid w:val="00110A7C"/>
    <w:rsid w:val="0039664B"/>
    <w:rsid w:val="005D7D6A"/>
    <w:rsid w:val="00601079"/>
    <w:rsid w:val="00716867"/>
    <w:rsid w:val="00736938"/>
    <w:rsid w:val="00743AA8"/>
    <w:rsid w:val="008C5AD8"/>
    <w:rsid w:val="009F2263"/>
    <w:rsid w:val="00B03625"/>
    <w:rsid w:val="00B80347"/>
    <w:rsid w:val="00C436ED"/>
    <w:rsid w:val="00C63905"/>
    <w:rsid w:val="00C8460E"/>
    <w:rsid w:val="00EA1C93"/>
    <w:rsid w:val="00F301F7"/>
    <w:rsid w:val="00F406E1"/>
    <w:rsid w:val="00F94B3A"/>
    <w:rsid w:val="00FF4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63CF2D"/>
  <w15:chartTrackingRefBased/>
  <w15:docId w15:val="{F2B54DE0-DB34-DA49-AF48-A61CA05F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0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0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0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0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079"/>
    <w:rPr>
      <w:rFonts w:eastAsiaTheme="majorEastAsia" w:cstheme="majorBidi"/>
      <w:color w:val="272727" w:themeColor="text1" w:themeTint="D8"/>
    </w:rPr>
  </w:style>
  <w:style w:type="paragraph" w:styleId="Title">
    <w:name w:val="Title"/>
    <w:basedOn w:val="Normal"/>
    <w:next w:val="Normal"/>
    <w:link w:val="TitleChar"/>
    <w:uiPriority w:val="10"/>
    <w:qFormat/>
    <w:rsid w:val="006010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0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0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1079"/>
    <w:rPr>
      <w:i/>
      <w:iCs/>
      <w:color w:val="404040" w:themeColor="text1" w:themeTint="BF"/>
    </w:rPr>
  </w:style>
  <w:style w:type="paragraph" w:styleId="ListParagraph">
    <w:name w:val="List Paragraph"/>
    <w:basedOn w:val="Normal"/>
    <w:uiPriority w:val="34"/>
    <w:qFormat/>
    <w:rsid w:val="00601079"/>
    <w:pPr>
      <w:ind w:left="720"/>
      <w:contextualSpacing/>
    </w:pPr>
  </w:style>
  <w:style w:type="character" w:styleId="IntenseEmphasis">
    <w:name w:val="Intense Emphasis"/>
    <w:basedOn w:val="DefaultParagraphFont"/>
    <w:uiPriority w:val="21"/>
    <w:qFormat/>
    <w:rsid w:val="00601079"/>
    <w:rPr>
      <w:i/>
      <w:iCs/>
      <w:color w:val="0F4761" w:themeColor="accent1" w:themeShade="BF"/>
    </w:rPr>
  </w:style>
  <w:style w:type="paragraph" w:styleId="IntenseQuote">
    <w:name w:val="Intense Quote"/>
    <w:basedOn w:val="Normal"/>
    <w:next w:val="Normal"/>
    <w:link w:val="IntenseQuoteChar"/>
    <w:uiPriority w:val="30"/>
    <w:qFormat/>
    <w:rsid w:val="00601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079"/>
    <w:rPr>
      <w:i/>
      <w:iCs/>
      <w:color w:val="0F4761" w:themeColor="accent1" w:themeShade="BF"/>
    </w:rPr>
  </w:style>
  <w:style w:type="character" w:styleId="IntenseReference">
    <w:name w:val="Intense Reference"/>
    <w:basedOn w:val="DefaultParagraphFont"/>
    <w:uiPriority w:val="32"/>
    <w:qFormat/>
    <w:rsid w:val="006010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3901</Words>
  <Characters>22237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2</cp:revision>
  <dcterms:created xsi:type="dcterms:W3CDTF">2026-07-31T16:03:00Z</dcterms:created>
  <dcterms:modified xsi:type="dcterms:W3CDTF">2026-07-31T16:44:00Z</dcterms:modified>
</cp:coreProperties>
</file>