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02004" w14:textId="14BD339E" w:rsidR="00DE0EC6" w:rsidRPr="00DE0EC6" w:rsidRDefault="00DE0EC6" w:rsidP="0092012F">
      <w:pPr>
        <w:rPr>
          <w:rFonts w:ascii="Calibri" w:hAnsi="Calibri" w:cs="Calibri"/>
          <w:sz w:val="22"/>
          <w:szCs w:val="22"/>
        </w:rPr>
      </w:pPr>
      <w:r w:rsidRPr="00DE0EC6">
        <w:rPr>
          <w:rFonts w:ascii="Calibri" w:hAnsi="Calibri" w:cs="Calibri"/>
          <w:sz w:val="22"/>
          <w:szCs w:val="22"/>
        </w:rPr>
        <w:t>VISION</w:t>
      </w:r>
    </w:p>
    <w:p w14:paraId="2BAB422B" w14:textId="765814C1" w:rsidR="00DE0EC6" w:rsidRPr="00DE0EC6" w:rsidRDefault="00DE0EC6" w:rsidP="00DE0EC6">
      <w:pPr>
        <w:spacing w:after="120"/>
        <w:jc w:val="both"/>
        <w:rPr>
          <w:rFonts w:ascii="Calibri" w:hAnsi="Calibri" w:cs="Calibri"/>
          <w:sz w:val="22"/>
          <w:szCs w:val="22"/>
        </w:rPr>
      </w:pPr>
      <w:r w:rsidRPr="0092012F">
        <w:rPr>
          <w:rFonts w:ascii="Calibri" w:hAnsi="Calibri" w:cs="Calibri"/>
          <w:b/>
          <w:bCs/>
          <w:sz w:val="22"/>
          <w:szCs w:val="22"/>
        </w:rPr>
        <w:t>1. Excellent Quality and Importance</w:t>
      </w:r>
      <w:r>
        <w:rPr>
          <w:rFonts w:ascii="Calibri" w:hAnsi="Calibri" w:cs="Calibri"/>
          <w:sz w:val="22"/>
          <w:szCs w:val="22"/>
        </w:rPr>
        <w:t xml:space="preserve"> </w:t>
      </w:r>
      <w:r w:rsidRPr="00DE0EC6">
        <w:rPr>
          <w:rFonts w:ascii="Calibri" w:hAnsi="Calibri" w:cs="Calibri"/>
          <w:sz w:val="22"/>
          <w:szCs w:val="22"/>
        </w:rPr>
        <w:t xml:space="preserve">This research develops a mathematical framework extending multi-scale topological analysis to competitive collective systems: agents that coordinate internally while competing against an adversary within a bounded domain. Such systems arise in autonomous-vehicle fleets, tumour–immune dynamics and team </w:t>
      </w:r>
      <w:proofErr w:type="gramStart"/>
      <w:r w:rsidRPr="00DE0EC6">
        <w:rPr>
          <w:rFonts w:ascii="Calibri" w:hAnsi="Calibri" w:cs="Calibri"/>
          <w:sz w:val="22"/>
          <w:szCs w:val="22"/>
        </w:rPr>
        <w:t>sports, yet</w:t>
      </w:r>
      <w:proofErr w:type="gramEnd"/>
      <w:r w:rsidRPr="00DE0EC6">
        <w:rPr>
          <w:rFonts w:ascii="Calibri" w:hAnsi="Calibri" w:cs="Calibri"/>
          <w:sz w:val="22"/>
          <w:szCs w:val="22"/>
        </w:rPr>
        <w:t xml:space="preserve"> remain under-modelled as a distinct class of dynamical systems. Their defining feature is adversarial geometry: unlike cooperative swarms, adversarial interactions render each subgroup’s configuration susceptible to deformation by its opponent across multiple interaction scales.</w:t>
      </w:r>
      <w:r>
        <w:rPr>
          <w:rFonts w:ascii="Calibri" w:hAnsi="Calibri" w:cs="Calibri"/>
          <w:sz w:val="22"/>
          <w:szCs w:val="22"/>
        </w:rPr>
        <w:t xml:space="preserve"> </w:t>
      </w:r>
      <w:r w:rsidRPr="00DE0EC6">
        <w:rPr>
          <w:rFonts w:ascii="Calibri" w:hAnsi="Calibri" w:cs="Calibri"/>
          <w:sz w:val="22"/>
          <w:szCs w:val="22"/>
        </w:rPr>
        <w:t xml:space="preserve">Importance. No existing method </w:t>
      </w:r>
      <w:proofErr w:type="gramStart"/>
      <w:r w:rsidRPr="00DE0EC6">
        <w:rPr>
          <w:rFonts w:ascii="Calibri" w:hAnsi="Calibri" w:cs="Calibri"/>
          <w:sz w:val="22"/>
          <w:szCs w:val="22"/>
        </w:rPr>
        <w:t>attributes</w:t>
      </w:r>
      <w:proofErr w:type="gramEnd"/>
      <w:r w:rsidRPr="00DE0EC6">
        <w:rPr>
          <w:rFonts w:ascii="Calibri" w:hAnsi="Calibri" w:cs="Calibri"/>
          <w:sz w:val="22"/>
          <w:szCs w:val="22"/>
        </w:rPr>
        <w:t xml:space="preserve"> topological structure, connected clusters (H₀) and enclosing loops (H₁), to the distinct interaction scales exhibited by competitive systems in hierarchical, high-frequency data. Standard persistent homology [1,2], applied using a single distance threshold across all agents [3], collapses these scales into one summary, preventing features from being linked to individual-, group- or system-level organisation. Although multi-parameter topology [4,5] offers a theoretical route to scale-specific structure, current methods remain computationally prohibitive for real-world, high-frequency competitive data. This project closes that gap in professional football: pilot analysis has identified distinct, stability-validated interaction scales (§2). Scaling to a full Championship season will test whether these scales persist as population-level structure and establish a transferable framework once characteristic scales are re-derived in other bounded competitive systems (§5).</w:t>
      </w:r>
      <w:r>
        <w:rPr>
          <w:rFonts w:ascii="Calibri" w:hAnsi="Calibri" w:cs="Calibri"/>
          <w:sz w:val="22"/>
          <w:szCs w:val="22"/>
        </w:rPr>
        <w:t xml:space="preserve"> </w:t>
      </w:r>
      <w:r w:rsidRPr="00DE0EC6">
        <w:rPr>
          <w:rFonts w:ascii="Calibri" w:hAnsi="Calibri" w:cs="Calibri"/>
          <w:sz w:val="22"/>
          <w:szCs w:val="22"/>
        </w:rPr>
        <w:t>Quality. The project combines mathematical rigour with empirical validation. Rigour comes from stability-validated cutoffs: groups are defined by empirically tested interaction lengths rather than arbitrary thresholds, making the procedure falsifiable rather than ad hoc. Reproducibility follows because scale decomposition and adaptive distance thresholds are already validated at pilot scale (§2). The new contribution is to move from static scale detection to time-evolving topological summaries, enabling structural change-points to be detected [6,7] and tested at season scale (§7, O3). This advances prior work through: (</w:t>
      </w:r>
      <w:proofErr w:type="spellStart"/>
      <w:r w:rsidRPr="00DE0EC6">
        <w:rPr>
          <w:rFonts w:ascii="Calibri" w:hAnsi="Calibri" w:cs="Calibri"/>
          <w:sz w:val="22"/>
          <w:szCs w:val="22"/>
        </w:rPr>
        <w:t>i</w:t>
      </w:r>
      <w:proofErr w:type="spellEnd"/>
      <w:r w:rsidRPr="00DE0EC6">
        <w:rPr>
          <w:rFonts w:ascii="Calibri" w:hAnsi="Calibri" w:cs="Calibri"/>
          <w:sz w:val="22"/>
          <w:szCs w:val="22"/>
        </w:rPr>
        <w:t>) domain-validated scale identification; (ii) adaptive thresholds for multi-scale loop (H₁) detection; and (iii) dynamic topological summaries for structural transitions in competitive systems.</w:t>
      </w:r>
    </w:p>
    <w:p w14:paraId="2E5229B3" w14:textId="382DA0A6" w:rsidR="00DE0EC6" w:rsidRPr="00DE0EC6" w:rsidRDefault="00DE0EC6" w:rsidP="00DE0EC6">
      <w:pPr>
        <w:spacing w:after="120"/>
        <w:jc w:val="both"/>
        <w:rPr>
          <w:rFonts w:ascii="Calibri" w:hAnsi="Calibri" w:cs="Calibri"/>
          <w:sz w:val="22"/>
          <w:szCs w:val="22"/>
        </w:rPr>
      </w:pPr>
      <w:r w:rsidRPr="0092012F">
        <w:rPr>
          <w:rFonts w:ascii="Calibri" w:hAnsi="Calibri" w:cs="Calibri"/>
          <w:b/>
          <w:bCs/>
          <w:sz w:val="22"/>
          <w:szCs w:val="22"/>
        </w:rPr>
        <w:t>2. Background</w:t>
      </w:r>
      <w:r w:rsidRPr="00DE0EC6">
        <w:rPr>
          <w:rFonts w:ascii="Calibri" w:hAnsi="Calibri" w:cs="Calibri"/>
          <w:sz w:val="22"/>
          <w:szCs w:val="22"/>
        </w:rPr>
        <w:t xml:space="preserve"> Building on Previous Work</w:t>
      </w:r>
      <w:r>
        <w:rPr>
          <w:rFonts w:ascii="Calibri" w:hAnsi="Calibri" w:cs="Calibri"/>
          <w:sz w:val="22"/>
          <w:szCs w:val="22"/>
        </w:rPr>
        <w:t xml:space="preserve"> </w:t>
      </w:r>
      <w:r w:rsidRPr="00DE0EC6">
        <w:rPr>
          <w:rFonts w:ascii="Calibri" w:hAnsi="Calibri" w:cs="Calibri"/>
          <w:sz w:val="22"/>
          <w:szCs w:val="22"/>
        </w:rPr>
        <w:t>Persistent homology [1,2], supported by its stability theorem [8], provides the mathematical basis: small tracking errors induce only small changes in topological summaries, making the method suitable for real measurement data. Statistical tools compare persistence summaries for classification, distance-based analysis and change-point detection [6,7,9], forming the basis for O2–O3. However, standard applications either use a single global scale [3] or rely on multi-scale clustering developed for cooperative, slowly evolving systems [10]. This project instead decomposes competitive systems by validated interaction length before computing homology at each scale.</w:t>
      </w:r>
      <w:r>
        <w:rPr>
          <w:rFonts w:ascii="Calibri" w:hAnsi="Calibri" w:cs="Calibri"/>
          <w:sz w:val="22"/>
          <w:szCs w:val="22"/>
        </w:rPr>
        <w:t xml:space="preserve"> </w:t>
      </w:r>
      <w:r w:rsidRPr="00DE0EC6">
        <w:rPr>
          <w:rFonts w:ascii="Calibri" w:hAnsi="Calibri" w:cs="Calibri"/>
          <w:sz w:val="22"/>
          <w:szCs w:val="22"/>
        </w:rPr>
        <w:t>Topology has captured collective organisation in biological aggregation [11], collective motion [12] and flocking governed by nearest-neighbour count rather than metric radius [13], motivating this project’s interaction-length framing. Existing topological change-point methods for multi-agent systems [14] are single-scale; O3 extends them to competitive, bounded, multi-scale systems. Football provides the testbed: it is competitive, high-frequency, spatially bounded and supported by geometric baselines, including team length, width, centroid distance [17] and pitch-control space creation [18].</w:t>
      </w:r>
    </w:p>
    <w:p w14:paraId="211679AB" w14:textId="77777777" w:rsidR="00DE0EC6" w:rsidRPr="00DE0EC6" w:rsidRDefault="00DE0EC6" w:rsidP="00DE0EC6">
      <w:pPr>
        <w:spacing w:after="120"/>
        <w:jc w:val="both"/>
        <w:rPr>
          <w:rFonts w:ascii="Calibri" w:hAnsi="Calibri" w:cs="Calibri"/>
          <w:sz w:val="22"/>
          <w:szCs w:val="22"/>
        </w:rPr>
      </w:pPr>
      <w:r w:rsidRPr="00DE0EC6">
        <w:rPr>
          <w:rFonts w:ascii="Calibri" w:hAnsi="Calibri" w:cs="Calibri"/>
          <w:sz w:val="22"/>
          <w:szCs w:val="22"/>
        </w:rPr>
        <w:t xml:space="preserve">Our methodology paper in the Journal of Applied and Computational Topology [19] develops and validates the pipeline: decompose by validated interaction length, then compute homology at each scale using an adaptive distance threshold. Across 10 professional matches, </w:t>
      </w:r>
      <w:proofErr w:type="spellStart"/>
      <w:r w:rsidRPr="00DE0EC6">
        <w:rPr>
          <w:rFonts w:ascii="Calibri" w:hAnsi="Calibri" w:cs="Calibri"/>
          <w:sz w:val="22"/>
          <w:szCs w:val="22"/>
        </w:rPr>
        <w:t>SkillCorner</w:t>
      </w:r>
      <w:proofErr w:type="spellEnd"/>
      <w:r w:rsidRPr="00DE0EC6">
        <w:rPr>
          <w:rFonts w:ascii="Calibri" w:hAnsi="Calibri" w:cs="Calibri"/>
          <w:sz w:val="22"/>
          <w:szCs w:val="22"/>
        </w:rPr>
        <w:t xml:space="preserve">, 10 Hz, 104,722 event–topology pairs [19], three cluster-scale (H₀) regimes reproduce: individual 2.98 m, tactical 12.0 m and team 30.0 m, with cross-epoch stability 0.96, 0.84 and 1.00. Two loop-scale (H₁) regimes emerge: individual-scale loops are near-universal but short-lived, 97.0% ± 1.5% of frames, while tactical-scale loops are rarer but more persistent, 19.3% ± 7.2%, mean persistence 3.80 m versus 1.98 m. The scales carry largely independent information, ρ = 0.264, and respond coherently to match events, p &lt; 0.001. A companion football-analytics paper [22] develops practitioner interpretation. Pilot data are public; the pipeline will be released </w:t>
      </w:r>
      <w:proofErr w:type="gramStart"/>
      <w:r w:rsidRPr="00DE0EC6">
        <w:rPr>
          <w:rFonts w:ascii="Calibri" w:hAnsi="Calibri" w:cs="Calibri"/>
          <w:sz w:val="22"/>
          <w:szCs w:val="22"/>
        </w:rPr>
        <w:t>open-source</w:t>
      </w:r>
      <w:proofErr w:type="gramEnd"/>
      <w:r w:rsidRPr="00DE0EC6">
        <w:rPr>
          <w:rFonts w:ascii="Calibri" w:hAnsi="Calibri" w:cs="Calibri"/>
          <w:sz w:val="22"/>
          <w:szCs w:val="22"/>
        </w:rPr>
        <w:t>.</w:t>
      </w:r>
    </w:p>
    <w:p w14:paraId="5647BA7F" w14:textId="59051C2D"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lastRenderedPageBreak/>
        <w:t xml:space="preserve">3. Advancing Current Understanding and Generating New Knowledge </w:t>
      </w:r>
      <w:r w:rsidRPr="00E77B12">
        <w:rPr>
          <w:rFonts w:ascii="Calibri" w:hAnsi="Calibri" w:cs="Calibri"/>
          <w:sz w:val="22"/>
          <w:szCs w:val="22"/>
        </w:rPr>
        <w:t>Section</w:t>
      </w:r>
      <w:r w:rsidRPr="00DE0EC6">
        <w:rPr>
          <w:rFonts w:ascii="Calibri" w:hAnsi="Calibri" w:cs="Calibri"/>
          <w:sz w:val="22"/>
          <w:szCs w:val="22"/>
        </w:rPr>
        <w:t xml:space="preserve"> 2 establishes that scale-specific topological summaries exist, are reproducible and respond coherently to match events at pilot scale. The unresolved question is whether these structures persist at population scale across a full Championship season, approximately 540 matches. The project addresses this through three linked advances.(</w:t>
      </w:r>
      <w:proofErr w:type="spellStart"/>
      <w:r w:rsidRPr="00DE0EC6">
        <w:rPr>
          <w:rFonts w:ascii="Calibri" w:hAnsi="Calibri" w:cs="Calibri"/>
          <w:sz w:val="22"/>
          <w:szCs w:val="22"/>
        </w:rPr>
        <w:t>i</w:t>
      </w:r>
      <w:proofErr w:type="spellEnd"/>
      <w:r w:rsidRPr="00DE0EC6">
        <w:rPr>
          <w:rFonts w:ascii="Calibri" w:hAnsi="Calibri" w:cs="Calibri"/>
          <w:sz w:val="22"/>
          <w:szCs w:val="22"/>
        </w:rPr>
        <w:t>) Distributional laws: determining whether stability scores, loop-presence rates and scale complementarity are population-level regularities or vary with tactical, contextual or match-state conditions.(ii) Comparison geometry: testing whether distances between topological summaries [6,9] distinguish formation systems, yielding a topological definition of formation identity.(iii) Functional dynamics: treating each match as a time series of topological summaries to characterise stability regimes and structural transitions. Together, these extend statistical topology [6,7,9] into competitive, multi-scale, hierarchical systems at population scale, mapping directly onto O1–O3 (§7).</w:t>
      </w:r>
    </w:p>
    <w:p w14:paraId="6A512F58" w14:textId="50FAA48B"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4. Timeliness, Need and Opportunity Timeliness</w:t>
      </w:r>
      <w:r w:rsidRPr="00DE0EC6">
        <w:rPr>
          <w:rFonts w:ascii="Calibri" w:hAnsi="Calibri" w:cs="Calibri"/>
          <w:sz w:val="22"/>
          <w:szCs w:val="22"/>
        </w:rPr>
        <w:t>. Three developments have converged: multi-scale topology and statistical comparison tools have matured [4,6,7,9]; software and compute now make season-scale frame-by-frame topology feasible (§8), enabling but not constituting the contribution; and competitive tracking data have become available at the resolution needed to test population-level structure.</w:t>
      </w:r>
      <w:r w:rsidR="00E77B12">
        <w:rPr>
          <w:rFonts w:ascii="Calibri" w:hAnsi="Calibri" w:cs="Calibri"/>
          <w:sz w:val="22"/>
          <w:szCs w:val="22"/>
        </w:rPr>
        <w:t xml:space="preserve"> </w:t>
      </w:r>
      <w:r w:rsidRPr="00DE0EC6">
        <w:rPr>
          <w:rFonts w:ascii="Calibri" w:hAnsi="Calibri" w:cs="Calibri"/>
          <w:sz w:val="22"/>
          <w:szCs w:val="22"/>
        </w:rPr>
        <w:t>Need. No validated workflow exists for multi-scale topological analysis of competitive, hierarchical, high-frequency systems. Current approaches either collapse structure into a single global summary or remain impractical for real-world competitive data. Analysts in sport, and prospectively in health, logistics and autonomous coordination, need interpretable structural measures capturing organisation, gaps, loops and transitions beyond conventional geometry.</w:t>
      </w:r>
      <w:r w:rsidR="00E77B12">
        <w:rPr>
          <w:rFonts w:ascii="Calibri" w:hAnsi="Calibri" w:cs="Calibri"/>
          <w:sz w:val="22"/>
          <w:szCs w:val="22"/>
        </w:rPr>
        <w:t xml:space="preserve"> </w:t>
      </w:r>
      <w:r w:rsidRPr="00DE0EC6">
        <w:rPr>
          <w:rFonts w:ascii="Calibri" w:hAnsi="Calibri" w:cs="Calibri"/>
          <w:sz w:val="22"/>
          <w:szCs w:val="22"/>
        </w:rPr>
        <w:t>Opportunity. Professional football provides the first population-scale testbed for a workflow transferable to other bounded competitive systems once interaction scales are re-derived.</w:t>
      </w:r>
    </w:p>
    <w:p w14:paraId="27AD64B8" w14:textId="231B51F8"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5. Impact Research impact</w:t>
      </w:r>
      <w:r w:rsidRPr="00DE0EC6">
        <w:rPr>
          <w:rFonts w:ascii="Calibri" w:hAnsi="Calibri" w:cs="Calibri"/>
          <w:sz w:val="22"/>
          <w:szCs w:val="22"/>
        </w:rPr>
        <w:t>. The primary impact is to the mathematical sciences: a validated, open-source library for multi-scale persistent homology on competitive, time-evolving point clouds. This builds UK capability in applied topology, contributing to EPSRC’s physical and mathematical sciences powerhouse and AI, digitisation and data priorities.</w:t>
      </w:r>
      <w:r w:rsidR="00E77B12">
        <w:rPr>
          <w:rFonts w:ascii="Calibri" w:hAnsi="Calibri" w:cs="Calibri"/>
          <w:sz w:val="22"/>
          <w:szCs w:val="22"/>
        </w:rPr>
        <w:t xml:space="preserve"> </w:t>
      </w:r>
      <w:r w:rsidRPr="00E77B12">
        <w:rPr>
          <w:rFonts w:ascii="Calibri" w:hAnsi="Calibri" w:cs="Calibri"/>
          <w:b/>
          <w:bCs/>
          <w:i/>
          <w:iCs/>
          <w:sz w:val="22"/>
          <w:szCs w:val="22"/>
        </w:rPr>
        <w:t>Economic and industry impact</w:t>
      </w:r>
      <w:r w:rsidRPr="00DE0EC6">
        <w:rPr>
          <w:rFonts w:ascii="Calibri" w:hAnsi="Calibri" w:cs="Calibri"/>
          <w:sz w:val="22"/>
          <w:szCs w:val="22"/>
        </w:rPr>
        <w:t xml:space="preserve">. Co-developed with Swansea City AFC and data partners, including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and Genius Sports, the project translates topological summaries into practitioner-interpretable tools for pressing structures, formation gaps and defensive-line organisation, quantities not directly captured by length, width or convex-hull area.</w:t>
      </w:r>
      <w:r w:rsidR="00E77B12">
        <w:rPr>
          <w:rFonts w:ascii="Calibri" w:hAnsi="Calibri" w:cs="Calibri"/>
          <w:sz w:val="22"/>
          <w:szCs w:val="22"/>
        </w:rPr>
        <w:t xml:space="preserve"> </w:t>
      </w:r>
      <w:r w:rsidRPr="00E77B12">
        <w:rPr>
          <w:rFonts w:ascii="Calibri" w:hAnsi="Calibri" w:cs="Calibri"/>
          <w:b/>
          <w:bCs/>
          <w:i/>
          <w:iCs/>
          <w:sz w:val="22"/>
          <w:szCs w:val="22"/>
        </w:rPr>
        <w:t>Stepping-stone to translation.</w:t>
      </w:r>
      <w:r w:rsidRPr="00DE0EC6">
        <w:rPr>
          <w:rFonts w:ascii="Calibri" w:hAnsi="Calibri" w:cs="Calibri"/>
          <w:sz w:val="22"/>
          <w:szCs w:val="22"/>
        </w:rPr>
        <w:t xml:space="preserve"> The project prepares a follow-on Standard Grant (§7, O4) by establishing the season-scale evidence base needed to transfer the framework beyond football. Pathways, but not deliverables, include tumour–immune competition with Co-I </w:t>
      </w:r>
      <w:proofErr w:type="spellStart"/>
      <w:r w:rsidRPr="00DE0EC6">
        <w:rPr>
          <w:rFonts w:ascii="Calibri" w:hAnsi="Calibri" w:cs="Calibri"/>
          <w:sz w:val="22"/>
          <w:szCs w:val="22"/>
        </w:rPr>
        <w:t>Powathil</w:t>
      </w:r>
      <w:proofErr w:type="spellEnd"/>
      <w:r w:rsidRPr="00DE0EC6">
        <w:rPr>
          <w:rFonts w:ascii="Calibri" w:hAnsi="Calibri" w:cs="Calibri"/>
          <w:sz w:val="22"/>
          <w:szCs w:val="22"/>
        </w:rPr>
        <w:t xml:space="preserve"> and competitive logistics or autonomous-fleet coordination. The full-season analysis makes that larger programme mathematically and empirically fundable.</w:t>
      </w:r>
    </w:p>
    <w:p w14:paraId="5FC69F7A" w14:textId="4AE52D50"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6. Benefits and Beneficiaries</w:t>
      </w:r>
      <w:r>
        <w:rPr>
          <w:rFonts w:ascii="Calibri" w:hAnsi="Calibri" w:cs="Calibri"/>
          <w:sz w:val="22"/>
          <w:szCs w:val="22"/>
        </w:rPr>
        <w:t xml:space="preserve"> </w:t>
      </w:r>
      <w:r w:rsidRPr="00DE0EC6">
        <w:rPr>
          <w:rFonts w:ascii="Calibri" w:hAnsi="Calibri" w:cs="Calibri"/>
          <w:sz w:val="22"/>
          <w:szCs w:val="22"/>
        </w:rPr>
        <w:t>Mathematicians and data scientists gain an open-source library and validated procedures for deriving interaction scales and adaptive thresholds. Swansea City AFC analysts gain interpretable visualisations of pressing structures, formation gaps and defensive-line organisation. The wider sports-analytics community gains reproducible topological features benchmarked against established spatial metrics. Longer term, other bounded competitive multi-agent domains benefit from the transferable validation procedure and follow-on Standard Grant pathway (§7, O4).</w:t>
      </w:r>
    </w:p>
    <w:p w14:paraId="0ED4E444" w14:textId="113106EE" w:rsidR="00DE0EC6" w:rsidRPr="00E77B12" w:rsidRDefault="00DE0EC6" w:rsidP="00DE0EC6">
      <w:pPr>
        <w:spacing w:after="120"/>
        <w:jc w:val="both"/>
        <w:rPr>
          <w:rFonts w:ascii="Calibri" w:hAnsi="Calibri" w:cs="Calibri"/>
          <w:b/>
          <w:bCs/>
          <w:sz w:val="22"/>
          <w:szCs w:val="22"/>
        </w:rPr>
      </w:pPr>
      <w:r w:rsidRPr="00E77B12">
        <w:rPr>
          <w:rFonts w:ascii="Calibri" w:hAnsi="Calibri" w:cs="Calibri"/>
          <w:b/>
          <w:bCs/>
          <w:sz w:val="22"/>
          <w:szCs w:val="22"/>
        </w:rPr>
        <w:t xml:space="preserve">APPROACH </w:t>
      </w:r>
    </w:p>
    <w:p w14:paraId="795208C7" w14:textId="74CFAB7A"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7. Research Design and Objectives Project structure and team.</w:t>
      </w:r>
      <w:r w:rsidRPr="00DE0EC6">
        <w:rPr>
          <w:rFonts w:ascii="Calibri" w:hAnsi="Calibri" w:cs="Calibri"/>
          <w:sz w:val="22"/>
          <w:szCs w:val="22"/>
        </w:rPr>
        <w:t xml:space="preserve"> This 12-month project comprises: the PI, 0.2 FTE, leading mathematical framework development, analysis oversight and publication; two Co-Investigators, 0.25 FTE combined, providing statistical and domain expertise; a Research Associate, 1.0 FTE for 9 months, Months 2–10, implementing the pipeline and full-season analysis; and partnerships with Swansea City AFC and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for Championship tracking data and formation labels. The project has three research objectives and one strategic output.</w:t>
      </w:r>
      <w:r w:rsidR="00E77B12">
        <w:rPr>
          <w:rFonts w:ascii="Calibri" w:hAnsi="Calibri" w:cs="Calibri"/>
          <w:sz w:val="22"/>
          <w:szCs w:val="22"/>
        </w:rPr>
        <w:t xml:space="preserve"> </w:t>
      </w:r>
      <w:r w:rsidRPr="00D7636A">
        <w:rPr>
          <w:rFonts w:ascii="Calibri" w:hAnsi="Calibri" w:cs="Calibri"/>
          <w:b/>
          <w:bCs/>
          <w:i/>
          <w:iCs/>
          <w:sz w:val="22"/>
          <w:szCs w:val="22"/>
        </w:rPr>
        <w:t>Sample-size rationale</w:t>
      </w:r>
      <w:r w:rsidRPr="00E77B12">
        <w:rPr>
          <w:rFonts w:ascii="Calibri" w:hAnsi="Calibri" w:cs="Calibri"/>
          <w:b/>
          <w:bCs/>
          <w:sz w:val="22"/>
          <w:szCs w:val="22"/>
        </w:rPr>
        <w:t>.</w:t>
      </w:r>
      <w:r w:rsidRPr="00DE0EC6">
        <w:rPr>
          <w:rFonts w:ascii="Calibri" w:hAnsi="Calibri" w:cs="Calibri"/>
          <w:sz w:val="22"/>
          <w:szCs w:val="22"/>
        </w:rPr>
        <w:t xml:space="preserve"> A full Championship season, approximately 540 matches, provides precision and power. For subgroup </w:t>
      </w:r>
      <w:r w:rsidRPr="00DE0EC6">
        <w:rPr>
          <w:rFonts w:ascii="Calibri" w:hAnsi="Calibri" w:cs="Calibri"/>
          <w:sz w:val="22"/>
          <w:szCs w:val="22"/>
        </w:rPr>
        <w:lastRenderedPageBreak/>
        <w:t xml:space="preserve">inference, approximately 32 matches per stratum gives a 95% CI half-width of 0.025 for tactical-scale loop (H₁) presence, using pilot </w:t>
      </w:r>
      <w:proofErr w:type="spellStart"/>
      <w:r w:rsidRPr="00DE0EC6">
        <w:rPr>
          <w:rFonts w:ascii="Calibri" w:hAnsi="Calibri" w:cs="Calibri"/>
          <w:sz w:val="22"/>
          <w:szCs w:val="22"/>
        </w:rPr>
        <w:t>s.d.</w:t>
      </w:r>
      <w:proofErr w:type="spellEnd"/>
      <w:r w:rsidRPr="00DE0EC6">
        <w:rPr>
          <w:rFonts w:ascii="Calibri" w:hAnsi="Calibri" w:cs="Calibri"/>
          <w:sz w:val="22"/>
          <w:szCs w:val="22"/>
        </w:rPr>
        <w:t xml:space="preserve"> 0.072. For O2, approximately 180 matches per tactical class detects Cohen’s d ≥ 0.30 at power 0.80 and α = 0.05, with Benjamini–Hochberg FDR correction. A borderline pilot within-match effect on tactical-scale H₁ persistence, p = 0.051 [19], motivates season-scale replication.</w:t>
      </w:r>
    </w:p>
    <w:p w14:paraId="430D7D0A" w14:textId="22C2407F" w:rsidR="00DE0EC6" w:rsidRPr="00DE0EC6" w:rsidRDefault="00DE0EC6" w:rsidP="00DE0EC6">
      <w:pPr>
        <w:spacing w:after="120"/>
        <w:jc w:val="both"/>
        <w:rPr>
          <w:rFonts w:ascii="Calibri" w:hAnsi="Calibri" w:cs="Calibri"/>
          <w:sz w:val="22"/>
          <w:szCs w:val="22"/>
        </w:rPr>
      </w:pPr>
      <w:r w:rsidRPr="00E77B12">
        <w:rPr>
          <w:rFonts w:ascii="Calibri" w:hAnsi="Calibri" w:cs="Calibri"/>
          <w:b/>
          <w:bCs/>
          <w:i/>
          <w:iCs/>
          <w:sz w:val="22"/>
          <w:szCs w:val="22"/>
        </w:rPr>
        <w:t>O1: Population-level topological statistics</w:t>
      </w:r>
      <w:r w:rsidRPr="00DE0EC6">
        <w:rPr>
          <w:rFonts w:ascii="Calibri" w:hAnsi="Calibri" w:cs="Calibri"/>
          <w:sz w:val="22"/>
          <w:szCs w:val="22"/>
        </w:rPr>
        <w:t xml:space="preserve">, </w:t>
      </w:r>
      <w:r w:rsidRPr="00E77B12">
        <w:rPr>
          <w:rFonts w:ascii="Calibri" w:hAnsi="Calibri" w:cs="Calibri"/>
          <w:b/>
          <w:bCs/>
          <w:i/>
          <w:iCs/>
          <w:sz w:val="22"/>
          <w:szCs w:val="22"/>
        </w:rPr>
        <w:t>PI and RA, Months 1–7</w:t>
      </w:r>
      <w:r w:rsidRPr="00DE0EC6">
        <w:rPr>
          <w:rFonts w:ascii="Calibri" w:hAnsi="Calibri" w:cs="Calibri"/>
          <w:sz w:val="22"/>
          <w:szCs w:val="22"/>
        </w:rPr>
        <w:t>. O1 asks how topological features vary across the season and relate to tactical descriptors. Month 1 establishes the Supercomputing Wales pipeline. A 20-match batch in Months 1–2 re-validates interaction-length cutoffs against [19]; stability below 0.80 triggers re-derivation and gates downstream analysis. The RA processes the season in Months 2–7; the PI leads joint analysis in Months 5–7. Milestones: cutoff gate, Month 2; barcode database, Month 7.</w:t>
      </w:r>
      <w:r>
        <w:rPr>
          <w:rFonts w:ascii="Calibri" w:hAnsi="Calibri" w:cs="Calibri"/>
          <w:sz w:val="22"/>
          <w:szCs w:val="22"/>
        </w:rPr>
        <w:t xml:space="preserve"> </w:t>
      </w:r>
      <w:r w:rsidRPr="00E77B12">
        <w:rPr>
          <w:rFonts w:ascii="Calibri" w:hAnsi="Calibri" w:cs="Calibri"/>
          <w:b/>
          <w:bCs/>
          <w:i/>
          <w:iCs/>
          <w:sz w:val="22"/>
          <w:szCs w:val="22"/>
        </w:rPr>
        <w:t>O2: Topological fingerprinting, PI, Months 6–9</w:t>
      </w:r>
      <w:r w:rsidRPr="00DE0EC6">
        <w:rPr>
          <w:rFonts w:ascii="Calibri" w:hAnsi="Calibri" w:cs="Calibri"/>
          <w:sz w:val="22"/>
          <w:szCs w:val="22"/>
        </w:rPr>
        <w:t xml:space="preserve">. O2 tests whether formation systems have topological signatures beyond geometric metrics. Formation labels come from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and </w:t>
      </w:r>
      <w:proofErr w:type="spellStart"/>
      <w:r w:rsidRPr="00DE0EC6">
        <w:rPr>
          <w:rFonts w:ascii="Calibri" w:hAnsi="Calibri" w:cs="Calibri"/>
          <w:sz w:val="22"/>
          <w:szCs w:val="22"/>
        </w:rPr>
        <w:t>SkillCorner</w:t>
      </w:r>
      <w:proofErr w:type="spellEnd"/>
      <w:r w:rsidRPr="00DE0EC6">
        <w:rPr>
          <w:rFonts w:ascii="Calibri" w:hAnsi="Calibri" w:cs="Calibri"/>
          <w:sz w:val="22"/>
          <w:szCs w:val="22"/>
        </w:rPr>
        <w:t>; Cohen’s κ checks agreement, and hypotheses are pre-registered on OSF in Month 2. Tactical systems are compared using distances between averaged topological summaries [6,7] and vectorised diagram-image features (§8), benchmarked against length, width and convex-hull area. Success criteria: signatures for at least three tactical configurations; FDR-corrected differences, p &lt; 0.05; and added information beyond geometric baselines. Milestones: OSF pre-registration, Month 2; fingerprint results, Month 9.</w:t>
      </w:r>
      <w:r>
        <w:rPr>
          <w:rFonts w:ascii="Calibri" w:hAnsi="Calibri" w:cs="Calibri"/>
          <w:sz w:val="22"/>
          <w:szCs w:val="22"/>
        </w:rPr>
        <w:t xml:space="preserve"> </w:t>
      </w:r>
      <w:r w:rsidRPr="00E77B12">
        <w:rPr>
          <w:rFonts w:ascii="Calibri" w:hAnsi="Calibri" w:cs="Calibri"/>
          <w:b/>
          <w:bCs/>
          <w:i/>
          <w:iCs/>
          <w:sz w:val="22"/>
          <w:szCs w:val="22"/>
        </w:rPr>
        <w:t xml:space="preserve">O3: Temporal dynamics and structural transitions, PI and RA, Months 4–10. </w:t>
      </w:r>
      <w:r w:rsidRPr="00DE0EC6">
        <w:rPr>
          <w:rFonts w:ascii="Calibri" w:hAnsi="Calibri" w:cs="Calibri"/>
          <w:sz w:val="22"/>
          <w:szCs w:val="22"/>
        </w:rPr>
        <w:t>O3 extends single-scale multi-agent change-point detection [14] to competitive, bounded, multi-scale systems. Each match is represented as a time series of topological summaries. The PI applies FPCA [25] and CUSUM change-point detection [26], with bootstrap calibration [7]. Mathematical targets are well-</w:t>
      </w:r>
      <w:proofErr w:type="spellStart"/>
      <w:r w:rsidRPr="00DE0EC6">
        <w:rPr>
          <w:rFonts w:ascii="Calibri" w:hAnsi="Calibri" w:cs="Calibri"/>
          <w:sz w:val="22"/>
          <w:szCs w:val="22"/>
        </w:rPr>
        <w:t>posedness</w:t>
      </w:r>
      <w:proofErr w:type="spellEnd"/>
      <w:r w:rsidRPr="00DE0EC6">
        <w:rPr>
          <w:rFonts w:ascii="Calibri" w:hAnsi="Calibri" w:cs="Calibri"/>
          <w:sz w:val="22"/>
          <w:szCs w:val="22"/>
        </w:rPr>
        <w:t xml:space="preserve"> of the mean path in summary space under competitive sequential data, extending [7], and a stability bound for the CUSUM statistic under Wasserstein perturbation. Success criterion: change-points agree with held-out tactical annotations at ≥70%, permutation p &lt; 0.05. If landscape development exceeds the timescale, Wasserstein diagram comparison is the fallback. Milestones: landscape module, Month 8; O2/O3 outputs, Month 9.</w:t>
      </w:r>
      <w:r>
        <w:rPr>
          <w:rFonts w:ascii="Calibri" w:hAnsi="Calibri" w:cs="Calibri"/>
          <w:sz w:val="22"/>
          <w:szCs w:val="22"/>
        </w:rPr>
        <w:t xml:space="preserve"> </w:t>
      </w:r>
      <w:r w:rsidRPr="00E77B12">
        <w:rPr>
          <w:rFonts w:ascii="Calibri" w:hAnsi="Calibri" w:cs="Calibri"/>
          <w:b/>
          <w:bCs/>
          <w:i/>
          <w:iCs/>
          <w:sz w:val="22"/>
          <w:szCs w:val="22"/>
        </w:rPr>
        <w:t>O4: Standard Grant evidence synthesis, PI, Months 9–12</w:t>
      </w:r>
      <w:r w:rsidRPr="00DE0EC6">
        <w:rPr>
          <w:rFonts w:ascii="Calibri" w:hAnsi="Calibri" w:cs="Calibri"/>
          <w:sz w:val="22"/>
          <w:szCs w:val="22"/>
        </w:rPr>
        <w:t>. From Month 9, the PI compiles full-season results into a reproducible evidence pack for a separate follow-on Standard Grant translating the framework to higher-impact adversarial systems (§5). O1–O3 remain standalone publishable contributions. Milestone: evidence pack, Month 12.</w:t>
      </w:r>
    </w:p>
    <w:p w14:paraId="468E9099" w14:textId="6EF1F4C6"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8. Methodology</w:t>
      </w:r>
      <w:r>
        <w:rPr>
          <w:rFonts w:ascii="Calibri" w:hAnsi="Calibri" w:cs="Calibri"/>
          <w:sz w:val="22"/>
          <w:szCs w:val="22"/>
        </w:rPr>
        <w:t xml:space="preserve"> </w:t>
      </w:r>
      <w:r w:rsidRPr="00DE0EC6">
        <w:rPr>
          <w:rFonts w:ascii="Calibri" w:hAnsi="Calibri" w:cs="Calibri"/>
          <w:sz w:val="22"/>
          <w:szCs w:val="22"/>
        </w:rPr>
        <w:t xml:space="preserve">The analysis uses a containerised Python pipeline built around </w:t>
      </w:r>
      <w:proofErr w:type="spellStart"/>
      <w:r w:rsidRPr="00DE0EC6">
        <w:rPr>
          <w:rFonts w:ascii="Calibri" w:hAnsi="Calibri" w:cs="Calibri"/>
          <w:sz w:val="22"/>
          <w:szCs w:val="22"/>
        </w:rPr>
        <w:t>Ripser</w:t>
      </w:r>
      <w:proofErr w:type="spellEnd"/>
      <w:r w:rsidRPr="00DE0EC6">
        <w:rPr>
          <w:rFonts w:ascii="Calibri" w:hAnsi="Calibri" w:cs="Calibri"/>
          <w:sz w:val="22"/>
          <w:szCs w:val="22"/>
        </w:rPr>
        <w:t xml:space="preserve"> [23], GUDHI and </w:t>
      </w:r>
      <w:proofErr w:type="spellStart"/>
      <w:r w:rsidRPr="00DE0EC6">
        <w:rPr>
          <w:rFonts w:ascii="Calibri" w:hAnsi="Calibri" w:cs="Calibri"/>
          <w:sz w:val="22"/>
          <w:szCs w:val="22"/>
        </w:rPr>
        <w:t>giotto-tda</w:t>
      </w:r>
      <w:proofErr w:type="spellEnd"/>
      <w:r w:rsidRPr="00DE0EC6">
        <w:rPr>
          <w:rFonts w:ascii="Calibri" w:hAnsi="Calibri" w:cs="Calibri"/>
          <w:sz w:val="22"/>
          <w:szCs w:val="22"/>
        </w:rPr>
        <w:t xml:space="preserve"> [24]. Each frame is represented as a point cloud and processed through clustering at empirically derived interaction lengths, homology computation at each scale using adaptive distance thresholds, and storage of barcodes and vectorised summaries. Frame-level homology takes under 2 seconds and is embarrassingly parallel, enabling 1 Hz production processing on Supercomputing Wales (§12).</w:t>
      </w:r>
      <w:r>
        <w:rPr>
          <w:rFonts w:ascii="Calibri" w:hAnsi="Calibri" w:cs="Calibri"/>
          <w:sz w:val="22"/>
          <w:szCs w:val="22"/>
        </w:rPr>
        <w:t xml:space="preserve"> </w:t>
      </w:r>
      <w:r w:rsidRPr="00DE0EC6">
        <w:rPr>
          <w:rFonts w:ascii="Calibri" w:hAnsi="Calibri" w:cs="Calibri"/>
          <w:sz w:val="22"/>
          <w:szCs w:val="22"/>
        </w:rPr>
        <w:t>The Month 1–2 gate tests whether pilot-derived cutoffs transfer to Championship data and whether 1 Hz sampling preserves high-resolution features; if stability falls below 0.80, cutoffs are re-derived before O1–O3 proceed. O1 summarises H₀/H₁ cluster and loop statistics; O2 compares landscape distances, diagram-image features and geometric baselines; O3 applies FPCA, CUSUM and bootstrap calibration to topological time series. Reproducibility is ensured through containerisation, OSF pre-registration, DOI-archived code, diagnostics and documented scripts.</w:t>
      </w:r>
    </w:p>
    <w:p w14:paraId="3FA3EAA9" w14:textId="3CF28906"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9. Feasibility and Risk Management Feasibility.</w:t>
      </w:r>
      <w:r w:rsidRPr="00DE0EC6">
        <w:rPr>
          <w:rFonts w:ascii="Calibri" w:hAnsi="Calibri" w:cs="Calibri"/>
          <w:sz w:val="22"/>
          <w:szCs w:val="22"/>
        </w:rPr>
        <w:t xml:space="preserve"> The project is feasible within 12 months because the core method is </w:t>
      </w:r>
      <w:proofErr w:type="gramStart"/>
      <w:r w:rsidRPr="00DE0EC6">
        <w:rPr>
          <w:rFonts w:ascii="Calibri" w:hAnsi="Calibri" w:cs="Calibri"/>
          <w:sz w:val="22"/>
          <w:szCs w:val="22"/>
        </w:rPr>
        <w:t>pilot-validated</w:t>
      </w:r>
      <w:proofErr w:type="gramEnd"/>
      <w:r w:rsidRPr="00DE0EC6">
        <w:rPr>
          <w:rFonts w:ascii="Calibri" w:hAnsi="Calibri" w:cs="Calibri"/>
          <w:sz w:val="22"/>
          <w:szCs w:val="22"/>
        </w:rPr>
        <w:t xml:space="preserve"> (§2), computation is modest and embarrassingly parallel, and the workplan contains an early validation gate. Season-scale processing requires approximately 1,600 CPU-hours within the 5,000 core-hour Supercomputing Wales allocation (§12). The team combines applied topology, statistical modelling and football-domain expertise (§11), with the RA providing dedicated implementation capacity.</w:t>
      </w:r>
      <w:r w:rsidR="00E77B12">
        <w:rPr>
          <w:rFonts w:ascii="Calibri" w:hAnsi="Calibri" w:cs="Calibri"/>
          <w:sz w:val="22"/>
          <w:szCs w:val="22"/>
        </w:rPr>
        <w:t xml:space="preserve"> </w:t>
      </w:r>
      <w:r w:rsidRPr="00E77B12">
        <w:rPr>
          <w:rFonts w:ascii="Calibri" w:hAnsi="Calibri" w:cs="Calibri"/>
          <w:b/>
          <w:bCs/>
          <w:i/>
          <w:iCs/>
          <w:sz w:val="22"/>
          <w:szCs w:val="22"/>
        </w:rPr>
        <w:t>Risk management.</w:t>
      </w:r>
      <w:r w:rsidRPr="00DE0EC6">
        <w:rPr>
          <w:rFonts w:ascii="Calibri" w:hAnsi="Calibri" w:cs="Calibri"/>
          <w:sz w:val="22"/>
          <w:szCs w:val="22"/>
        </w:rPr>
        <w:t xml:space="preserve"> Data access, low likelihood, high impact: </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access is confirmed for 2024/25; if reduced, approximately 270 matches remain sufficient for O1, with O2 exploratory. Scale transferability, medium likelihood, medium impact: the Month-2 gate re-derives cutoffs if stability falls below 0.80. Formation-label noise, medium likelihood, medium impact: </w:t>
      </w:r>
      <w:r w:rsidRPr="00DE0EC6">
        <w:rPr>
          <w:rFonts w:ascii="Calibri" w:hAnsi="Calibri" w:cs="Calibri"/>
          <w:sz w:val="22"/>
          <w:szCs w:val="22"/>
        </w:rPr>
        <w:lastRenderedPageBreak/>
        <w:t>mitigated through dual-source verification, Cohen’s κ, unsupervised clustering and a pre-registered exclusion protocol. Landscape theory, medium likelihood, medium impact: if sequential landscape development exceeds the project timescale, O3 uses direct Wasserstein diagram comparison. These mitigations preserve publishable outputs under realistic contingencies.</w:t>
      </w:r>
    </w:p>
    <w:p w14:paraId="2F8D8B0E" w14:textId="63A04674"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10. Translation to Outcomes and Impact</w:t>
      </w:r>
      <w:r>
        <w:rPr>
          <w:rFonts w:ascii="Calibri" w:hAnsi="Calibri" w:cs="Calibri"/>
          <w:sz w:val="22"/>
          <w:szCs w:val="22"/>
        </w:rPr>
        <w:t xml:space="preserve"> </w:t>
      </w:r>
      <w:r w:rsidRPr="00DE0EC6">
        <w:rPr>
          <w:rFonts w:ascii="Calibri" w:hAnsi="Calibri" w:cs="Calibri"/>
          <w:sz w:val="22"/>
          <w:szCs w:val="22"/>
        </w:rPr>
        <w:t xml:space="preserve">The pipeline will be released as a documented, containerised open-source package through Swansea University’s </w:t>
      </w:r>
      <w:proofErr w:type="spellStart"/>
      <w:r w:rsidRPr="00DE0EC6">
        <w:rPr>
          <w:rFonts w:ascii="Calibri" w:hAnsi="Calibri" w:cs="Calibri"/>
          <w:sz w:val="22"/>
          <w:szCs w:val="22"/>
        </w:rPr>
        <w:t>Zenodo</w:t>
      </w:r>
      <w:proofErr w:type="spellEnd"/>
      <w:r w:rsidRPr="00DE0EC6">
        <w:rPr>
          <w:rFonts w:ascii="Calibri" w:hAnsi="Calibri" w:cs="Calibri"/>
          <w:sz w:val="22"/>
          <w:szCs w:val="22"/>
        </w:rPr>
        <w:t xml:space="preserve"> community with a DOI, including scripts, diagnostics, example workflows and derived feature tables. Publications comprise: the methodology paper [19], submitted to </w:t>
      </w:r>
      <w:proofErr w:type="spellStart"/>
      <w:r w:rsidRPr="00DE0EC6">
        <w:rPr>
          <w:rFonts w:ascii="Calibri" w:hAnsi="Calibri" w:cs="Calibri"/>
          <w:sz w:val="22"/>
          <w:szCs w:val="22"/>
        </w:rPr>
        <w:t>arXiv</w:t>
      </w:r>
      <w:proofErr w:type="spellEnd"/>
      <w:r w:rsidRPr="00DE0EC6">
        <w:rPr>
          <w:rFonts w:ascii="Calibri" w:hAnsi="Calibri" w:cs="Calibri"/>
          <w:sz w:val="22"/>
          <w:szCs w:val="22"/>
        </w:rPr>
        <w:t xml:space="preserve"> and the Journal of Applied and Computational Topology from Month 1; the companion football-analytics paper [22], targeting the Journal of Sports Sciences; and a full-season results paper targeted for Month 11. Practitioner outputs co-developed with Swansea City AFC will visualise pressing structures, formation gaps and defensive-line organisation as decision-support tools, not automated tactical prescriptions. The Month-12 evidence pack supports the follow-on Standard Grant (§7, O4).</w:t>
      </w:r>
    </w:p>
    <w:p w14:paraId="483519F3" w14:textId="728CD8F0" w:rsidR="00DE0EC6"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11. Research Environment</w:t>
      </w:r>
      <w:r>
        <w:rPr>
          <w:rFonts w:ascii="Calibri" w:hAnsi="Calibri" w:cs="Calibri"/>
          <w:sz w:val="22"/>
          <w:szCs w:val="22"/>
        </w:rPr>
        <w:t xml:space="preserve"> </w:t>
      </w:r>
      <w:r w:rsidRPr="00DE0EC6">
        <w:rPr>
          <w:rFonts w:ascii="Calibri" w:hAnsi="Calibri" w:cs="Calibri"/>
          <w:sz w:val="22"/>
          <w:szCs w:val="22"/>
        </w:rPr>
        <w:t xml:space="preserve">Swansea University provides the required environment through computational mathematics, applied topology, sport science and external partnership. The Zienkiewicz Institute supports method development, high-performance analysis and reusable software. The PI leads the applied-topology framework and season-scale analysis; Professor </w:t>
      </w:r>
      <w:proofErr w:type="spellStart"/>
      <w:r w:rsidRPr="00DE0EC6">
        <w:rPr>
          <w:rFonts w:ascii="Calibri" w:hAnsi="Calibri" w:cs="Calibri"/>
          <w:sz w:val="22"/>
          <w:szCs w:val="22"/>
        </w:rPr>
        <w:t>Gibin</w:t>
      </w:r>
      <w:proofErr w:type="spellEnd"/>
      <w:r w:rsidRPr="00DE0EC6">
        <w:rPr>
          <w:rFonts w:ascii="Calibri" w:hAnsi="Calibri" w:cs="Calibri"/>
          <w:sz w:val="22"/>
          <w:szCs w:val="22"/>
        </w:rPr>
        <w:t xml:space="preserve"> Powathil contributes mathematical-oncology expertise for the future health pathway (§5); Professor Liam Kilduff provides sport and exercise science expertise for tactical interpretation; and Swansea City AFC provides a live co-development setting.</w:t>
      </w:r>
    </w:p>
    <w:p w14:paraId="221943D5" w14:textId="1B99169B" w:rsidR="009F2263" w:rsidRPr="00DE0EC6" w:rsidRDefault="00DE0EC6" w:rsidP="00DE0EC6">
      <w:pPr>
        <w:spacing w:after="120"/>
        <w:jc w:val="both"/>
        <w:rPr>
          <w:rFonts w:ascii="Calibri" w:hAnsi="Calibri" w:cs="Calibri"/>
          <w:sz w:val="22"/>
          <w:szCs w:val="22"/>
        </w:rPr>
      </w:pPr>
      <w:r w:rsidRPr="00E77B12">
        <w:rPr>
          <w:rFonts w:ascii="Calibri" w:hAnsi="Calibri" w:cs="Calibri"/>
          <w:b/>
          <w:bCs/>
          <w:sz w:val="22"/>
          <w:szCs w:val="22"/>
        </w:rPr>
        <w:t>12. Facilities, Infrastructure and Host Support</w:t>
      </w:r>
      <w:r>
        <w:rPr>
          <w:rFonts w:ascii="Calibri" w:hAnsi="Calibri" w:cs="Calibri"/>
          <w:sz w:val="22"/>
          <w:szCs w:val="22"/>
        </w:rPr>
        <w:t xml:space="preserve"> </w:t>
      </w:r>
      <w:r w:rsidRPr="00DE0EC6">
        <w:rPr>
          <w:rFonts w:ascii="Calibri" w:hAnsi="Calibri" w:cs="Calibri"/>
          <w:sz w:val="22"/>
          <w:szCs w:val="22"/>
        </w:rPr>
        <w:t>Full-season processing requires approximately 1,600 CPU-hours within the PI’s 5,000 core-hour Supercomputing Wales allocation, covering validation batches, production runs, O3 analysis and contingency re-processing. Championship tracking data and formation labels are secured through the Swansea City AFC–</w:t>
      </w:r>
      <w:proofErr w:type="spellStart"/>
      <w:r w:rsidRPr="00DE0EC6">
        <w:rPr>
          <w:rFonts w:ascii="Calibri" w:hAnsi="Calibri" w:cs="Calibri"/>
          <w:sz w:val="22"/>
          <w:szCs w:val="22"/>
        </w:rPr>
        <w:t>StatsBomb</w:t>
      </w:r>
      <w:proofErr w:type="spellEnd"/>
      <w:r w:rsidRPr="00DE0EC6">
        <w:rPr>
          <w:rFonts w:ascii="Calibri" w:hAnsi="Calibri" w:cs="Calibri"/>
          <w:sz w:val="22"/>
          <w:szCs w:val="22"/>
        </w:rPr>
        <w:t xml:space="preserve"> agreement. The containerised pipeline (§8) ensures reproducible execution across local and high-performance environments. Swansea University provides host support through the Zienkiewicz Institute, Research Office and partnership infrastructure, including data governance and fast-tracked ethics review.</w:t>
      </w:r>
    </w:p>
    <w:sectPr w:rsidR="009F2263" w:rsidRPr="00DE0EC6"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74C5A"/>
    <w:multiLevelType w:val="hybridMultilevel"/>
    <w:tmpl w:val="DB2E1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3B1FDC"/>
    <w:multiLevelType w:val="hybridMultilevel"/>
    <w:tmpl w:val="BEC2CC6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4044332">
    <w:abstractNumId w:val="0"/>
  </w:num>
  <w:num w:numId="2" w16cid:durableId="18289401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97"/>
    <w:rsid w:val="00253897"/>
    <w:rsid w:val="0039664B"/>
    <w:rsid w:val="005D7D6A"/>
    <w:rsid w:val="00716867"/>
    <w:rsid w:val="00736938"/>
    <w:rsid w:val="008C5AD8"/>
    <w:rsid w:val="0092012F"/>
    <w:rsid w:val="009F2263"/>
    <w:rsid w:val="00B03625"/>
    <w:rsid w:val="00B80347"/>
    <w:rsid w:val="00C436ED"/>
    <w:rsid w:val="00C548B2"/>
    <w:rsid w:val="00C63905"/>
    <w:rsid w:val="00C8460E"/>
    <w:rsid w:val="00D52C27"/>
    <w:rsid w:val="00D63B39"/>
    <w:rsid w:val="00D7636A"/>
    <w:rsid w:val="00DE0EC6"/>
    <w:rsid w:val="00E77B12"/>
    <w:rsid w:val="00EA1C93"/>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6C2826"/>
  <w15:chartTrackingRefBased/>
  <w15:docId w15:val="{916056DA-5273-FB42-BE5B-0AC806299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8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8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8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8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897"/>
    <w:rPr>
      <w:rFonts w:eastAsiaTheme="majorEastAsia" w:cstheme="majorBidi"/>
      <w:color w:val="272727" w:themeColor="text1" w:themeTint="D8"/>
    </w:rPr>
  </w:style>
  <w:style w:type="paragraph" w:styleId="Title">
    <w:name w:val="Title"/>
    <w:basedOn w:val="Normal"/>
    <w:next w:val="Normal"/>
    <w:link w:val="TitleChar"/>
    <w:uiPriority w:val="10"/>
    <w:qFormat/>
    <w:rsid w:val="002538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8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8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897"/>
    <w:rPr>
      <w:i/>
      <w:iCs/>
      <w:color w:val="404040" w:themeColor="text1" w:themeTint="BF"/>
    </w:rPr>
  </w:style>
  <w:style w:type="paragraph" w:styleId="ListParagraph">
    <w:name w:val="List Paragraph"/>
    <w:basedOn w:val="Normal"/>
    <w:uiPriority w:val="34"/>
    <w:qFormat/>
    <w:rsid w:val="00253897"/>
    <w:pPr>
      <w:ind w:left="720"/>
      <w:contextualSpacing/>
    </w:pPr>
  </w:style>
  <w:style w:type="character" w:styleId="IntenseEmphasis">
    <w:name w:val="Intense Emphasis"/>
    <w:basedOn w:val="DefaultParagraphFont"/>
    <w:uiPriority w:val="21"/>
    <w:qFormat/>
    <w:rsid w:val="00253897"/>
    <w:rPr>
      <w:i/>
      <w:iCs/>
      <w:color w:val="0F4761" w:themeColor="accent1" w:themeShade="BF"/>
    </w:rPr>
  </w:style>
  <w:style w:type="paragraph" w:styleId="IntenseQuote">
    <w:name w:val="Intense Quote"/>
    <w:basedOn w:val="Normal"/>
    <w:next w:val="Normal"/>
    <w:link w:val="IntenseQuoteChar"/>
    <w:uiPriority w:val="30"/>
    <w:qFormat/>
    <w:rsid w:val="0025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897"/>
    <w:rPr>
      <w:i/>
      <w:iCs/>
      <w:color w:val="0F4761" w:themeColor="accent1" w:themeShade="BF"/>
    </w:rPr>
  </w:style>
  <w:style w:type="character" w:styleId="IntenseReference">
    <w:name w:val="Intense Reference"/>
    <w:basedOn w:val="DefaultParagraphFont"/>
    <w:uiPriority w:val="32"/>
    <w:qFormat/>
    <w:rsid w:val="00253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2460</Words>
  <Characters>14028</Characters>
  <Application>Microsoft Office Word</Application>
  <DocSecurity>0</DocSecurity>
  <Lines>116</Lines>
  <Paragraphs>32</Paragraphs>
  <ScaleCrop>false</ScaleCrop>
  <Company/>
  <LinksUpToDate>false</LinksUpToDate>
  <CharactersWithSpaces>16456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3</cp:revision>
  <cp:lastPrinted>2026-08-01T08:28:00Z</cp:lastPrinted>
  <dcterms:created xsi:type="dcterms:W3CDTF">2026-08-01T08:28:00Z</dcterms:created>
  <dcterms:modified xsi:type="dcterms:W3CDTF">2026-08-01T08:29:00Z</dcterms:modified>
</cp:coreProperties>
</file>