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FC65856" w14:textId="36238452" w:rsidR="00C3295F" w:rsidRPr="00C3295F" w:rsidRDefault="00C3295F" w:rsidP="00C3295F">
      <w:pPr>
        <w:spacing w:after="100"/>
        <w:rPr>
          <w:rFonts w:ascii="Calibri" w:hAnsi="Calibri" w:cs="Calibri"/>
          <w:sz w:val="22"/>
          <w:szCs w:val="22"/>
        </w:rPr>
      </w:pPr>
      <w:r w:rsidRPr="00C3295F">
        <w:rPr>
          <w:rFonts w:ascii="Calibri" w:hAnsi="Calibri" w:cs="Calibri"/>
          <w:sz w:val="22"/>
          <w:szCs w:val="22"/>
        </w:rPr>
        <w:t>VISION</w:t>
      </w:r>
    </w:p>
    <w:p w14:paraId="3C30FA93" w14:textId="0B98196E" w:rsidR="00C3295F" w:rsidRPr="00C3295F" w:rsidRDefault="00C3295F" w:rsidP="00C3295F">
      <w:pPr>
        <w:spacing w:after="100"/>
        <w:rPr>
          <w:rFonts w:ascii="Calibri" w:hAnsi="Calibri" w:cs="Calibri"/>
          <w:sz w:val="22"/>
          <w:szCs w:val="22"/>
        </w:rPr>
      </w:pPr>
      <w:r w:rsidRPr="00C3295F">
        <w:rPr>
          <w:rFonts w:ascii="Calibri" w:hAnsi="Calibri" w:cs="Calibri"/>
          <w:sz w:val="22"/>
          <w:szCs w:val="22"/>
        </w:rPr>
        <w:t>Mathematical Importance and Quality. This research develops new mathematical frameworks for multi-scale topological analysis of competitive collective systems. Competitive spatial systems — agents that coordinate internally while opposing an adversary within a bounded domain — are a ubiquitous class in applied mathematics; professional football provides the primary validation testbed (below). What distinguishes them from cooperative swarms is adversarial geometry: each group's configuration is continuously deformed by the opposing group, producing topological structure simultaneously at individual, tactical, and team scales (loops in player-proximity clouds; formation gaps and pressing shapes; whole-system organisation).</w:t>
      </w:r>
    </w:p>
    <w:p w14:paraId="120C2748" w14:textId="65144A0E" w:rsidR="00C3295F" w:rsidRPr="00C3295F" w:rsidRDefault="00C3295F" w:rsidP="00C3295F">
      <w:pPr>
        <w:spacing w:after="100"/>
        <w:rPr>
          <w:rFonts w:ascii="Calibri" w:hAnsi="Calibri" w:cs="Calibri"/>
          <w:sz w:val="22"/>
          <w:szCs w:val="22"/>
        </w:rPr>
      </w:pPr>
      <w:r w:rsidRPr="00C3295F">
        <w:rPr>
          <w:rFonts w:ascii="Calibri" w:hAnsi="Calibri" w:cs="Calibri"/>
          <w:sz w:val="22"/>
          <w:szCs w:val="22"/>
        </w:rPr>
        <w:t>Persistent homology [1,2] captures such structure rigorously, but standard single-parameter Vietoris–Rips homology [3] applied to the full competitive point cloud conflates all organisational levels into one persistence diagram, making scale-specific attribution analytically intractable. Prior work addresses parts of this gap — cooperative biological aggregation [4], multiscale clustering in quasi-static settings [5], or single-scale temporal change — while multiparameter persistence [7,8] remains computationally impractical at the point-cloud scale and temporal density required here.</w:t>
      </w:r>
    </w:p>
    <w:p w14:paraId="2C54C33E" w14:textId="5669E4A9" w:rsidR="00C3295F" w:rsidRPr="00C3295F" w:rsidRDefault="00C3295F" w:rsidP="00C3295F">
      <w:pPr>
        <w:spacing w:after="100"/>
        <w:rPr>
          <w:rFonts w:ascii="Calibri" w:hAnsi="Calibri" w:cs="Calibri"/>
          <w:sz w:val="22"/>
          <w:szCs w:val="22"/>
        </w:rPr>
      </w:pPr>
      <w:r w:rsidRPr="00C3295F">
        <w:rPr>
          <w:rFonts w:ascii="Calibri" w:hAnsi="Calibri" w:cs="Calibri"/>
          <w:sz w:val="22"/>
          <w:szCs w:val="22"/>
        </w:rPr>
        <w:t>Our framework takes a complementary, domain-informed route: hierarchical clustering at empirically validated cutoffs decomposes the competitive cloud by organisational level before single-parameter homology at each level; adaptive filtration ensures consistent H₁ detection on the post-clustering geometry. This project advances computational topology through these two methodological pillars — domain-informed decomposition and adaptive filtration — extended here by persistence landscape dynamics for competitive sequential diagrams. Stability-validated cutoffs make the decomposition falsifiable and transferable across competitive systems. Three mathematical contributions extend prior work:</w:t>
      </w:r>
    </w:p>
    <w:p w14:paraId="4AD2DE71" w14:textId="6C929FBA" w:rsidR="00C3295F" w:rsidRPr="00C3295F" w:rsidRDefault="00C3295F" w:rsidP="00C3295F">
      <w:pPr>
        <w:spacing w:after="100"/>
        <w:rPr>
          <w:rFonts w:ascii="Calibri" w:hAnsi="Calibri" w:cs="Calibri"/>
          <w:sz w:val="22"/>
          <w:szCs w:val="22"/>
        </w:rPr>
      </w:pPr>
      <w:r w:rsidRPr="00C3295F">
        <w:rPr>
          <w:rFonts w:ascii="Calibri" w:hAnsi="Calibri" w:cs="Calibri"/>
          <w:sz w:val="22"/>
          <w:szCs w:val="22"/>
        </w:rPr>
        <w:t>- Domain-validated scale identification: a systematic cutoff sweep identifies three H₀ regimes (individual 2.98 m, tactical 12.0 m, team 30.0 m) with cross-epoch stability scores 0.88, 0.97, and 1.00 [12], replacing heuristic filtration choices with a reproducible, domain-grounded procedure.</w:t>
      </w:r>
    </w:p>
    <w:p w14:paraId="16AC6261" w14:textId="25F53728" w:rsidR="00C3295F" w:rsidRPr="00C3295F" w:rsidRDefault="00C3295F" w:rsidP="00C3295F">
      <w:pPr>
        <w:spacing w:after="100"/>
        <w:rPr>
          <w:rFonts w:ascii="Calibri" w:hAnsi="Calibri" w:cs="Calibri"/>
          <w:sz w:val="22"/>
          <w:szCs w:val="22"/>
        </w:rPr>
      </w:pPr>
      <w:r w:rsidRPr="00C3295F">
        <w:rPr>
          <w:rFonts w:ascii="Calibri" w:hAnsi="Calibri" w:cs="Calibri"/>
          <w:sz w:val="22"/>
          <w:szCs w:val="22"/>
        </w:rPr>
        <w:t>- Adaptive filtration for multi-scale H₁ detection: a data-driven maximum filtration adjusts to post-clustering geometry at each scale; ablation confirms H₁ outputs are insensitive to the percentile choice within the adaptive formula [9].</w:t>
      </w:r>
    </w:p>
    <w:p w14:paraId="3142DE26" w14:textId="3775FE9D" w:rsidR="00C3295F" w:rsidRPr="00C3295F" w:rsidRDefault="00C3295F" w:rsidP="00C3295F">
      <w:pPr>
        <w:spacing w:after="100"/>
        <w:rPr>
          <w:rFonts w:ascii="Calibri" w:hAnsi="Calibri" w:cs="Calibri"/>
          <w:sz w:val="22"/>
          <w:szCs w:val="22"/>
        </w:rPr>
      </w:pPr>
      <w:r w:rsidRPr="00C3295F">
        <w:rPr>
          <w:rFonts w:ascii="Calibri" w:hAnsi="Calibri" w:cs="Calibri"/>
          <w:sz w:val="22"/>
          <w:szCs w:val="22"/>
        </w:rPr>
        <w:t xml:space="preserve">- Persistence landscape dynamics for competitive sequential diagrams [10,11]: each match is treated as a path </w:t>
      </w:r>
      <w:r w:rsidRPr="00C3295F">
        <w:rPr>
          <w:rFonts w:ascii="Calibri" w:hAnsi="Calibri" w:cs="Calibri"/>
          <w:i/>
          <w:iCs/>
          <w:sz w:val="22"/>
          <w:szCs w:val="22"/>
        </w:rPr>
        <w:t>t</w:t>
      </w:r>
      <w:r w:rsidRPr="00C3295F">
        <w:rPr>
          <w:rFonts w:ascii="Calibri" w:hAnsi="Calibri" w:cs="Calibri"/>
          <w:sz w:val="22"/>
          <w:szCs w:val="22"/>
        </w:rPr>
        <w:t xml:space="preserve"> </w:t>
      </w:r>
      <w:r w:rsidRPr="00C3295F">
        <w:rPr>
          <w:rFonts w:ascii="Cambria Math" w:hAnsi="Cambria Math" w:cs="Cambria Math"/>
          <w:sz w:val="22"/>
          <w:szCs w:val="22"/>
        </w:rPr>
        <w:t>↦</w:t>
      </w:r>
      <w:r w:rsidRPr="00C3295F">
        <w:rPr>
          <w:rFonts w:ascii="Calibri" w:hAnsi="Calibri" w:cs="Calibri"/>
          <w:sz w:val="22"/>
          <w:szCs w:val="22"/>
        </w:rPr>
        <w:t xml:space="preserve"> </w:t>
      </w:r>
      <w:proofErr w:type="spellStart"/>
      <w:r w:rsidRPr="00C3295F">
        <w:rPr>
          <w:rFonts w:ascii="Calibri" w:hAnsi="Calibri" w:cs="Calibri"/>
          <w:sz w:val="22"/>
          <w:szCs w:val="22"/>
        </w:rPr>
        <w:t>λ_δ</w:t>
      </w:r>
      <w:proofErr w:type="spellEnd"/>
      <w:r w:rsidRPr="00C3295F">
        <w:rPr>
          <w:rFonts w:ascii="Calibri" w:hAnsi="Calibri" w:cs="Calibri"/>
          <w:sz w:val="22"/>
          <w:szCs w:val="22"/>
        </w:rPr>
        <w:t>(</w:t>
      </w:r>
      <w:r w:rsidRPr="00C3295F">
        <w:rPr>
          <w:rFonts w:ascii="Calibri" w:hAnsi="Calibri" w:cs="Calibri"/>
          <w:i/>
          <w:iCs/>
          <w:sz w:val="22"/>
          <w:szCs w:val="22"/>
        </w:rPr>
        <w:t>t</w:t>
      </w:r>
      <w:r w:rsidRPr="00C3295F">
        <w:rPr>
          <w:rFonts w:ascii="Calibri" w:hAnsi="Calibri" w:cs="Calibri"/>
          <w:sz w:val="22"/>
          <w:szCs w:val="22"/>
        </w:rPr>
        <w:t>) in landscape function space, enabling CUSUM change-point detection of topological phase transitions.</w:t>
      </w:r>
    </w:p>
    <w:p w14:paraId="5F51D3F5" w14:textId="44B590FF" w:rsidR="00C3295F" w:rsidRPr="00C3295F" w:rsidRDefault="00C3295F" w:rsidP="00C3295F">
      <w:pPr>
        <w:spacing w:after="100"/>
        <w:rPr>
          <w:rFonts w:ascii="Calibri" w:hAnsi="Calibri" w:cs="Calibri"/>
          <w:sz w:val="22"/>
          <w:szCs w:val="22"/>
        </w:rPr>
      </w:pPr>
      <w:r w:rsidRPr="00C3295F">
        <w:rPr>
          <w:rFonts w:ascii="Calibri" w:hAnsi="Calibri" w:cs="Calibri"/>
          <w:sz w:val="22"/>
          <w:szCs w:val="22"/>
        </w:rPr>
        <w:t>Together these constitute a practical advance in computational topology: validated multi-scale persistent homology on hierarchical, competitive, time-evolving point clouds.</w:t>
      </w:r>
    </w:p>
    <w:p w14:paraId="054C22DE" w14:textId="048856D0" w:rsidR="00C3295F" w:rsidRPr="00C3295F" w:rsidRDefault="00C3295F" w:rsidP="00C3295F">
      <w:pPr>
        <w:spacing w:after="100"/>
        <w:rPr>
          <w:rFonts w:ascii="Calibri" w:hAnsi="Calibri" w:cs="Calibri"/>
          <w:sz w:val="22"/>
          <w:szCs w:val="22"/>
        </w:rPr>
      </w:pPr>
      <w:r w:rsidRPr="00C3295F">
        <w:rPr>
          <w:rFonts w:ascii="Calibri" w:hAnsi="Calibri" w:cs="Calibri"/>
          <w:sz w:val="22"/>
          <w:szCs w:val="22"/>
        </w:rPr>
        <w:t>What This Proposal Adds. The preprint [12] establishes that scale-specific barcodes exist and are reproducible across 10 independent matches. This proposal asks what they tell us at population scale: (</w:t>
      </w:r>
      <w:proofErr w:type="spellStart"/>
      <w:r w:rsidRPr="00C3295F">
        <w:rPr>
          <w:rFonts w:ascii="Calibri" w:hAnsi="Calibri" w:cs="Calibri"/>
          <w:sz w:val="22"/>
          <w:szCs w:val="22"/>
        </w:rPr>
        <w:t>i</w:t>
      </w:r>
      <w:proofErr w:type="spellEnd"/>
      <w:r w:rsidRPr="00C3295F">
        <w:rPr>
          <w:rFonts w:ascii="Calibri" w:hAnsi="Calibri" w:cs="Calibri"/>
          <w:sz w:val="22"/>
          <w:szCs w:val="22"/>
        </w:rPr>
        <w:t>) distributional laws of H₀/H₁ barcodes and landscape norms over a full Championship season (~540 matches); (ii) comparison geometry in persistence space — landscape distances that treat tactical systems as distinguishable subsets, enabling topological fingerprinting; (iii) functional dynamics via time-indexed landscapes characterising stability regimes and transitions within matches. None of (</w:t>
      </w:r>
      <w:proofErr w:type="spellStart"/>
      <w:r w:rsidRPr="00C3295F">
        <w:rPr>
          <w:rFonts w:ascii="Calibri" w:hAnsi="Calibri" w:cs="Calibri"/>
          <w:sz w:val="22"/>
          <w:szCs w:val="22"/>
        </w:rPr>
        <w:t>i</w:t>
      </w:r>
      <w:proofErr w:type="spellEnd"/>
      <w:r w:rsidRPr="00C3295F">
        <w:rPr>
          <w:rFonts w:ascii="Calibri" w:hAnsi="Calibri" w:cs="Calibri"/>
          <w:sz w:val="22"/>
          <w:szCs w:val="22"/>
        </w:rPr>
        <w:t>)–(iii) is demonstrated at championship scale in the preprint.</w:t>
      </w:r>
    </w:p>
    <w:p w14:paraId="0A1C1FCD" w14:textId="47DB2705" w:rsidR="00C3295F" w:rsidRPr="00C3295F" w:rsidRDefault="00C3295F" w:rsidP="00C3295F">
      <w:pPr>
        <w:spacing w:after="100"/>
        <w:rPr>
          <w:rFonts w:ascii="Calibri" w:hAnsi="Calibri" w:cs="Calibri"/>
          <w:sz w:val="22"/>
          <w:szCs w:val="22"/>
        </w:rPr>
      </w:pPr>
      <w:r w:rsidRPr="00C3295F">
        <w:rPr>
          <w:rFonts w:ascii="Calibri" w:hAnsi="Calibri" w:cs="Calibri"/>
          <w:sz w:val="22"/>
          <w:szCs w:val="22"/>
        </w:rPr>
        <w:t>Preliminary Validation. The framework is validated across 10 professional football matches (</w:t>
      </w:r>
      <w:proofErr w:type="spellStart"/>
      <w:r w:rsidRPr="00C3295F">
        <w:rPr>
          <w:rFonts w:ascii="Calibri" w:hAnsi="Calibri" w:cs="Calibri"/>
          <w:sz w:val="22"/>
          <w:szCs w:val="22"/>
        </w:rPr>
        <w:t>SkillCorner</w:t>
      </w:r>
      <w:proofErr w:type="spellEnd"/>
      <w:r w:rsidRPr="00C3295F">
        <w:rPr>
          <w:rFonts w:ascii="Calibri" w:hAnsi="Calibri" w:cs="Calibri"/>
          <w:sz w:val="22"/>
          <w:szCs w:val="22"/>
        </w:rPr>
        <w:t xml:space="preserve"> open broadcast tracking, 10 Hz; 104,722 event–topology pairs) [12] — an ideal testbed with high-frequency spatial measurements and established positional standards [13,14]. Three H₀ regimes are confirmed (individual 2.98 m, tactical 12.0 m, team 30.0 m; stability scores 0.88, 0.97, 1.00). Two H₁ regimes emerge: individual-scale loops are near-universal and transient (97.0% ± 1.5% frame presence; 96.0%, 144/150 frames in the primary match); tactical-scale loops are rarer but geometrically more persistent (19.3% ± 7.2%; 12.0%, 18/150 in the primary match; mean persistence </w:t>
      </w:r>
      <w:r w:rsidRPr="00C3295F">
        <w:rPr>
          <w:rFonts w:ascii="Calibri" w:hAnsi="Calibri" w:cs="Calibri"/>
          <w:sz w:val="22"/>
          <w:szCs w:val="22"/>
        </w:rPr>
        <w:lastRenderedPageBreak/>
        <w:t xml:space="preserve">3.80 m vs 1.98 m at individual scale). Scale non-redundancy is confirmed (Spearman ρ = 0.254, 95% bootstrap CI [0.200, 0.314]). Topological features respond coherently to match dynamics — on-ball engagements and quick breaks decrease </w:t>
      </w:r>
      <w:proofErr w:type="gramStart"/>
      <w:r w:rsidRPr="00C3295F">
        <w:rPr>
          <w:rFonts w:ascii="Calibri" w:hAnsi="Calibri" w:cs="Calibri"/>
          <w:sz w:val="22"/>
          <w:szCs w:val="22"/>
        </w:rPr>
        <w:t>persistence,</w:t>
      </w:r>
      <w:proofErr w:type="gramEnd"/>
      <w:r w:rsidRPr="00C3295F">
        <w:rPr>
          <w:rFonts w:ascii="Calibri" w:hAnsi="Calibri" w:cs="Calibri"/>
          <w:sz w:val="22"/>
          <w:szCs w:val="22"/>
        </w:rPr>
        <w:t xml:space="preserve"> build-up phases increase it (</w:t>
      </w:r>
      <w:r w:rsidRPr="00C3295F">
        <w:rPr>
          <w:rFonts w:ascii="Calibri" w:hAnsi="Calibri" w:cs="Calibri"/>
          <w:i/>
          <w:iCs/>
          <w:sz w:val="22"/>
          <w:szCs w:val="22"/>
        </w:rPr>
        <w:t>p</w:t>
      </w:r>
      <w:r w:rsidRPr="00C3295F">
        <w:rPr>
          <w:rFonts w:ascii="Calibri" w:hAnsi="Calibri" w:cs="Calibri"/>
          <w:sz w:val="22"/>
          <w:szCs w:val="22"/>
        </w:rPr>
        <w:t xml:space="preserve"> &lt; 0.001 for both). Temporal persistence dynamics are match-specific rather than universal; the framework provides systematic tools to quantify this variation [12]. All pilot data are public; the Python pipeline will be </w:t>
      </w:r>
      <w:proofErr w:type="gramStart"/>
      <w:r w:rsidRPr="00C3295F">
        <w:rPr>
          <w:rFonts w:ascii="Calibri" w:hAnsi="Calibri" w:cs="Calibri"/>
          <w:sz w:val="22"/>
          <w:szCs w:val="22"/>
        </w:rPr>
        <w:t>open-source</w:t>
      </w:r>
      <w:proofErr w:type="gramEnd"/>
      <w:r w:rsidRPr="00C3295F">
        <w:rPr>
          <w:rFonts w:ascii="Calibri" w:hAnsi="Calibri" w:cs="Calibri"/>
          <w:sz w:val="22"/>
          <w:szCs w:val="22"/>
        </w:rPr>
        <w:t xml:space="preserve"> released with journal submission.</w:t>
      </w:r>
    </w:p>
    <w:p w14:paraId="73FCA5A8" w14:textId="5A668501" w:rsidR="00C3295F" w:rsidRPr="00C3295F" w:rsidRDefault="00C3295F" w:rsidP="00C3295F">
      <w:pPr>
        <w:spacing w:after="100"/>
        <w:rPr>
          <w:rFonts w:ascii="Calibri" w:hAnsi="Calibri" w:cs="Calibri"/>
          <w:sz w:val="22"/>
          <w:szCs w:val="22"/>
        </w:rPr>
      </w:pPr>
      <w:r w:rsidRPr="00C3295F">
        <w:rPr>
          <w:rFonts w:ascii="Calibri" w:hAnsi="Calibri" w:cs="Calibri"/>
          <w:sz w:val="22"/>
          <w:szCs w:val="22"/>
        </w:rPr>
        <w:t>Timeliness, Beneficiaries and National Importance. This grant develops three methodological contributions beyond the preprint [12]: (1) empirical distributional theory on topological invariants at championship scale (O1); (2) comparison geometry in persistence space for topological fingerprinting (O2); (3) persistence landscape methods for temporal dynamics and phase-transition detection (O3). Computational libraries (</w:t>
      </w:r>
      <w:proofErr w:type="spellStart"/>
      <w:r w:rsidRPr="00C3295F">
        <w:rPr>
          <w:rFonts w:ascii="Calibri" w:hAnsi="Calibri" w:cs="Calibri"/>
          <w:sz w:val="22"/>
          <w:szCs w:val="22"/>
        </w:rPr>
        <w:t>Ripser</w:t>
      </w:r>
      <w:proofErr w:type="spellEnd"/>
      <w:r w:rsidRPr="00C3295F">
        <w:rPr>
          <w:rFonts w:ascii="Calibri" w:hAnsi="Calibri" w:cs="Calibri"/>
          <w:sz w:val="22"/>
          <w:szCs w:val="22"/>
        </w:rPr>
        <w:t xml:space="preserve">, GUDHI) enable execution but are not the research contribution. The </w:t>
      </w:r>
      <w:proofErr w:type="spellStart"/>
      <w:r w:rsidRPr="00C3295F">
        <w:rPr>
          <w:rFonts w:ascii="Calibri" w:hAnsi="Calibri" w:cs="Calibri"/>
          <w:sz w:val="22"/>
          <w:szCs w:val="22"/>
        </w:rPr>
        <w:t>Botnan</w:t>
      </w:r>
      <w:proofErr w:type="spellEnd"/>
      <w:r w:rsidRPr="00C3295F">
        <w:rPr>
          <w:rFonts w:ascii="Calibri" w:hAnsi="Calibri" w:cs="Calibri"/>
          <w:sz w:val="22"/>
          <w:szCs w:val="22"/>
        </w:rPr>
        <w:t xml:space="preserve"> and Lesnick survey [7] marks theoretical maturity in multiparameter persistence; validated workflows for competitive hierarchical systems are the gap the field is ready to fill. A Championship season (~540 matches) now makes population-level topological statistics computationally tractable for the first time. Direct beneficiaries: the mathematical sciences community (validated open-source library for multi-scale homology on competitive point clouds) and sports analytics practitioners — Swansea City AFC performance analysts, as co-development partner, receive practitioner-interpretable visualisations of pressing structures, formation gaps, and defensive-line organisation that standard geometric descriptors (team length, width, convex-hull area) do not directly quantify. The project strengthens UK research infrastructure in applied algebraic topology, aligned with EPSRC mathematical sciences priorities, and demonstrates mathematically driven engagement with the UK sports analytics industry. The domain-validation procedure — cutoff sweep, stability scoring, adaptive filtration — transfers to any competitive multi-agent system once characteristic interaction scales are re-derived.</w:t>
      </w:r>
    </w:p>
    <w:p w14:paraId="002264F3" w14:textId="77777777" w:rsidR="00C3295F" w:rsidRPr="00C3295F" w:rsidRDefault="00C3295F" w:rsidP="00C3295F">
      <w:pPr>
        <w:spacing w:after="100"/>
        <w:rPr>
          <w:rFonts w:ascii="Calibri" w:hAnsi="Calibri" w:cs="Calibri"/>
          <w:sz w:val="22"/>
          <w:szCs w:val="22"/>
        </w:rPr>
      </w:pPr>
    </w:p>
    <w:p w14:paraId="5FFE97FA" w14:textId="7D772AAC" w:rsidR="00C3295F" w:rsidRPr="00C3295F" w:rsidRDefault="00C3295F" w:rsidP="00C3295F">
      <w:pPr>
        <w:spacing w:after="100"/>
        <w:rPr>
          <w:rFonts w:ascii="Calibri" w:hAnsi="Calibri" w:cs="Calibri"/>
          <w:sz w:val="22"/>
          <w:szCs w:val="22"/>
        </w:rPr>
      </w:pPr>
      <w:r w:rsidRPr="00C3295F">
        <w:rPr>
          <w:rFonts w:ascii="Calibri" w:hAnsi="Calibri" w:cs="Calibri"/>
          <w:sz w:val="22"/>
          <w:szCs w:val="22"/>
        </w:rPr>
        <w:t>APPROACH</w:t>
      </w:r>
    </w:p>
    <w:p w14:paraId="73842EDB" w14:textId="5FAD02C4" w:rsidR="00C3295F" w:rsidRPr="00C3295F" w:rsidRDefault="00C3295F" w:rsidP="00C3295F">
      <w:pPr>
        <w:spacing w:after="100"/>
        <w:rPr>
          <w:rFonts w:ascii="Calibri" w:hAnsi="Calibri" w:cs="Calibri"/>
          <w:sz w:val="22"/>
          <w:szCs w:val="22"/>
        </w:rPr>
      </w:pPr>
      <w:r w:rsidRPr="00C3295F">
        <w:rPr>
          <w:rFonts w:ascii="Calibri" w:hAnsi="Calibri" w:cs="Calibri"/>
          <w:sz w:val="22"/>
          <w:szCs w:val="22"/>
        </w:rPr>
        <w:t>Project Structure and Team. This 12-month project involves: (</w:t>
      </w:r>
      <w:proofErr w:type="spellStart"/>
      <w:r w:rsidRPr="00C3295F">
        <w:rPr>
          <w:rFonts w:ascii="Calibri" w:hAnsi="Calibri" w:cs="Calibri"/>
          <w:sz w:val="22"/>
          <w:szCs w:val="22"/>
        </w:rPr>
        <w:t>i</w:t>
      </w:r>
      <w:proofErr w:type="spellEnd"/>
      <w:r w:rsidRPr="00C3295F">
        <w:rPr>
          <w:rFonts w:ascii="Calibri" w:hAnsi="Calibri" w:cs="Calibri"/>
          <w:sz w:val="22"/>
          <w:szCs w:val="22"/>
        </w:rPr>
        <w:t xml:space="preserve">) the PI (0.2 FTE), framework development, analysis oversight, and publication; (ii) two Co-Investigators (0.25 FTE combined), statistical and domain expertise; (iii) a Research Associate (1.0 FTE, 9 months, Months 2–10), pipeline implementation, full-season analysis, and landscape library development; (iv) partnership with Swansea City AFC and </w:t>
      </w:r>
      <w:proofErr w:type="spellStart"/>
      <w:r w:rsidRPr="00C3295F">
        <w:rPr>
          <w:rFonts w:ascii="Calibri" w:hAnsi="Calibri" w:cs="Calibri"/>
          <w:sz w:val="22"/>
          <w:szCs w:val="22"/>
        </w:rPr>
        <w:t>StatsBomb</w:t>
      </w:r>
      <w:proofErr w:type="spellEnd"/>
      <w:r w:rsidRPr="00C3295F">
        <w:rPr>
          <w:rFonts w:ascii="Calibri" w:hAnsi="Calibri" w:cs="Calibri"/>
          <w:sz w:val="22"/>
          <w:szCs w:val="22"/>
        </w:rPr>
        <w:t xml:space="preserve"> (Championship tracking data and formation labels). Four integrated objectives are pursued (three research objectives plus one strategic output).</w:t>
      </w:r>
    </w:p>
    <w:p w14:paraId="5EF57F3A" w14:textId="0B5003D4" w:rsidR="00C3295F" w:rsidRPr="00C3295F" w:rsidRDefault="00C3295F" w:rsidP="00C3295F">
      <w:pPr>
        <w:spacing w:after="100"/>
        <w:rPr>
          <w:rFonts w:ascii="Calibri" w:hAnsi="Calibri" w:cs="Calibri"/>
          <w:sz w:val="22"/>
          <w:szCs w:val="22"/>
        </w:rPr>
      </w:pPr>
      <w:r w:rsidRPr="00C3295F">
        <w:rPr>
          <w:rFonts w:ascii="Calibri" w:hAnsi="Calibri" w:cs="Calibri"/>
          <w:sz w:val="22"/>
          <w:szCs w:val="22"/>
        </w:rPr>
        <w:t xml:space="preserve">Sample-size rationale. A full Championship season (~540 matches) supports subgroup inference (n ≈ 32 matches per stratum for 95% CI half-width 0.025 on tactical-scale H₁ presence; pilot across-match </w:t>
      </w:r>
      <w:proofErr w:type="spellStart"/>
      <w:r w:rsidRPr="00C3295F">
        <w:rPr>
          <w:rFonts w:ascii="Calibri" w:hAnsi="Calibri" w:cs="Calibri"/>
          <w:sz w:val="22"/>
          <w:szCs w:val="22"/>
        </w:rPr>
        <w:t>s.d.</w:t>
      </w:r>
      <w:proofErr w:type="spellEnd"/>
      <w:r w:rsidRPr="00C3295F">
        <w:rPr>
          <w:rFonts w:ascii="Calibri" w:hAnsi="Calibri" w:cs="Calibri"/>
          <w:sz w:val="22"/>
          <w:szCs w:val="22"/>
        </w:rPr>
        <w:t xml:space="preserve"> 0.072) and powers O2 landscape comparisons (Cohen's </w:t>
      </w:r>
      <w:r w:rsidRPr="00C3295F">
        <w:rPr>
          <w:rFonts w:ascii="Calibri" w:hAnsi="Calibri" w:cs="Calibri"/>
          <w:i/>
          <w:iCs/>
          <w:sz w:val="22"/>
          <w:szCs w:val="22"/>
        </w:rPr>
        <w:t>d</w:t>
      </w:r>
      <w:r w:rsidRPr="00C3295F">
        <w:rPr>
          <w:rFonts w:ascii="Calibri" w:hAnsi="Calibri" w:cs="Calibri"/>
          <w:sz w:val="22"/>
          <w:szCs w:val="22"/>
        </w:rPr>
        <w:t xml:space="preserve"> ≥ 0.30 at power 0.80, α = 0.05, Benjamini–Hochberg FDR correction; n ≈ 180 matches per tactical class). A pilot linear mixed model of the within-match half-effect on tactical-scale H₁ persistence (β̂₁ = −0.081, stratified permutation </w:t>
      </w:r>
      <w:r w:rsidRPr="00C3295F">
        <w:rPr>
          <w:rFonts w:ascii="Calibri" w:hAnsi="Calibri" w:cs="Calibri"/>
          <w:i/>
          <w:iCs/>
          <w:sz w:val="22"/>
          <w:szCs w:val="22"/>
        </w:rPr>
        <w:t>p</w:t>
      </w:r>
      <w:r w:rsidRPr="00C3295F">
        <w:rPr>
          <w:rFonts w:ascii="Calibri" w:hAnsi="Calibri" w:cs="Calibri"/>
          <w:sz w:val="22"/>
          <w:szCs w:val="22"/>
        </w:rPr>
        <w:t xml:space="preserve"> = 0.051 [12]) is borderline at α = 0.05 and consistent with match-specific dynamics; season-scale replication resolves it.</w:t>
      </w:r>
    </w:p>
    <w:p w14:paraId="3760C302" w14:textId="17AFA1B4" w:rsidR="00C3295F" w:rsidRPr="00C3295F" w:rsidRDefault="00C3295F" w:rsidP="00C3295F">
      <w:pPr>
        <w:spacing w:after="100"/>
        <w:rPr>
          <w:rFonts w:ascii="Calibri" w:hAnsi="Calibri" w:cs="Calibri"/>
          <w:sz w:val="22"/>
          <w:szCs w:val="22"/>
        </w:rPr>
      </w:pPr>
      <w:r w:rsidRPr="00C3295F">
        <w:rPr>
          <w:rFonts w:ascii="Calibri" w:hAnsi="Calibri" w:cs="Calibri"/>
          <w:sz w:val="22"/>
          <w:szCs w:val="22"/>
        </w:rPr>
        <w:t>Objectives. Building on [12] and landscape foundations [10,11]:</w:t>
      </w:r>
    </w:p>
    <w:p w14:paraId="16260549" w14:textId="380F011B" w:rsidR="00C3295F" w:rsidRPr="00C3295F" w:rsidRDefault="00C3295F" w:rsidP="00C3295F">
      <w:pPr>
        <w:spacing w:after="100"/>
        <w:rPr>
          <w:rFonts w:ascii="Calibri" w:hAnsi="Calibri" w:cs="Calibri"/>
          <w:sz w:val="22"/>
          <w:szCs w:val="22"/>
        </w:rPr>
      </w:pPr>
      <w:r w:rsidRPr="00C3295F">
        <w:rPr>
          <w:rFonts w:ascii="Calibri" w:hAnsi="Calibri" w:cs="Calibri"/>
          <w:sz w:val="22"/>
          <w:szCs w:val="22"/>
        </w:rPr>
        <w:t xml:space="preserve">O1 — Population-level topological statistics (PI and RA, Months 1–10): PI establishes a Supercomputing Wales concurrent pipeline in Month 1; a 20-match Championship batch (Months 1–2) re-validates cutoffs (δ = 2.98, 12.0, 30.0 m) before full-season execution — stability scores below 0.80 trigger re-derivation, gating downstream work. RA (Months 2–7) processes ~540 matches (full-season barcode database, Month 7). PI conducts exploratory joint analysis of H₀/H₁ distributions against </w:t>
      </w:r>
      <w:proofErr w:type="spellStart"/>
      <w:r w:rsidRPr="00C3295F">
        <w:rPr>
          <w:rFonts w:ascii="Calibri" w:hAnsi="Calibri" w:cs="Calibri"/>
          <w:sz w:val="22"/>
          <w:szCs w:val="22"/>
        </w:rPr>
        <w:t>StatsBomb</w:t>
      </w:r>
      <w:proofErr w:type="spellEnd"/>
      <w:r w:rsidRPr="00C3295F">
        <w:rPr>
          <w:rFonts w:ascii="Calibri" w:hAnsi="Calibri" w:cs="Calibri"/>
          <w:sz w:val="22"/>
          <w:szCs w:val="22"/>
        </w:rPr>
        <w:t xml:space="preserve"> tactical descriptors (Months 5–7). </w:t>
      </w:r>
      <w:r w:rsidRPr="00C3295F">
        <w:rPr>
          <w:rFonts w:ascii="Calibri" w:hAnsi="Calibri" w:cs="Calibri"/>
          <w:i/>
          <w:iCs/>
          <w:sz w:val="22"/>
          <w:szCs w:val="22"/>
        </w:rPr>
        <w:t>Milestone: cutoff gate (Month 2); barcode database (Month 7).</w:t>
      </w:r>
    </w:p>
    <w:p w14:paraId="113BBC52" w14:textId="3D74C03C" w:rsidR="00C3295F" w:rsidRPr="00C3295F" w:rsidRDefault="00C3295F" w:rsidP="00C3295F">
      <w:pPr>
        <w:spacing w:after="100"/>
        <w:rPr>
          <w:rFonts w:ascii="Calibri" w:hAnsi="Calibri" w:cs="Calibri"/>
          <w:sz w:val="22"/>
          <w:szCs w:val="22"/>
        </w:rPr>
      </w:pPr>
      <w:r w:rsidRPr="00C3295F">
        <w:rPr>
          <w:rFonts w:ascii="Calibri" w:hAnsi="Calibri" w:cs="Calibri"/>
          <w:sz w:val="22"/>
          <w:szCs w:val="22"/>
        </w:rPr>
        <w:t xml:space="preserve">O2 — Topological fingerprinting (PI, Months 6–9): Formation labels from </w:t>
      </w:r>
      <w:proofErr w:type="spellStart"/>
      <w:r w:rsidRPr="00C3295F">
        <w:rPr>
          <w:rFonts w:ascii="Calibri" w:hAnsi="Calibri" w:cs="Calibri"/>
          <w:sz w:val="22"/>
          <w:szCs w:val="22"/>
        </w:rPr>
        <w:t>StatsBomb</w:t>
      </w:r>
      <w:proofErr w:type="spellEnd"/>
      <w:r w:rsidRPr="00C3295F">
        <w:rPr>
          <w:rFonts w:ascii="Calibri" w:hAnsi="Calibri" w:cs="Calibri"/>
          <w:sz w:val="22"/>
          <w:szCs w:val="22"/>
        </w:rPr>
        <w:t xml:space="preserve"> and </w:t>
      </w:r>
      <w:proofErr w:type="spellStart"/>
      <w:r w:rsidRPr="00C3295F">
        <w:rPr>
          <w:rFonts w:ascii="Calibri" w:hAnsi="Calibri" w:cs="Calibri"/>
          <w:sz w:val="22"/>
          <w:szCs w:val="22"/>
        </w:rPr>
        <w:t>SkillCorner</w:t>
      </w:r>
      <w:proofErr w:type="spellEnd"/>
      <w:r w:rsidRPr="00C3295F">
        <w:rPr>
          <w:rFonts w:ascii="Calibri" w:hAnsi="Calibri" w:cs="Calibri"/>
          <w:sz w:val="22"/>
          <w:szCs w:val="22"/>
        </w:rPr>
        <w:t xml:space="preserve">; Cohen's κ computed before confirmatory tests; hypotheses pre-registered on OSF (Month 2). </w:t>
      </w:r>
      <w:r w:rsidRPr="00C3295F">
        <w:rPr>
          <w:rFonts w:ascii="Calibri" w:hAnsi="Calibri" w:cs="Calibri"/>
          <w:sz w:val="22"/>
          <w:szCs w:val="22"/>
        </w:rPr>
        <w:lastRenderedPageBreak/>
        <w:t>Persistence diagrams compared via persistence-image kernel and landscape L²-distance. Non-redundancy tested by ANCOVA against geometric baselines (team length, width, convex-hull area). Success criteria: topological signatures for ≥3 tactical configurations; inter-system differences with Benjamini–Hochberg FDR correction (</w:t>
      </w:r>
      <w:r w:rsidRPr="00C3295F">
        <w:rPr>
          <w:rFonts w:ascii="Calibri" w:hAnsi="Calibri" w:cs="Calibri"/>
          <w:i/>
          <w:iCs/>
          <w:sz w:val="22"/>
          <w:szCs w:val="22"/>
        </w:rPr>
        <w:t>p</w:t>
      </w:r>
      <w:r w:rsidRPr="00C3295F">
        <w:rPr>
          <w:rFonts w:ascii="Calibri" w:hAnsi="Calibri" w:cs="Calibri"/>
          <w:sz w:val="22"/>
          <w:szCs w:val="22"/>
        </w:rPr>
        <w:t xml:space="preserve"> &lt; 0.05). </w:t>
      </w:r>
      <w:r w:rsidRPr="00C3295F">
        <w:rPr>
          <w:rFonts w:ascii="Calibri" w:hAnsi="Calibri" w:cs="Calibri"/>
          <w:i/>
          <w:iCs/>
          <w:sz w:val="22"/>
          <w:szCs w:val="22"/>
        </w:rPr>
        <w:t>Milestone: OSF pre-registration (Month 2); fingerprint results (Month 9).</w:t>
      </w:r>
    </w:p>
    <w:p w14:paraId="0F711B9C" w14:textId="42FF9A55" w:rsidR="00C3295F" w:rsidRPr="00C3295F" w:rsidRDefault="00C3295F" w:rsidP="00C3295F">
      <w:pPr>
        <w:spacing w:after="100"/>
        <w:rPr>
          <w:rFonts w:ascii="Calibri" w:hAnsi="Calibri" w:cs="Calibri"/>
          <w:sz w:val="22"/>
          <w:szCs w:val="22"/>
        </w:rPr>
      </w:pPr>
      <w:r w:rsidRPr="00C3295F">
        <w:rPr>
          <w:rFonts w:ascii="Calibri" w:hAnsi="Calibri" w:cs="Calibri"/>
          <w:sz w:val="22"/>
          <w:szCs w:val="22"/>
        </w:rPr>
        <w:t>O3 — Temporal dynamics and phase transitions (PI and RA, Months 4–10): RA implements landscape library (</w:t>
      </w:r>
      <w:proofErr w:type="spellStart"/>
      <w:r w:rsidRPr="00C3295F">
        <w:rPr>
          <w:rFonts w:ascii="Calibri" w:hAnsi="Calibri" w:cs="Calibri"/>
          <w:sz w:val="22"/>
          <w:szCs w:val="22"/>
        </w:rPr>
        <w:t>λ_δ</w:t>
      </w:r>
      <w:proofErr w:type="spellEnd"/>
      <w:r w:rsidRPr="00C3295F">
        <w:rPr>
          <w:rFonts w:ascii="Calibri" w:hAnsi="Calibri" w:cs="Calibri"/>
          <w:sz w:val="22"/>
          <w:szCs w:val="22"/>
        </w:rPr>
        <w:t>(</w:t>
      </w:r>
      <w:r w:rsidRPr="00C3295F">
        <w:rPr>
          <w:rFonts w:ascii="Calibri" w:hAnsi="Calibri" w:cs="Calibri"/>
          <w:i/>
          <w:iCs/>
          <w:sz w:val="22"/>
          <w:szCs w:val="22"/>
        </w:rPr>
        <w:t>t</w:t>
      </w:r>
      <w:r w:rsidRPr="00C3295F">
        <w:rPr>
          <w:rFonts w:ascii="Calibri" w:hAnsi="Calibri" w:cs="Calibri"/>
          <w:sz w:val="22"/>
          <w:szCs w:val="22"/>
        </w:rPr>
        <w:t>), Fréchet means, inter-landscape L² distances, Months 6–10). PI applies FPCA to within-match landscape paths and CUSUM change-point detection on L²-norm increments; alignment with tactical annotations assessed by permutation test (</w:t>
      </w:r>
      <w:r w:rsidRPr="00C3295F">
        <w:rPr>
          <w:rFonts w:ascii="Calibri" w:hAnsi="Calibri" w:cs="Calibri"/>
          <w:i/>
          <w:iCs/>
          <w:sz w:val="22"/>
          <w:szCs w:val="22"/>
        </w:rPr>
        <w:t>p</w:t>
      </w:r>
      <w:r w:rsidRPr="00C3295F">
        <w:rPr>
          <w:rFonts w:ascii="Calibri" w:hAnsi="Calibri" w:cs="Calibri"/>
          <w:sz w:val="22"/>
          <w:szCs w:val="22"/>
        </w:rPr>
        <w:t xml:space="preserve"> &lt; 0.05). Success criteria: ≥70% frame-level agreement on stability-regime segmentation across random sub-samples. Wasserstein distance comparison provides a defined fallback if competitive sequential landscape extension requires development beyond [10,11]. </w:t>
      </w:r>
      <w:r w:rsidRPr="00C3295F">
        <w:rPr>
          <w:rFonts w:ascii="Calibri" w:hAnsi="Calibri" w:cs="Calibri"/>
          <w:i/>
          <w:iCs/>
          <w:sz w:val="22"/>
          <w:szCs w:val="22"/>
        </w:rPr>
        <w:t>Milestone: landscape module (Month 8); combined O2/O3 outputs (Month 9).</w:t>
      </w:r>
    </w:p>
    <w:p w14:paraId="191C4C62" w14:textId="62D0953B" w:rsidR="00C3295F" w:rsidRPr="00C3295F" w:rsidRDefault="00C3295F" w:rsidP="00C3295F">
      <w:pPr>
        <w:spacing w:after="100"/>
        <w:rPr>
          <w:rFonts w:ascii="Calibri" w:hAnsi="Calibri" w:cs="Calibri"/>
          <w:sz w:val="22"/>
          <w:szCs w:val="22"/>
        </w:rPr>
      </w:pPr>
      <w:r w:rsidRPr="00C3295F">
        <w:rPr>
          <w:rFonts w:ascii="Calibri" w:hAnsi="Calibri" w:cs="Calibri"/>
          <w:sz w:val="22"/>
          <w:szCs w:val="22"/>
        </w:rPr>
        <w:t xml:space="preserve">O4 — Standard Grant evidence synthesis (PI, Months 9–12): Standard Grant preparation begins in Month 9, compiling full-season results into a reproducible evidence base for a separate follow-on application extending the framework to broader competitive multi-agent systems (preliminary cross-domain conflict-data analysis defines the longer-term pathway). Submission is targeted within 12 months of project completion. O1–O3 are standalone publishable contributions independently of this strategic output. </w:t>
      </w:r>
      <w:r w:rsidRPr="00C3295F">
        <w:rPr>
          <w:rFonts w:ascii="Calibri" w:hAnsi="Calibri" w:cs="Calibri"/>
          <w:i/>
          <w:iCs/>
          <w:sz w:val="22"/>
          <w:szCs w:val="22"/>
        </w:rPr>
        <w:t>Milestone: evidence pack (Month 12).</w:t>
      </w:r>
    </w:p>
    <w:p w14:paraId="55A38CF2" w14:textId="76F9D6EA" w:rsidR="00C3295F" w:rsidRPr="00C3295F" w:rsidRDefault="00C3295F" w:rsidP="00C3295F">
      <w:pPr>
        <w:spacing w:after="100"/>
        <w:rPr>
          <w:rFonts w:ascii="Calibri" w:hAnsi="Calibri" w:cs="Calibri"/>
          <w:sz w:val="22"/>
          <w:szCs w:val="22"/>
        </w:rPr>
      </w:pPr>
      <w:r w:rsidRPr="00C3295F">
        <w:rPr>
          <w:rFonts w:ascii="Calibri" w:hAnsi="Calibri" w:cs="Calibri"/>
          <w:sz w:val="22"/>
          <w:szCs w:val="22"/>
        </w:rPr>
        <w:t>Methodology and Feasibility. The containerised Python pipeline (</w:t>
      </w:r>
      <w:proofErr w:type="spellStart"/>
      <w:r w:rsidRPr="00C3295F">
        <w:rPr>
          <w:rFonts w:ascii="Calibri" w:hAnsi="Calibri" w:cs="Calibri"/>
          <w:sz w:val="22"/>
          <w:szCs w:val="22"/>
        </w:rPr>
        <w:t>Ripser</w:t>
      </w:r>
      <w:proofErr w:type="spellEnd"/>
      <w:r w:rsidRPr="00C3295F">
        <w:rPr>
          <w:rFonts w:ascii="Calibri" w:hAnsi="Calibri" w:cs="Calibri"/>
          <w:sz w:val="22"/>
          <w:szCs w:val="22"/>
        </w:rPr>
        <w:t xml:space="preserve"> [15], GUDHI, </w:t>
      </w:r>
      <w:proofErr w:type="spellStart"/>
      <w:r w:rsidRPr="00C3295F">
        <w:rPr>
          <w:rFonts w:ascii="Calibri" w:hAnsi="Calibri" w:cs="Calibri"/>
          <w:sz w:val="22"/>
          <w:szCs w:val="22"/>
        </w:rPr>
        <w:t>giotto-tda</w:t>
      </w:r>
      <w:proofErr w:type="spellEnd"/>
      <w:r w:rsidRPr="00C3295F">
        <w:rPr>
          <w:rFonts w:ascii="Calibri" w:hAnsi="Calibri" w:cs="Calibri"/>
          <w:sz w:val="22"/>
          <w:szCs w:val="22"/>
        </w:rPr>
        <w:t xml:space="preserve"> [16]; &lt;2 s per frame) processes tracking data through clustering, adaptive filtration, and barcode computation under the Swansea City AFC–</w:t>
      </w:r>
      <w:proofErr w:type="spellStart"/>
      <w:r w:rsidRPr="00C3295F">
        <w:rPr>
          <w:rFonts w:ascii="Calibri" w:hAnsi="Calibri" w:cs="Calibri"/>
          <w:sz w:val="22"/>
          <w:szCs w:val="22"/>
        </w:rPr>
        <w:t>StatsBomb</w:t>
      </w:r>
      <w:proofErr w:type="spellEnd"/>
      <w:r w:rsidRPr="00C3295F">
        <w:rPr>
          <w:rFonts w:ascii="Calibri" w:hAnsi="Calibri" w:cs="Calibri"/>
          <w:sz w:val="22"/>
          <w:szCs w:val="22"/>
        </w:rPr>
        <w:t xml:space="preserve"> agreement. Full-season processing requires ~1,600 CPU-hours; Supercomputing Wales allocation (5,000 core-hours) covers processing, gate batches, and O3 landscape computation with margin. The Month 1–2 gate confirms cutoff transferability and 1 Hz production fidelity before full-season commitment.</w:t>
      </w:r>
    </w:p>
    <w:p w14:paraId="36257203" w14:textId="69B6D115" w:rsidR="00C3295F" w:rsidRPr="00C3295F" w:rsidRDefault="00C3295F" w:rsidP="00C3295F">
      <w:pPr>
        <w:spacing w:after="100"/>
        <w:rPr>
          <w:rFonts w:ascii="Calibri" w:hAnsi="Calibri" w:cs="Calibri"/>
          <w:sz w:val="22"/>
          <w:szCs w:val="22"/>
        </w:rPr>
      </w:pPr>
      <w:r w:rsidRPr="00C3295F">
        <w:rPr>
          <w:rFonts w:ascii="Calibri" w:hAnsi="Calibri" w:cs="Calibri"/>
          <w:sz w:val="22"/>
          <w:szCs w:val="22"/>
        </w:rPr>
        <w:t>Risk Management. (</w:t>
      </w:r>
      <w:proofErr w:type="spellStart"/>
      <w:r w:rsidRPr="00C3295F">
        <w:rPr>
          <w:rFonts w:ascii="Calibri" w:hAnsi="Calibri" w:cs="Calibri"/>
          <w:sz w:val="22"/>
          <w:szCs w:val="22"/>
        </w:rPr>
        <w:t>i</w:t>
      </w:r>
      <w:proofErr w:type="spellEnd"/>
      <w:r w:rsidRPr="00C3295F">
        <w:rPr>
          <w:rFonts w:ascii="Calibri" w:hAnsi="Calibri" w:cs="Calibri"/>
          <w:sz w:val="22"/>
          <w:szCs w:val="22"/>
        </w:rPr>
        <w:t xml:space="preserve">) </w:t>
      </w:r>
      <w:r w:rsidRPr="00C3295F">
        <w:rPr>
          <w:rFonts w:ascii="Calibri" w:hAnsi="Calibri" w:cs="Calibri"/>
          <w:i/>
          <w:iCs/>
          <w:sz w:val="22"/>
          <w:szCs w:val="22"/>
        </w:rPr>
        <w:t>Data access:</w:t>
      </w:r>
      <w:r w:rsidRPr="00C3295F">
        <w:rPr>
          <w:rFonts w:ascii="Calibri" w:hAnsi="Calibri" w:cs="Calibri"/>
          <w:sz w:val="22"/>
          <w:szCs w:val="22"/>
        </w:rPr>
        <w:t xml:space="preserve"> </w:t>
      </w:r>
      <w:proofErr w:type="spellStart"/>
      <w:r w:rsidRPr="00C3295F">
        <w:rPr>
          <w:rFonts w:ascii="Calibri" w:hAnsi="Calibri" w:cs="Calibri"/>
          <w:sz w:val="22"/>
          <w:szCs w:val="22"/>
        </w:rPr>
        <w:t>StatsBomb</w:t>
      </w:r>
      <w:proofErr w:type="spellEnd"/>
      <w:r w:rsidRPr="00C3295F">
        <w:rPr>
          <w:rFonts w:ascii="Calibri" w:hAnsi="Calibri" w:cs="Calibri"/>
          <w:sz w:val="22"/>
          <w:szCs w:val="22"/>
        </w:rPr>
        <w:t xml:space="preserve"> agreement confirmed for 2024/25; ~270-match contingency remains publishable for O1; O2 would be reported as exploratory only. (ii) </w:t>
      </w:r>
      <w:r w:rsidRPr="00C3295F">
        <w:rPr>
          <w:rFonts w:ascii="Calibri" w:hAnsi="Calibri" w:cs="Calibri"/>
          <w:i/>
          <w:iCs/>
          <w:sz w:val="22"/>
          <w:szCs w:val="22"/>
        </w:rPr>
        <w:t>Scale transferability:</w:t>
      </w:r>
      <w:r w:rsidRPr="00C3295F">
        <w:rPr>
          <w:rFonts w:ascii="Calibri" w:hAnsi="Calibri" w:cs="Calibri"/>
          <w:sz w:val="22"/>
          <w:szCs w:val="22"/>
        </w:rPr>
        <w:t xml:space="preserve"> Month 2 gate re-derives cutoffs on Championship data. (iii) </w:t>
      </w:r>
      <w:r w:rsidRPr="00C3295F">
        <w:rPr>
          <w:rFonts w:ascii="Calibri" w:hAnsi="Calibri" w:cs="Calibri"/>
          <w:i/>
          <w:iCs/>
          <w:sz w:val="22"/>
          <w:szCs w:val="22"/>
        </w:rPr>
        <w:t>Formation-label noise:</w:t>
      </w:r>
      <w:r w:rsidRPr="00C3295F">
        <w:rPr>
          <w:rFonts w:ascii="Calibri" w:hAnsi="Calibri" w:cs="Calibri"/>
          <w:sz w:val="22"/>
          <w:szCs w:val="22"/>
        </w:rPr>
        <w:t xml:space="preserve"> dual-source verification and parallel unsupervised landscape clustering; pre-registered exclusion protocol. (iv) </w:t>
      </w:r>
      <w:r w:rsidRPr="00C3295F">
        <w:rPr>
          <w:rFonts w:ascii="Calibri" w:hAnsi="Calibri" w:cs="Calibri"/>
          <w:i/>
          <w:iCs/>
          <w:sz w:val="22"/>
          <w:szCs w:val="22"/>
        </w:rPr>
        <w:t>Landscape theory:</w:t>
      </w:r>
      <w:r w:rsidRPr="00C3295F">
        <w:rPr>
          <w:rFonts w:ascii="Calibri" w:hAnsi="Calibri" w:cs="Calibri"/>
          <w:sz w:val="22"/>
          <w:szCs w:val="22"/>
        </w:rPr>
        <w:t xml:space="preserve"> Wasserstein fallback preserves O3 if sequential landscape extension requires additional development.</w:t>
      </w:r>
    </w:p>
    <w:p w14:paraId="1B17C597" w14:textId="257FF90F" w:rsidR="00C3295F" w:rsidRPr="00C3295F" w:rsidRDefault="00C3295F" w:rsidP="00C3295F">
      <w:pPr>
        <w:spacing w:after="100"/>
        <w:rPr>
          <w:rFonts w:ascii="Calibri" w:hAnsi="Calibri" w:cs="Calibri"/>
          <w:sz w:val="22"/>
          <w:szCs w:val="22"/>
        </w:rPr>
      </w:pPr>
      <w:r w:rsidRPr="00C3295F">
        <w:rPr>
          <w:rFonts w:ascii="Calibri" w:hAnsi="Calibri" w:cs="Calibri"/>
          <w:sz w:val="22"/>
          <w:szCs w:val="22"/>
        </w:rPr>
        <w:t xml:space="preserve">Translation to Impact. Open-source code archived via Swansea University's </w:t>
      </w:r>
      <w:proofErr w:type="spellStart"/>
      <w:r w:rsidRPr="00C3295F">
        <w:rPr>
          <w:rFonts w:ascii="Calibri" w:hAnsi="Calibri" w:cs="Calibri"/>
          <w:sz w:val="22"/>
          <w:szCs w:val="22"/>
        </w:rPr>
        <w:t>Zenodo</w:t>
      </w:r>
      <w:proofErr w:type="spellEnd"/>
      <w:r w:rsidRPr="00C3295F">
        <w:rPr>
          <w:rFonts w:ascii="Calibri" w:hAnsi="Calibri" w:cs="Calibri"/>
          <w:sz w:val="22"/>
          <w:szCs w:val="22"/>
        </w:rPr>
        <w:t xml:space="preserve"> community (DOI). Paper 1 (methodology [12]) submitted to </w:t>
      </w:r>
      <w:proofErr w:type="spellStart"/>
      <w:r w:rsidRPr="00C3295F">
        <w:rPr>
          <w:rFonts w:ascii="Calibri" w:hAnsi="Calibri" w:cs="Calibri"/>
          <w:sz w:val="22"/>
          <w:szCs w:val="22"/>
        </w:rPr>
        <w:t>ArXiv</w:t>
      </w:r>
      <w:proofErr w:type="spellEnd"/>
      <w:r w:rsidRPr="00C3295F">
        <w:rPr>
          <w:rFonts w:ascii="Calibri" w:hAnsi="Calibri" w:cs="Calibri"/>
          <w:sz w:val="22"/>
          <w:szCs w:val="22"/>
        </w:rPr>
        <w:t xml:space="preserve"> and JACT from Month 1; Paper 3 (full-season results and persistence landscapes) targets Month 11. Tactical outputs co-developed with Swansea City AFC as practitioner-interpretable visualisations.</w:t>
      </w:r>
    </w:p>
    <w:p w14:paraId="7A03E87A" w14:textId="4B7C125B" w:rsidR="00C3295F" w:rsidRDefault="00C3295F" w:rsidP="00C3295F">
      <w:pPr>
        <w:spacing w:after="100"/>
        <w:rPr>
          <w:rFonts w:ascii="Calibri" w:hAnsi="Calibri" w:cs="Calibri"/>
          <w:sz w:val="22"/>
          <w:szCs w:val="22"/>
        </w:rPr>
      </w:pPr>
      <w:r w:rsidRPr="00C3295F">
        <w:rPr>
          <w:rFonts w:ascii="Calibri" w:hAnsi="Calibri" w:cs="Calibri"/>
          <w:sz w:val="22"/>
          <w:szCs w:val="22"/>
        </w:rPr>
        <w:t>Research Environment. Swansea University's Zienkiewicz Institute provides Supercomputing Wales (PI has existing allocation) and the Swansea City AFC–</w:t>
      </w:r>
      <w:proofErr w:type="spellStart"/>
      <w:r w:rsidRPr="00C3295F">
        <w:rPr>
          <w:rFonts w:ascii="Calibri" w:hAnsi="Calibri" w:cs="Calibri"/>
          <w:sz w:val="22"/>
          <w:szCs w:val="22"/>
        </w:rPr>
        <w:t>StatsBomb</w:t>
      </w:r>
      <w:proofErr w:type="spellEnd"/>
      <w:r w:rsidRPr="00C3295F">
        <w:rPr>
          <w:rFonts w:ascii="Calibri" w:hAnsi="Calibri" w:cs="Calibri"/>
          <w:sz w:val="22"/>
          <w:szCs w:val="22"/>
        </w:rPr>
        <w:t xml:space="preserve"> data agreement; the Research Office supports partnership negotiation and fast-tracked ethics review. Co-Is Professor </w:t>
      </w:r>
      <w:proofErr w:type="spellStart"/>
      <w:r w:rsidRPr="00C3295F">
        <w:rPr>
          <w:rFonts w:ascii="Calibri" w:hAnsi="Calibri" w:cs="Calibri"/>
          <w:sz w:val="22"/>
          <w:szCs w:val="22"/>
        </w:rPr>
        <w:t>Gibin</w:t>
      </w:r>
      <w:proofErr w:type="spellEnd"/>
      <w:r w:rsidRPr="00C3295F">
        <w:rPr>
          <w:rFonts w:ascii="Calibri" w:hAnsi="Calibri" w:cs="Calibri"/>
          <w:sz w:val="22"/>
          <w:szCs w:val="22"/>
        </w:rPr>
        <w:t xml:space="preserve"> Powathil (Mathematics) and Professor Liam Kilduff (Sport and Exercise Sciences) provide mathematical and domain supervision.</w:t>
      </w:r>
    </w:p>
    <w:p w14:paraId="7A8E9F5E" w14:textId="058F8C7D" w:rsidR="00EA7FCD" w:rsidRPr="00C3295F" w:rsidRDefault="00EA7FCD" w:rsidP="00C3295F">
      <w:pPr>
        <w:spacing w:after="100"/>
        <w:rPr>
          <w:rFonts w:ascii="Calibri" w:hAnsi="Calibri" w:cs="Calibri"/>
          <w:sz w:val="22"/>
          <w:szCs w:val="22"/>
        </w:rPr>
      </w:pPr>
      <w:r w:rsidRPr="00C3295F">
        <w:rPr>
          <w:rFonts w:ascii="Calibri" w:hAnsi="Calibri" w:cs="Calibri"/>
          <w:sz w:val="22"/>
          <w:szCs w:val="22"/>
        </w:rPr>
        <w:t>Project Timeline</w:t>
      </w:r>
    </w:p>
    <w:p w14:paraId="4EFF46C7" w14:textId="20700C2B" w:rsidR="00C3295F" w:rsidRPr="00C3295F" w:rsidRDefault="00EA7FCD" w:rsidP="00C3295F">
      <w:pPr>
        <w:spacing w:after="60"/>
        <w:rPr>
          <w:rFonts w:ascii="Calibri" w:hAnsi="Calibri" w:cs="Calibri"/>
          <w:sz w:val="22"/>
          <w:szCs w:val="22"/>
        </w:rPr>
      </w:pPr>
      <w:r w:rsidRPr="00EA7FCD">
        <w:rPr>
          <w:rFonts w:ascii="Calibri" w:hAnsi="Calibri" w:cs="Calibri"/>
          <w:sz w:val="22"/>
          <w:szCs w:val="22"/>
        </w:rPr>
        <w:drawing>
          <wp:inline distT="0" distB="0" distL="0" distR="0" wp14:anchorId="0D26D711" wp14:editId="5EF49795">
            <wp:extent cx="4709594" cy="1357533"/>
            <wp:effectExtent l="0" t="0" r="2540" b="1905"/>
            <wp:docPr id="750211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211609" name=""/>
                    <pic:cNvPicPr/>
                  </pic:nvPicPr>
                  <pic:blipFill>
                    <a:blip r:embed="rId5"/>
                    <a:stretch>
                      <a:fillRect/>
                    </a:stretch>
                  </pic:blipFill>
                  <pic:spPr>
                    <a:xfrm>
                      <a:off x="0" y="0"/>
                      <a:ext cx="4751901" cy="1369728"/>
                    </a:xfrm>
                    <a:prstGeom prst="rect">
                      <a:avLst/>
                    </a:prstGeom>
                  </pic:spPr>
                </pic:pic>
              </a:graphicData>
            </a:graphic>
          </wp:inline>
        </w:drawing>
      </w:r>
    </w:p>
    <w:sectPr w:rsidR="00C3295F" w:rsidRPr="00C3295F" w:rsidSect="00C436ED">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AE31CA9"/>
    <w:multiLevelType w:val="hybridMultilevel"/>
    <w:tmpl w:val="79F055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7536185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1899"/>
    <w:rsid w:val="00395B8D"/>
    <w:rsid w:val="0039664B"/>
    <w:rsid w:val="005D7D6A"/>
    <w:rsid w:val="00716867"/>
    <w:rsid w:val="00736938"/>
    <w:rsid w:val="008C5AD8"/>
    <w:rsid w:val="00943BA8"/>
    <w:rsid w:val="009F2263"/>
    <w:rsid w:val="00B03625"/>
    <w:rsid w:val="00B80347"/>
    <w:rsid w:val="00C3295F"/>
    <w:rsid w:val="00C436ED"/>
    <w:rsid w:val="00C63905"/>
    <w:rsid w:val="00C8460E"/>
    <w:rsid w:val="00E31899"/>
    <w:rsid w:val="00EA1C93"/>
    <w:rsid w:val="00EA7FCD"/>
    <w:rsid w:val="00F406E1"/>
    <w:rsid w:val="00F86984"/>
    <w:rsid w:val="00F94B3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5700560"/>
  <w15:chartTrackingRefBased/>
  <w15:docId w15:val="{254B6A44-869D-324A-9EA4-7BF4867574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18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18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18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18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18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189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189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189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189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18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18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18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18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18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18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18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18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1899"/>
    <w:rPr>
      <w:rFonts w:eastAsiaTheme="majorEastAsia" w:cstheme="majorBidi"/>
      <w:color w:val="272727" w:themeColor="text1" w:themeTint="D8"/>
    </w:rPr>
  </w:style>
  <w:style w:type="paragraph" w:styleId="Title">
    <w:name w:val="Title"/>
    <w:basedOn w:val="Normal"/>
    <w:next w:val="Normal"/>
    <w:link w:val="TitleChar"/>
    <w:uiPriority w:val="10"/>
    <w:qFormat/>
    <w:rsid w:val="00E3189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18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189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18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189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31899"/>
    <w:rPr>
      <w:i/>
      <w:iCs/>
      <w:color w:val="404040" w:themeColor="text1" w:themeTint="BF"/>
    </w:rPr>
  </w:style>
  <w:style w:type="paragraph" w:styleId="ListParagraph">
    <w:name w:val="List Paragraph"/>
    <w:basedOn w:val="Normal"/>
    <w:uiPriority w:val="34"/>
    <w:qFormat/>
    <w:rsid w:val="00E31899"/>
    <w:pPr>
      <w:ind w:left="720"/>
      <w:contextualSpacing/>
    </w:pPr>
  </w:style>
  <w:style w:type="character" w:styleId="IntenseEmphasis">
    <w:name w:val="Intense Emphasis"/>
    <w:basedOn w:val="DefaultParagraphFont"/>
    <w:uiPriority w:val="21"/>
    <w:qFormat/>
    <w:rsid w:val="00E31899"/>
    <w:rPr>
      <w:i/>
      <w:iCs/>
      <w:color w:val="0F4761" w:themeColor="accent1" w:themeShade="BF"/>
    </w:rPr>
  </w:style>
  <w:style w:type="paragraph" w:styleId="IntenseQuote">
    <w:name w:val="Intense Quote"/>
    <w:basedOn w:val="Normal"/>
    <w:next w:val="Normal"/>
    <w:link w:val="IntenseQuoteChar"/>
    <w:uiPriority w:val="30"/>
    <w:qFormat/>
    <w:rsid w:val="00E318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1899"/>
    <w:rPr>
      <w:i/>
      <w:iCs/>
      <w:color w:val="0F4761" w:themeColor="accent1" w:themeShade="BF"/>
    </w:rPr>
  </w:style>
  <w:style w:type="character" w:styleId="IntenseReference">
    <w:name w:val="Intense Reference"/>
    <w:basedOn w:val="DefaultParagraphFont"/>
    <w:uiPriority w:val="32"/>
    <w:qFormat/>
    <w:rsid w:val="00E3189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3</Pages>
  <Words>1794</Words>
  <Characters>10227</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Rowan Brown</dc:creator>
  <cp:keywords/>
  <dc:description/>
  <cp:lastModifiedBy>Rowan Brown</cp:lastModifiedBy>
  <cp:revision>1</cp:revision>
  <dcterms:created xsi:type="dcterms:W3CDTF">2026-07-02T15:24:00Z</dcterms:created>
  <dcterms:modified xsi:type="dcterms:W3CDTF">2026-07-02T16:11:00Z</dcterms:modified>
</cp:coreProperties>
</file>