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B6B383"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themeColor="text1"/>
          <w:kern w:val="0"/>
          <w:sz w:val="22"/>
          <w:szCs w:val="22"/>
        </w:rPr>
      </w:pPr>
      <w:r w:rsidRPr="00E10966">
        <w:rPr>
          <w:rFonts w:ascii="Calibri Light" w:hAnsi="Calibri Light" w:cs="Calibri Light"/>
          <w:b/>
          <w:bCs/>
          <w:color w:val="000000" w:themeColor="text1"/>
          <w:kern w:val="0"/>
          <w:sz w:val="22"/>
          <w:szCs w:val="22"/>
        </w:rPr>
        <w:t>VISION</w:t>
      </w:r>
    </w:p>
    <w:p w14:paraId="07116A9B"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1. Quality and Mathematical Importance</w:t>
      </w:r>
    </w:p>
    <w:p w14:paraId="423370C2"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Competitive collective systems are spatially distributed multi-agent systems in which agents coordinate internally while responding to an active adversary within a bounded domain. Such systems arise in autonomous multi-agent coordination, biological collectives and tactical team sports. However, no unified statistical-topological framework exists to quantify how large-scale organisation emerges, evolves, and undergoes structural transitions in such systems. This project seeks to establish this framework.</w:t>
      </w:r>
    </w:p>
    <w:p w14:paraId="4A79A203"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Importance</w:t>
      </w:r>
      <w:r w:rsidRPr="00E10966">
        <w:rPr>
          <w:rFonts w:ascii="Calibri Light" w:hAnsi="Calibri Light" w:cs="Calibri Light"/>
          <w:color w:val="000000"/>
          <w:kern w:val="0"/>
          <w:sz w:val="22"/>
          <w:szCs w:val="22"/>
        </w:rPr>
        <w:t>. Two fundamental obstacles limit existing approaches. Organisational structure exists simultaneously at multiple spatial scales: small interaction groups, larger formations and enclosed coverage regions all coexist, yet single-threshold persistent homology [1–3] conflates their signatures, obscuring scale-specific structure. Observations are also strongly dependent. Each agent continuously adapts to its opponents, violating the exchangeability assumptions that underpin current statistical topology [6,8]. Multiparameter persistence [4,5] offers a theoretical route but remains computationally intractable at competitive data rates.</w:t>
      </w:r>
    </w:p>
    <w:p w14:paraId="37491745"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Mathematical contribution</w:t>
      </w:r>
      <w:r w:rsidRPr="00E10966">
        <w:rPr>
          <w:rFonts w:ascii="Calibri Light" w:hAnsi="Calibri Light" w:cs="Calibri Light"/>
          <w:color w:val="000000"/>
          <w:kern w:val="0"/>
          <w:sz w:val="22"/>
          <w:szCs w:val="22"/>
        </w:rPr>
        <w:t>. Two theorem-level results are targeted. (</w:t>
      </w:r>
      <w:proofErr w:type="spellStart"/>
      <w:r w:rsidRPr="00E10966">
        <w:rPr>
          <w:rFonts w:ascii="Calibri Light" w:hAnsi="Calibri Light" w:cs="Calibri Light"/>
          <w:color w:val="000000"/>
          <w:kern w:val="0"/>
          <w:sz w:val="22"/>
          <w:szCs w:val="22"/>
        </w:rPr>
        <w:t>i</w:t>
      </w:r>
      <w:proofErr w:type="spellEnd"/>
      <w:r w:rsidRPr="00E10966">
        <w:rPr>
          <w:rFonts w:ascii="Calibri Light" w:hAnsi="Calibri Light" w:cs="Calibri Light"/>
          <w:color w:val="000000"/>
          <w:kern w:val="0"/>
          <w:sz w:val="22"/>
          <w:szCs w:val="22"/>
        </w:rPr>
        <w:t>) Fréchet mean trajectories exist uniquely for time-evolving topological summaries under dependent competitive dynamics, extending [6] beyond exchangeable settings; the bounded domain discharges the integrability condition through pitch geometry. (ii) Wasserstein-stability bounds for landscape-valued CUSUM statistics provide provable localisation error control under temporal dependence and bounded-domain effects. Both are proved and tested at season scale (§7, Objective 3 (O3)).</w:t>
      </w:r>
    </w:p>
    <w:p w14:paraId="0A0E852A"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Quality</w:t>
      </w:r>
      <w:r w:rsidRPr="00E10966">
        <w:rPr>
          <w:rFonts w:ascii="Calibri Light" w:hAnsi="Calibri Light" w:cs="Calibri Light"/>
          <w:color w:val="000000"/>
          <w:kern w:val="0"/>
          <w:sz w:val="22"/>
          <w:szCs w:val="22"/>
        </w:rPr>
        <w:t>. Realising this requires mathematical rigour and empirical falsifiability. Interaction lengths are set by stability-validated spatial scales rather than arbitrary thresholds, making the procedure empirically falsifiable. Professional football tracking data provide a fully observed, spatially bounded, population-scale experimental platform through which the theory is developed, calibrated and tested.</w:t>
      </w:r>
    </w:p>
    <w:p w14:paraId="6A176097"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2. Background: Building on Previous Work</w:t>
      </w:r>
    </w:p>
    <w:p w14:paraId="1DE173DF"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Topological methods have established that spatial organisation in multi-agent systems carries meaningful structure. Persistent homology has characterised collective behaviour in biological aggregation, collective motion and nearest-neighbour-governed flocking [11–13]. Topological change-point detection has since been extended to multi-agent systems [14].</w:t>
      </w:r>
    </w:p>
    <w:p w14:paraId="6D2704E1"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The mathematical tools underpinning these advances are well established. Persistent homology [1,2] quantifies connected components, loops and higher-order spatial structure in point-cloud data. The stability theorem [7] guarantees that small measurement errors produce only small changes in topological summaries. Statistical topological data analysis extends these foundations through persistence landscapes, persistence images and related summaries [6,8,9], enabling comparison, averaging and hypothesis testing for the comparative and temporal objectives.</w:t>
      </w:r>
    </w:p>
    <w:p w14:paraId="0CF327E6"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Two limitations constrain applying these tools to competitive systems. Standard methods analyse structure at a single spatial scale [3], or use multi-scale approaches designed for cooperative, slowly evolving systems [10]. Neither handles hierarchical competitive dynamics. Existing statistical topology also assumes exchangeable and stationary observations [6,8], </w:t>
      </w:r>
      <w:proofErr w:type="gramStart"/>
      <w:r w:rsidRPr="00E10966">
        <w:rPr>
          <w:rFonts w:ascii="Calibri Light" w:hAnsi="Calibri Light" w:cs="Calibri Light"/>
          <w:color w:val="000000"/>
          <w:kern w:val="0"/>
          <w:sz w:val="22"/>
          <w:szCs w:val="22"/>
        </w:rPr>
        <w:t>an assumption competitive systems</w:t>
      </w:r>
      <w:proofErr w:type="gramEnd"/>
      <w:r w:rsidRPr="00E10966">
        <w:rPr>
          <w:rFonts w:ascii="Calibri Light" w:hAnsi="Calibri Light" w:cs="Calibri Light"/>
          <w:color w:val="000000"/>
          <w:kern w:val="0"/>
          <w:sz w:val="22"/>
          <w:szCs w:val="22"/>
        </w:rPr>
        <w:t xml:space="preserve"> violate, each agent continuously adapts to its opponents, generating strongly dependent, </w:t>
      </w:r>
      <w:proofErr w:type="spellStart"/>
      <w:r w:rsidRPr="00E10966">
        <w:rPr>
          <w:rFonts w:ascii="Calibri Light" w:hAnsi="Calibri Light" w:cs="Calibri Light"/>
          <w:color w:val="000000"/>
          <w:kern w:val="0"/>
          <w:sz w:val="22"/>
          <w:szCs w:val="22"/>
        </w:rPr>
        <w:t>adversarially</w:t>
      </w:r>
      <w:proofErr w:type="spellEnd"/>
      <w:r w:rsidRPr="00E10966">
        <w:rPr>
          <w:rFonts w:ascii="Calibri Light" w:hAnsi="Calibri Light" w:cs="Calibri Light"/>
          <w:color w:val="000000"/>
          <w:kern w:val="0"/>
          <w:sz w:val="22"/>
          <w:szCs w:val="22"/>
        </w:rPr>
        <w:t xml:space="preserve"> coupled data. Multiparameter persistence [4,5] offers a theoretical route to scale-specific structure but remains computationally intractable for high-frequency competitive point clouds.</w:t>
      </w:r>
    </w:p>
    <w:p w14:paraId="674E5547"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Our methodology paper [17] develops and validates a scale-decomposition pipeline, partitioning agents by empirically derived interaction lengths. The tracking data are high-frequency and fully observed. Conventional approaches capture team length, width and centroid distance [15] and pitch-control measures [16]. Across 10 professional matches, the pilot recovers three stable connected-component regimes and two complementary loop regimes. The scales carry largely independent structural information [17]. These results motivate the season-scale theory development of O1–O3.</w:t>
      </w:r>
    </w:p>
    <w:p w14:paraId="432A83DF"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3. Advancing Current Understanding and Generating New Knowledge</w:t>
      </w:r>
    </w:p>
    <w:p w14:paraId="5111DE3F"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Three interconnected objectives structure the project: Objective 1 (O1), Objective 2 (O2) and Objective 3 (O3). The project culminates in O3, which develops new statistical-topology theory for dependent competitive systems. O1 and O2 establish the empirical and geometric foundations the theory requires.</w:t>
      </w:r>
    </w:p>
    <w:p w14:paraId="358807BB"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lastRenderedPageBreak/>
        <w:t xml:space="preserve">O1 establishes the moment and stability conditions required for topological averaging. O2 establishes the metric geometry on which Fréchet means and change-point statistics are defined. O3 delivers the principal theoretical </w:t>
      </w:r>
      <w:proofErr w:type="gramStart"/>
      <w:r w:rsidRPr="00E10966">
        <w:rPr>
          <w:rFonts w:ascii="Calibri Light" w:hAnsi="Calibri Light" w:cs="Calibri Light"/>
          <w:color w:val="000000"/>
          <w:kern w:val="0"/>
          <w:sz w:val="22"/>
          <w:szCs w:val="22"/>
        </w:rPr>
        <w:t>advance, and</w:t>
      </w:r>
      <w:proofErr w:type="gramEnd"/>
      <w:r w:rsidRPr="00E10966">
        <w:rPr>
          <w:rFonts w:ascii="Calibri Light" w:hAnsi="Calibri Light" w:cs="Calibri Light"/>
          <w:color w:val="000000"/>
          <w:kern w:val="0"/>
          <w:sz w:val="22"/>
          <w:szCs w:val="22"/>
        </w:rPr>
        <w:t xml:space="preserve"> depends mathematically on both: it establishes conditions for the existence and uniqueness of Fréchet mean trajectories for time-evolving topological summaries under dependent competitive dynamics, and derives Wasserstein-stability bounds for landscape-valued change-point statistics under temporal dependence. Together, these results extend statistical topology [6,8,9] to non-exchangeable, multi-scale competitive systems, the class defined in §1.</w:t>
      </w:r>
    </w:p>
    <w:p w14:paraId="3E9D598A"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4. Timeliness, Need and Opportunity</w:t>
      </w:r>
    </w:p>
    <w:p w14:paraId="3580DD59"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Timeliness</w:t>
      </w:r>
      <w:r w:rsidRPr="00E10966">
        <w:rPr>
          <w:rFonts w:ascii="Calibri Light" w:hAnsi="Calibri Light" w:cs="Calibri Light"/>
          <w:color w:val="000000"/>
          <w:kern w:val="0"/>
          <w:sz w:val="22"/>
          <w:szCs w:val="22"/>
        </w:rPr>
        <w:t>. Three developments have converged to make this project possible now. Multi-scale topology and statistical comparison tools have reached maturity [4,6,8,9]. Scalable computation now supports rigorous analysis of high-frequency interaction data at population scale (§8). Together, these create conditions for mathematical inquiry into competitive collective systems that did not exist a decade ago.</w:t>
      </w:r>
    </w:p>
    <w:p w14:paraId="5D4CF2D4" w14:textId="1842A43F"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Need</w:t>
      </w:r>
      <w:r w:rsidRPr="00E10966">
        <w:rPr>
          <w:rFonts w:ascii="Calibri Light" w:hAnsi="Calibri Light" w:cs="Calibri Light"/>
          <w:color w:val="000000"/>
          <w:kern w:val="0"/>
          <w:sz w:val="22"/>
          <w:szCs w:val="22"/>
        </w:rPr>
        <w:t>. The mathematical gap is specific. No validated statistical-topology workflow exists for systems in which observations are generated by continuous competitive interaction (§1). Existing inference methods provide theoretical guarantees only in static, single-scale or exchangeable settings. As data on competitive interacting systems become increasingly available, this limits the ability to characterise structural uncertainty and detect organisational transitions.</w:t>
      </w:r>
      <w:r>
        <w:rPr>
          <w:rFonts w:ascii="Calibri Light" w:hAnsi="Calibri Light" w:cs="Calibri Light"/>
          <w:color w:val="000000"/>
          <w:kern w:val="0"/>
          <w:sz w:val="22"/>
          <w:szCs w:val="22"/>
        </w:rPr>
        <w:t xml:space="preserve"> </w:t>
      </w:r>
      <w:r w:rsidRPr="00E10966">
        <w:rPr>
          <w:rFonts w:ascii="Calibri Light" w:hAnsi="Calibri Light" w:cs="Calibri Light"/>
          <w:b/>
          <w:bCs/>
          <w:i/>
          <w:iCs/>
          <w:color w:val="000000"/>
          <w:kern w:val="0"/>
          <w:sz w:val="22"/>
          <w:szCs w:val="22"/>
        </w:rPr>
        <w:t>Opportunity</w:t>
      </w:r>
      <w:r w:rsidRPr="00E10966">
        <w:rPr>
          <w:rFonts w:ascii="Calibri Light" w:hAnsi="Calibri Light" w:cs="Calibri Light"/>
          <w:color w:val="000000"/>
          <w:kern w:val="0"/>
          <w:sz w:val="22"/>
          <w:szCs w:val="22"/>
        </w:rPr>
        <w:t>. Professional football provides an exceptionally well-observed experimental platform for the study of adversarial geometry in bounded competitive systems. All agents are continuously tracked within strict spatial boundaries, generating high-frequency, fully labelled data at population scale. The resulting framework generalises to any bounded competitive system once interaction lengths are re-derived.</w:t>
      </w:r>
    </w:p>
    <w:p w14:paraId="6C0CA57A" w14:textId="77777777" w:rsidR="00E10966" w:rsidRPr="00E10966" w:rsidRDefault="00E10966" w:rsidP="00E10966">
      <w:pPr>
        <w:autoSpaceDE w:val="0"/>
        <w:autoSpaceDN w:val="0"/>
        <w:adjustRightInd w:val="0"/>
        <w:spacing w:before="100"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5. Impact</w:t>
      </w:r>
    </w:p>
    <w:p w14:paraId="39B7AD56" w14:textId="23BB929D"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Mathematical impact</w:t>
      </w:r>
      <w:r w:rsidRPr="00E10966">
        <w:rPr>
          <w:rFonts w:ascii="Calibri Light" w:hAnsi="Calibri Light" w:cs="Calibri Light"/>
          <w:b/>
          <w:bCs/>
          <w:color w:val="000000"/>
          <w:kern w:val="0"/>
          <w:sz w:val="22"/>
          <w:szCs w:val="22"/>
        </w:rPr>
        <w:t>.</w:t>
      </w:r>
      <w:r w:rsidRPr="00E10966">
        <w:rPr>
          <w:rFonts w:ascii="Calibri Light" w:hAnsi="Calibri Light" w:cs="Calibri Light"/>
          <w:color w:val="000000"/>
          <w:kern w:val="0"/>
          <w:sz w:val="22"/>
          <w:szCs w:val="22"/>
        </w:rPr>
        <w:t xml:space="preserve"> The primary contribution is new statistical-topology theory for dependent competitive systems. The mean-path and Wasserstein-stability results extend current foundations [6,8] to sequential adversarial dynamics. Both theorems are instantiated in an open-source library for competitive point-cloud analysis, supporting reproducible research and wider adoption.</w:t>
      </w:r>
      <w:r>
        <w:rPr>
          <w:rFonts w:ascii="Calibri Light" w:hAnsi="Calibri Light" w:cs="Calibri Light"/>
          <w:color w:val="000000"/>
          <w:kern w:val="0"/>
          <w:sz w:val="22"/>
          <w:szCs w:val="22"/>
        </w:rPr>
        <w:t xml:space="preserve"> </w:t>
      </w:r>
      <w:r w:rsidRPr="00E10966">
        <w:rPr>
          <w:rFonts w:ascii="Calibri Light" w:hAnsi="Calibri Light" w:cs="Calibri Light"/>
          <w:b/>
          <w:bCs/>
          <w:i/>
          <w:iCs/>
          <w:color w:val="000000"/>
          <w:kern w:val="0"/>
          <w:sz w:val="22"/>
          <w:szCs w:val="22"/>
        </w:rPr>
        <w:t>National importance.</w:t>
      </w:r>
      <w:r w:rsidRPr="00E10966">
        <w:rPr>
          <w:rFonts w:ascii="Calibri Light" w:hAnsi="Calibri Light" w:cs="Calibri Light"/>
          <w:color w:val="000000"/>
          <w:kern w:val="0"/>
          <w:sz w:val="22"/>
          <w:szCs w:val="22"/>
        </w:rPr>
        <w:t xml:space="preserve"> UK groups lead internationally in statistical topology [6,8] and stochastic geometry, yet current methods remain confined to static or exchangeable settings. Dependent competitive dynamics represent a theoretical frontier across three disciplines: statistical TDA, spatial point processes and sequential inference on abstract metric spaces. In each, theory currently lags the availability of high-frequency interaction data. This project develops UK capability at that frontier. It aligns with EPSRC priorities in mathematical sciences, AI-enabled modelling and complex systems.</w:t>
      </w:r>
      <w:r>
        <w:rPr>
          <w:rFonts w:ascii="Calibri Light" w:hAnsi="Calibri Light" w:cs="Calibri Light"/>
          <w:color w:val="000000"/>
          <w:kern w:val="0"/>
          <w:sz w:val="22"/>
          <w:szCs w:val="22"/>
        </w:rPr>
        <w:t xml:space="preserve"> </w:t>
      </w:r>
      <w:r w:rsidRPr="00E10966">
        <w:rPr>
          <w:rFonts w:ascii="Calibri Light" w:hAnsi="Calibri Light" w:cs="Calibri Light"/>
          <w:b/>
          <w:bCs/>
          <w:i/>
          <w:iCs/>
          <w:color w:val="000000"/>
          <w:kern w:val="0"/>
          <w:sz w:val="22"/>
          <w:szCs w:val="22"/>
        </w:rPr>
        <w:t>Economic and industry impact</w:t>
      </w:r>
      <w:r w:rsidRPr="00E10966">
        <w:rPr>
          <w:rFonts w:ascii="Calibri Light" w:hAnsi="Calibri Light" w:cs="Calibri Light"/>
          <w:color w:val="000000"/>
          <w:kern w:val="0"/>
          <w:sz w:val="22"/>
          <w:szCs w:val="22"/>
        </w:rPr>
        <w:t xml:space="preserve">. Co-developed with Swansea City AFC and </w:t>
      </w:r>
      <w:proofErr w:type="spellStart"/>
      <w:r w:rsidRPr="00E10966">
        <w:rPr>
          <w:rFonts w:ascii="Calibri Light" w:hAnsi="Calibri Light" w:cs="Calibri Light"/>
          <w:color w:val="000000"/>
          <w:kern w:val="0"/>
          <w:sz w:val="22"/>
          <w:szCs w:val="22"/>
        </w:rPr>
        <w:t>StatsBomb</w:t>
      </w:r>
      <w:proofErr w:type="spellEnd"/>
      <w:r w:rsidRPr="00E10966">
        <w:rPr>
          <w:rFonts w:ascii="Calibri Light" w:hAnsi="Calibri Light" w:cs="Calibri Light"/>
          <w:color w:val="000000"/>
          <w:kern w:val="0"/>
          <w:sz w:val="22"/>
          <w:szCs w:val="22"/>
        </w:rPr>
        <w:t xml:space="preserve">, the project delivers practitioner outputs unavailable from conventional geometric measures. Stepping-stone. The project prepares a follow-on Standard Grant extending the framework to broader classes of competitive systems. Post-grant pathways include tumour–immune competition with Co-I </w:t>
      </w:r>
      <w:proofErr w:type="spellStart"/>
      <w:r w:rsidRPr="00E10966">
        <w:rPr>
          <w:rFonts w:ascii="Calibri Light" w:hAnsi="Calibri Light" w:cs="Calibri Light"/>
          <w:color w:val="000000"/>
          <w:kern w:val="0"/>
          <w:sz w:val="22"/>
          <w:szCs w:val="22"/>
        </w:rPr>
        <w:t>Powathil</w:t>
      </w:r>
      <w:proofErr w:type="spellEnd"/>
      <w:r w:rsidRPr="00E10966">
        <w:rPr>
          <w:rFonts w:ascii="Calibri Light" w:hAnsi="Calibri Light" w:cs="Calibri Light"/>
          <w:color w:val="000000"/>
          <w:kern w:val="0"/>
          <w:sz w:val="22"/>
          <w:szCs w:val="22"/>
        </w:rPr>
        <w:t>.</w:t>
      </w:r>
    </w:p>
    <w:p w14:paraId="56818572" w14:textId="77777777" w:rsidR="00E10966" w:rsidRPr="00E10966" w:rsidRDefault="00E10966" w:rsidP="00E10966">
      <w:pPr>
        <w:autoSpaceDE w:val="0"/>
        <w:autoSpaceDN w:val="0"/>
        <w:adjustRightInd w:val="0"/>
        <w:spacing w:before="100"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6. Benefits and Beneficiaries</w:t>
      </w:r>
    </w:p>
    <w:p w14:paraId="41E95203" w14:textId="77777777" w:rsidR="00E10966" w:rsidRPr="00E10966" w:rsidRDefault="00E10966" w:rsidP="00E10966">
      <w:pPr>
        <w:autoSpaceDE w:val="0"/>
        <w:autoSpaceDN w:val="0"/>
        <w:adjustRightInd w:val="0"/>
        <w:spacing w:after="10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The primary beneficiaries are researchers in topology, statistics and complex systems. They gain new theoretical foundations for inference on dependent spatial data and an open-source library implementing the proposed methodology. Secondary beneficiaries are sports analytics researchers and practitioners, including Swansea City AFC and </w:t>
      </w:r>
      <w:proofErr w:type="spellStart"/>
      <w:r w:rsidRPr="00E10966">
        <w:rPr>
          <w:rFonts w:ascii="Calibri Light" w:hAnsi="Calibri Light" w:cs="Calibri Light"/>
          <w:color w:val="000000"/>
          <w:kern w:val="0"/>
          <w:sz w:val="22"/>
          <w:szCs w:val="22"/>
        </w:rPr>
        <w:t>StatsBomb</w:t>
      </w:r>
      <w:proofErr w:type="spellEnd"/>
      <w:r w:rsidRPr="00E10966">
        <w:rPr>
          <w:rFonts w:ascii="Calibri Light" w:hAnsi="Calibri Light" w:cs="Calibri Light"/>
          <w:color w:val="000000"/>
          <w:kern w:val="0"/>
          <w:sz w:val="22"/>
          <w:szCs w:val="22"/>
        </w:rPr>
        <w:t>, who co-develop the framework and receive interpretable measures of collective organisation unavailable from conventional geometry. Broader beneficiaries across autonomous coordination, biological competition and related domains will be addressed through the follow-on Standard Grant (§7, O4).</w:t>
      </w:r>
    </w:p>
    <w:p w14:paraId="2EFC10A3"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themeColor="text1"/>
          <w:kern w:val="0"/>
          <w:sz w:val="22"/>
          <w:szCs w:val="22"/>
        </w:rPr>
      </w:pPr>
      <w:r w:rsidRPr="00E10966">
        <w:rPr>
          <w:rFonts w:ascii="Calibri Light" w:hAnsi="Calibri Light" w:cs="Calibri Light"/>
          <w:b/>
          <w:bCs/>
          <w:color w:val="000000" w:themeColor="text1"/>
          <w:kern w:val="0"/>
          <w:sz w:val="22"/>
          <w:szCs w:val="22"/>
        </w:rPr>
        <w:t>APPROACH</w:t>
      </w:r>
    </w:p>
    <w:p w14:paraId="17170500"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7. Research Design and Objectives</w:t>
      </w:r>
    </w:p>
    <w:p w14:paraId="2C234D38" w14:textId="4CF561C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Project structure</w:t>
      </w:r>
      <w:r w:rsidRPr="00E10966">
        <w:rPr>
          <w:rFonts w:ascii="Calibri Light" w:hAnsi="Calibri Light" w:cs="Calibri Light"/>
          <w:color w:val="000000"/>
          <w:kern w:val="0"/>
          <w:sz w:val="22"/>
          <w:szCs w:val="22"/>
        </w:rPr>
        <w:t xml:space="preserve">. The PI (0.2 FTE) leads framework development, analysis and publication. Two Co-Investigators (0.25 FTE combined) provide statistical and domain expertise. A Research Associate (Months 2–10) implements the computational pipeline and conducts full-season analysis. Swansea City AFC and </w:t>
      </w:r>
      <w:proofErr w:type="spellStart"/>
      <w:r w:rsidRPr="00E10966">
        <w:rPr>
          <w:rFonts w:ascii="Calibri Light" w:hAnsi="Calibri Light" w:cs="Calibri Light"/>
          <w:color w:val="000000"/>
          <w:kern w:val="0"/>
          <w:sz w:val="22"/>
          <w:szCs w:val="22"/>
        </w:rPr>
        <w:t>StatsBomb</w:t>
      </w:r>
      <w:proofErr w:type="spellEnd"/>
      <w:r w:rsidRPr="00E10966">
        <w:rPr>
          <w:rFonts w:ascii="Calibri Light" w:hAnsi="Calibri Light" w:cs="Calibri Light"/>
          <w:color w:val="000000"/>
          <w:kern w:val="0"/>
          <w:sz w:val="22"/>
          <w:szCs w:val="22"/>
        </w:rPr>
        <w:t xml:space="preserve"> provide tracking data and tactical labels.</w:t>
      </w:r>
      <w:r>
        <w:rPr>
          <w:rFonts w:ascii="Calibri Light" w:hAnsi="Calibri Light" w:cs="Calibri Light"/>
          <w:color w:val="000000"/>
          <w:kern w:val="0"/>
          <w:sz w:val="22"/>
          <w:szCs w:val="22"/>
        </w:rPr>
        <w:t xml:space="preserve"> </w:t>
      </w:r>
      <w:r w:rsidRPr="00E10966">
        <w:rPr>
          <w:rFonts w:ascii="Calibri Light" w:hAnsi="Calibri Light" w:cs="Calibri Light"/>
          <w:b/>
          <w:bCs/>
          <w:i/>
          <w:iCs/>
          <w:color w:val="000000"/>
          <w:kern w:val="0"/>
          <w:sz w:val="22"/>
          <w:szCs w:val="22"/>
        </w:rPr>
        <w:t>Sample-size rationale</w:t>
      </w:r>
      <w:r w:rsidRPr="00E10966">
        <w:rPr>
          <w:rFonts w:ascii="Calibri Light" w:hAnsi="Calibri Light" w:cs="Calibri Light"/>
          <w:color w:val="000000"/>
          <w:kern w:val="0"/>
          <w:sz w:val="22"/>
          <w:szCs w:val="22"/>
        </w:rPr>
        <w:t xml:space="preserve">. A full Championship season (≈540 matches) provides the precision and power required. Approximately 32 matches per stratum yield a 95% CI half-width of 0.025 for tactical-scale loop presence; 180 matches per tactical class detect Cohen's d </w:t>
      </w:r>
      <w:r w:rsidRPr="00E10966">
        <w:rPr>
          <w:rFonts w:ascii="Calibri Light" w:hAnsi="Calibri Light" w:cs="Calibri Light"/>
          <w:color w:val="000000"/>
          <w:kern w:val="0"/>
          <w:sz w:val="22"/>
          <w:szCs w:val="22"/>
        </w:rPr>
        <w:lastRenderedPageBreak/>
        <w:t>≥ 0.30 at 80% power (α=0.05, Benjamini–Hochberg FDR). A borderline pilot within-match effect (p=0.051) motivates season-scale replication.</w:t>
      </w:r>
    </w:p>
    <w:p w14:paraId="61561E01"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O1: Distributional properties (PI and RA, Months 1–7).</w:t>
      </w:r>
      <w:r w:rsidRPr="00E10966">
        <w:rPr>
          <w:rFonts w:ascii="Calibri Light" w:hAnsi="Calibri Light" w:cs="Calibri Light"/>
          <w:color w:val="000000"/>
          <w:kern w:val="0"/>
          <w:sz w:val="22"/>
          <w:szCs w:val="22"/>
        </w:rPr>
        <w:t xml:space="preserve"> O1 determines whether scale-specific topological summaries exhibit stable population-level behaviour and whether moment conditions for topological averaging converge. A 20-match validation batch tests cutoff transferability; stability below 0.80 triggers re-derivation. Milestones: cutoff gate Month 2; barcode database Month 7.</w:t>
      </w:r>
    </w:p>
    <w:p w14:paraId="3FCA0333" w14:textId="6489338E"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O2: Comparison geometry (PI, Months 6–9).</w:t>
      </w:r>
      <w:r w:rsidRPr="00E10966">
        <w:rPr>
          <w:rFonts w:ascii="Calibri Light" w:hAnsi="Calibri Light" w:cs="Calibri Light"/>
          <w:color w:val="000000"/>
          <w:kern w:val="0"/>
          <w:sz w:val="22"/>
          <w:szCs w:val="22"/>
        </w:rPr>
        <w:t xml:space="preserve"> O2 quantifies distances between persistence-based summaries [6,8] to determine whether topological representations distinguish competitive organisational states beyond conventional geometric descriptors. Success criteria: discriminable signatures for ≥3 system configurations; FDR-corrected differences, p&lt;0.05. Milestones: pre-registration Month 2; results Month 9.</w:t>
      </w:r>
    </w:p>
    <w:p w14:paraId="43E99883"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O3: Inference for dependent topological processes (PI and RA, Months 4–10).</w:t>
      </w:r>
      <w:r w:rsidRPr="00E10966">
        <w:rPr>
          <w:rFonts w:ascii="Calibri Light" w:hAnsi="Calibri Light" w:cs="Calibri Light"/>
          <w:color w:val="000000"/>
          <w:kern w:val="0"/>
          <w:sz w:val="22"/>
          <w:szCs w:val="22"/>
        </w:rPr>
        <w:t xml:space="preserve"> O3 constitutes the principal mathematical contribution, applying FPCA [18], CUSUM [19] and bootstrap calibration [6]. T1 (well-</w:t>
      </w:r>
      <w:proofErr w:type="spellStart"/>
      <w:r w:rsidRPr="00E10966">
        <w:rPr>
          <w:rFonts w:ascii="Calibri Light" w:hAnsi="Calibri Light" w:cs="Calibri Light"/>
          <w:color w:val="000000"/>
          <w:kern w:val="0"/>
          <w:sz w:val="22"/>
          <w:szCs w:val="22"/>
        </w:rPr>
        <w:t>posedness</w:t>
      </w:r>
      <w:proofErr w:type="spellEnd"/>
      <w:r w:rsidRPr="00E10966">
        <w:rPr>
          <w:rFonts w:ascii="Calibri Light" w:hAnsi="Calibri Light" w:cs="Calibri Light"/>
          <w:color w:val="000000"/>
          <w:kern w:val="0"/>
          <w:sz w:val="22"/>
          <w:szCs w:val="22"/>
        </w:rPr>
        <w:t>): Fréchet mean trajectories exist uniquely for time-evolving topological summaries under dependent competitive dynamics, extending [6]. T2 (stability): the expected change-point localisation error is bounded by the Wasserstein distance between pre- and post-change diagram distributions under bounded perturbation. Success criterion: change-points agree with held-out annotations at ≥70% (permutation p &lt; 0.05); fallback is direct Wasserstein diagram comparison. Milestones: landscape module Month 8; outputs Month 9.</w:t>
      </w:r>
    </w:p>
    <w:p w14:paraId="738CC363"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b/>
          <w:bCs/>
          <w:i/>
          <w:iCs/>
          <w:color w:val="000000"/>
          <w:kern w:val="0"/>
          <w:sz w:val="22"/>
          <w:szCs w:val="22"/>
        </w:rPr>
        <w:t>O4: Evidence synthesis (PI, Months 9–12).</w:t>
      </w:r>
      <w:r w:rsidRPr="00E10966">
        <w:rPr>
          <w:rFonts w:ascii="Calibri Light" w:hAnsi="Calibri Light" w:cs="Calibri Light"/>
          <w:color w:val="000000"/>
          <w:kern w:val="0"/>
          <w:sz w:val="22"/>
          <w:szCs w:val="22"/>
        </w:rPr>
        <w:t xml:space="preserve"> Full-season results from O1–O3 are compiled into a reproducible evidence pack for the follow-on Standard Grant (§5). O1–O3 remain standalone publishable contributions. Milestone: evidence pack Month 12.</w:t>
      </w:r>
    </w:p>
    <w:p w14:paraId="7A309915"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8. Methodology</w:t>
      </w:r>
    </w:p>
    <w:p w14:paraId="356DBF07" w14:textId="77777777" w:rsidR="00E10966" w:rsidRPr="00E10966" w:rsidRDefault="00E10966" w:rsidP="00E10966">
      <w:pPr>
        <w:autoSpaceDE w:val="0"/>
        <w:autoSpaceDN w:val="0"/>
        <w:adjustRightInd w:val="0"/>
        <w:spacing w:after="10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A containerised Python pipeline processes each frame as a point cloud. We partition the agents using empirically derived interaction lengths. Persistent homology is then computed at each scale using </w:t>
      </w:r>
      <w:proofErr w:type="spellStart"/>
      <w:r w:rsidRPr="00E10966">
        <w:rPr>
          <w:rFonts w:ascii="Calibri Light" w:hAnsi="Calibri Light" w:cs="Calibri Light"/>
          <w:color w:val="000000"/>
          <w:kern w:val="0"/>
          <w:sz w:val="22"/>
          <w:szCs w:val="22"/>
        </w:rPr>
        <w:t>Ripser</w:t>
      </w:r>
      <w:proofErr w:type="spellEnd"/>
      <w:r w:rsidRPr="00E10966">
        <w:rPr>
          <w:rFonts w:ascii="Calibri Light" w:hAnsi="Calibri Light" w:cs="Calibri Light"/>
          <w:color w:val="000000"/>
          <w:kern w:val="0"/>
          <w:sz w:val="22"/>
          <w:szCs w:val="22"/>
        </w:rPr>
        <w:t xml:space="preserve"> [20], GUDHI and </w:t>
      </w:r>
      <w:proofErr w:type="spellStart"/>
      <w:r w:rsidRPr="00E10966">
        <w:rPr>
          <w:rFonts w:ascii="Calibri Light" w:hAnsi="Calibri Light" w:cs="Calibri Light"/>
          <w:color w:val="000000"/>
          <w:kern w:val="0"/>
          <w:sz w:val="22"/>
          <w:szCs w:val="22"/>
        </w:rPr>
        <w:t>giotto-tda</w:t>
      </w:r>
      <w:proofErr w:type="spellEnd"/>
      <w:r w:rsidRPr="00E10966">
        <w:rPr>
          <w:rFonts w:ascii="Calibri Light" w:hAnsi="Calibri Light" w:cs="Calibri Light"/>
          <w:color w:val="000000"/>
          <w:kern w:val="0"/>
          <w:sz w:val="22"/>
          <w:szCs w:val="22"/>
        </w:rPr>
        <w:t xml:space="preserve"> [21]. This produces barcodes, persistence landscapes and vectorised summaries at 1 Hz, enabling production processing on Supercomputing Wales (§12). O1 quantifies topological feature distributions. O2 compares organisational states using persistence-based distances and diagram-image features. O3 analyses topological time series using FPCA, CUSUM and bootstrap calibration. Reproducibility is ensured through containerisation, version-controlled code, OSF pre-registration and DOI-archived software releases.</w:t>
      </w:r>
    </w:p>
    <w:p w14:paraId="4E4647E2"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9. Feasibility and Risk Management</w:t>
      </w:r>
    </w:p>
    <w:p w14:paraId="794088DB" w14:textId="77777777" w:rsidR="00E10966" w:rsidRPr="00E10966" w:rsidRDefault="00E10966" w:rsidP="00E10966">
      <w:pPr>
        <w:autoSpaceDE w:val="0"/>
        <w:autoSpaceDN w:val="0"/>
        <w:adjustRightInd w:val="0"/>
        <w:spacing w:after="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Feasibility rests on three foundations: a pilot-validated methodology (§2), secured data access through the Swansea City AFC–</w:t>
      </w:r>
      <w:proofErr w:type="spellStart"/>
      <w:r w:rsidRPr="00E10966">
        <w:rPr>
          <w:rFonts w:ascii="Calibri Light" w:hAnsi="Calibri Light" w:cs="Calibri Light"/>
          <w:color w:val="000000"/>
          <w:kern w:val="0"/>
          <w:sz w:val="22"/>
          <w:szCs w:val="22"/>
        </w:rPr>
        <w:t>StatsBomb</w:t>
      </w:r>
      <w:proofErr w:type="spellEnd"/>
      <w:r w:rsidRPr="00E10966">
        <w:rPr>
          <w:rFonts w:ascii="Calibri Light" w:hAnsi="Calibri Light" w:cs="Calibri Light"/>
          <w:color w:val="000000"/>
          <w:kern w:val="0"/>
          <w:sz w:val="22"/>
          <w:szCs w:val="22"/>
        </w:rPr>
        <w:t xml:space="preserve"> agreement, and computational requirements modest relative to available infrastructure (§12). The pilot has already mapped the parameter ranges within which both theorems are stated, grounding the theorem targets in measured evidence rather than assumption.</w:t>
      </w:r>
    </w:p>
    <w:p w14:paraId="3BCF3F02"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Three residual risks are identified. Scale transferability: the Month-2 cutoff gate re-derives interaction lengths if stability falls below 0.80. Tactical label uncertainty: dual-source verification, Cohen's κ and pre-registered exclusions mitigate this. Landscape theory: if technically intractable, O3 switches to Wasserstein diagram comparison.</w:t>
      </w:r>
    </w:p>
    <w:p w14:paraId="18B0F689"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10. Translation to Outcomes and Impact</w:t>
      </w:r>
    </w:p>
    <w:p w14:paraId="57EEB232"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The methodology will be released as a documented, containerised open-source package with DOI via Swansea University's </w:t>
      </w:r>
      <w:proofErr w:type="spellStart"/>
      <w:r w:rsidRPr="00E10966">
        <w:rPr>
          <w:rFonts w:ascii="Calibri Light" w:hAnsi="Calibri Light" w:cs="Calibri Light"/>
          <w:color w:val="000000"/>
          <w:kern w:val="0"/>
          <w:sz w:val="22"/>
          <w:szCs w:val="22"/>
        </w:rPr>
        <w:t>Zenodo</w:t>
      </w:r>
      <w:proofErr w:type="spellEnd"/>
      <w:r w:rsidRPr="00E10966">
        <w:rPr>
          <w:rFonts w:ascii="Calibri Light" w:hAnsi="Calibri Light" w:cs="Calibri Light"/>
          <w:color w:val="000000"/>
          <w:kern w:val="0"/>
          <w:sz w:val="22"/>
          <w:szCs w:val="22"/>
        </w:rPr>
        <w:t xml:space="preserve"> community. Publications comprise the methodology paper [17], submitted Months 1–2; a full-season results paper for Month 11; and the companion football-analytics paper [22]. Practitioner outputs with Swansea City AFC translate topological summaries into interpretable structural measures. The Month-12 evidence pack feeds the follow-on, Standard Grant.</w:t>
      </w:r>
    </w:p>
    <w:p w14:paraId="7B370C7D"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t>11. Research Environment</w:t>
      </w:r>
    </w:p>
    <w:p w14:paraId="09E71FEF"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The project is based at Swansea University's Zienkiewicz Institute for Modelling, Data and AI. The PI leads applied-topology framework development. Prof </w:t>
      </w:r>
      <w:proofErr w:type="spellStart"/>
      <w:r w:rsidRPr="00E10966">
        <w:rPr>
          <w:rFonts w:ascii="Calibri Light" w:hAnsi="Calibri Light" w:cs="Calibri Light"/>
          <w:color w:val="000000"/>
          <w:kern w:val="0"/>
          <w:sz w:val="22"/>
          <w:szCs w:val="22"/>
        </w:rPr>
        <w:t>Gibin</w:t>
      </w:r>
      <w:proofErr w:type="spellEnd"/>
      <w:r w:rsidRPr="00E10966">
        <w:rPr>
          <w:rFonts w:ascii="Calibri Light" w:hAnsi="Calibri Light" w:cs="Calibri Light"/>
          <w:color w:val="000000"/>
          <w:kern w:val="0"/>
          <w:sz w:val="22"/>
          <w:szCs w:val="22"/>
        </w:rPr>
        <w:t xml:space="preserve"> </w:t>
      </w:r>
      <w:proofErr w:type="spellStart"/>
      <w:r w:rsidRPr="00E10966">
        <w:rPr>
          <w:rFonts w:ascii="Calibri Light" w:hAnsi="Calibri Light" w:cs="Calibri Light"/>
          <w:color w:val="000000"/>
          <w:kern w:val="0"/>
          <w:sz w:val="22"/>
          <w:szCs w:val="22"/>
        </w:rPr>
        <w:t>Powathil</w:t>
      </w:r>
      <w:proofErr w:type="spellEnd"/>
      <w:r w:rsidRPr="00E10966">
        <w:rPr>
          <w:rFonts w:ascii="Calibri Light" w:hAnsi="Calibri Light" w:cs="Calibri Light"/>
          <w:color w:val="000000"/>
          <w:kern w:val="0"/>
          <w:sz w:val="22"/>
          <w:szCs w:val="22"/>
        </w:rPr>
        <w:t xml:space="preserve"> contributes mathematical-oncology and competitive-biology expertise, supporting the future health pathway (§5). Prof Liam Kilduff provides sport and exercise science expertise for tactical interpretation. Swansea City AFC provides a live co-development environment.</w:t>
      </w:r>
    </w:p>
    <w:p w14:paraId="02C0C55B" w14:textId="77777777" w:rsidR="00E10966" w:rsidRPr="00E10966" w:rsidRDefault="00E10966" w:rsidP="00E10966">
      <w:pPr>
        <w:autoSpaceDE w:val="0"/>
        <w:autoSpaceDN w:val="0"/>
        <w:adjustRightInd w:val="0"/>
        <w:spacing w:after="0" w:line="216" w:lineRule="auto"/>
        <w:jc w:val="both"/>
        <w:rPr>
          <w:rFonts w:ascii="Calibri Light" w:hAnsi="Calibri Light" w:cs="Calibri Light"/>
          <w:b/>
          <w:bCs/>
          <w:color w:val="000000"/>
          <w:kern w:val="0"/>
          <w:sz w:val="22"/>
          <w:szCs w:val="22"/>
        </w:rPr>
      </w:pPr>
      <w:r w:rsidRPr="00E10966">
        <w:rPr>
          <w:rFonts w:ascii="Calibri Light" w:hAnsi="Calibri Light" w:cs="Calibri Light"/>
          <w:b/>
          <w:bCs/>
          <w:color w:val="000000"/>
          <w:kern w:val="0"/>
          <w:sz w:val="22"/>
          <w:szCs w:val="22"/>
        </w:rPr>
        <w:lastRenderedPageBreak/>
        <w:t>12. Facilities, Infrastructure and Host Support</w:t>
      </w:r>
    </w:p>
    <w:p w14:paraId="385FEA02"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Full-season analysis uses the PI's Supercomputing Wales allocation. Season-scale processing requires approximately 1,600 CPU-hours of the 5,000 core-hour available allocation. The containerised pipeline enables reproducible execution, scaling seamlessly from local machines to high-performance computing (HPC) clusters. Swansea University provides institutional support through the Zienkiewicz Institute, Research Office and established data-governance and ethics processes.</w:t>
      </w:r>
    </w:p>
    <w:p w14:paraId="52A1202D"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p>
    <w:p w14:paraId="0A5C39D7" w14:textId="77777777" w:rsidR="00E10966" w:rsidRPr="00E10966" w:rsidRDefault="00E10966" w:rsidP="00E10966">
      <w:pPr>
        <w:autoSpaceDE w:val="0"/>
        <w:autoSpaceDN w:val="0"/>
        <w:adjustRightInd w:val="0"/>
        <w:spacing w:after="8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References</w:t>
      </w:r>
    </w:p>
    <w:p w14:paraId="0F239844"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 Carlsson, G. (2009). Topology and data. Bulletin of the American Mathematical Society, 46(2), 255–308.</w:t>
      </w:r>
    </w:p>
    <w:p w14:paraId="63953427"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2. </w:t>
      </w:r>
      <w:proofErr w:type="spellStart"/>
      <w:r w:rsidRPr="00E10966">
        <w:rPr>
          <w:rFonts w:ascii="Calibri Light" w:hAnsi="Calibri Light" w:cs="Calibri Light"/>
          <w:color w:val="000000"/>
          <w:kern w:val="0"/>
          <w:sz w:val="22"/>
          <w:szCs w:val="22"/>
        </w:rPr>
        <w:t>Zomorodian</w:t>
      </w:r>
      <w:proofErr w:type="spellEnd"/>
      <w:r w:rsidRPr="00E10966">
        <w:rPr>
          <w:rFonts w:ascii="Calibri Light" w:hAnsi="Calibri Light" w:cs="Calibri Light"/>
          <w:color w:val="000000"/>
          <w:kern w:val="0"/>
          <w:sz w:val="22"/>
          <w:szCs w:val="22"/>
        </w:rPr>
        <w:t>, A. &amp; Carlsson, G. (2005). Computing persistent homology. Discrete &amp; Computational Geometry, 33(2), 249–274.</w:t>
      </w:r>
    </w:p>
    <w:p w14:paraId="6DFEB8FF"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3. </w:t>
      </w:r>
      <w:proofErr w:type="spellStart"/>
      <w:r w:rsidRPr="00E10966">
        <w:rPr>
          <w:rFonts w:ascii="Calibri Light" w:hAnsi="Calibri Light" w:cs="Calibri Light"/>
          <w:color w:val="000000"/>
          <w:kern w:val="0"/>
          <w:sz w:val="22"/>
          <w:szCs w:val="22"/>
        </w:rPr>
        <w:t>Edelsbrunner</w:t>
      </w:r>
      <w:proofErr w:type="spellEnd"/>
      <w:r w:rsidRPr="00E10966">
        <w:rPr>
          <w:rFonts w:ascii="Calibri Light" w:hAnsi="Calibri Light" w:cs="Calibri Light"/>
          <w:color w:val="000000"/>
          <w:kern w:val="0"/>
          <w:sz w:val="22"/>
          <w:szCs w:val="22"/>
        </w:rPr>
        <w:t>, H. &amp; Harer, J. (2010). Computational Topology: An Introduction. American Mathematical Society.</w:t>
      </w:r>
    </w:p>
    <w:p w14:paraId="600C0000"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4. </w:t>
      </w:r>
      <w:proofErr w:type="spellStart"/>
      <w:r w:rsidRPr="00E10966">
        <w:rPr>
          <w:rFonts w:ascii="Calibri Light" w:hAnsi="Calibri Light" w:cs="Calibri Light"/>
          <w:color w:val="000000"/>
          <w:kern w:val="0"/>
          <w:sz w:val="22"/>
          <w:szCs w:val="22"/>
        </w:rPr>
        <w:t>Botnan</w:t>
      </w:r>
      <w:proofErr w:type="spellEnd"/>
      <w:r w:rsidRPr="00E10966">
        <w:rPr>
          <w:rFonts w:ascii="Calibri Light" w:hAnsi="Calibri Light" w:cs="Calibri Light"/>
          <w:color w:val="000000"/>
          <w:kern w:val="0"/>
          <w:sz w:val="22"/>
          <w:szCs w:val="22"/>
        </w:rPr>
        <w:t>, M. B. &amp; Lesnick, M. (2022). An introduction to multiparameter persistence. In Representations of Algebras and Related Structures (pp. 77–150). EMS Press.</w:t>
      </w:r>
    </w:p>
    <w:p w14:paraId="4768F975"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5. Lesnick, M. (2015). The theory of the interleaving distance on multidimensional persistence modules. Foundations of Computational Mathematics, 15(3), 613–650.</w:t>
      </w:r>
    </w:p>
    <w:p w14:paraId="2136E834"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6. Chazal, F., Fasy, B. T., </w:t>
      </w:r>
      <w:proofErr w:type="spellStart"/>
      <w:r w:rsidRPr="00E10966">
        <w:rPr>
          <w:rFonts w:ascii="Calibri Light" w:hAnsi="Calibri Light" w:cs="Calibri Light"/>
          <w:color w:val="000000"/>
          <w:kern w:val="0"/>
          <w:sz w:val="22"/>
          <w:szCs w:val="22"/>
        </w:rPr>
        <w:t>Lecci</w:t>
      </w:r>
      <w:proofErr w:type="spellEnd"/>
      <w:r w:rsidRPr="00E10966">
        <w:rPr>
          <w:rFonts w:ascii="Calibri Light" w:hAnsi="Calibri Light" w:cs="Calibri Light"/>
          <w:color w:val="000000"/>
          <w:kern w:val="0"/>
          <w:sz w:val="22"/>
          <w:szCs w:val="22"/>
        </w:rPr>
        <w:t>, F., Rinaldo, A. &amp; Wasserman, L. (2014). Stochastic convergence of persistence landscapes and silhouettes. Proceedings of the 30th Annual Symposium on Computational Geometry, 474–483.</w:t>
      </w:r>
    </w:p>
    <w:p w14:paraId="5276DF8B"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7. Cohen-Steiner, D., </w:t>
      </w:r>
      <w:proofErr w:type="spellStart"/>
      <w:r w:rsidRPr="00E10966">
        <w:rPr>
          <w:rFonts w:ascii="Calibri Light" w:hAnsi="Calibri Light" w:cs="Calibri Light"/>
          <w:color w:val="000000"/>
          <w:kern w:val="0"/>
          <w:sz w:val="22"/>
          <w:szCs w:val="22"/>
        </w:rPr>
        <w:t>Edelsbrunner</w:t>
      </w:r>
      <w:proofErr w:type="spellEnd"/>
      <w:r w:rsidRPr="00E10966">
        <w:rPr>
          <w:rFonts w:ascii="Calibri Light" w:hAnsi="Calibri Light" w:cs="Calibri Light"/>
          <w:color w:val="000000"/>
          <w:kern w:val="0"/>
          <w:sz w:val="22"/>
          <w:szCs w:val="22"/>
        </w:rPr>
        <w:t>, H. &amp; Harer, J. (2007). Stability of persistence diagrams. Discrete &amp; Computational Geometry, 37(1), 103–120.</w:t>
      </w:r>
    </w:p>
    <w:p w14:paraId="356AAA5E"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8. Bubenik, P. (2015). Statistical topological data analysis using persistence landscapes. Journal of Machine Learning Research, 16(1), 77–102.</w:t>
      </w:r>
    </w:p>
    <w:p w14:paraId="5816ADF1"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9. Adams, H. et al. (2017). Persistence images: a stable vector representation of persistent homology. Journal of Machine Learning Research, 18(8), 1–35.</w:t>
      </w:r>
    </w:p>
    <w:p w14:paraId="791BCF90"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10. Schindler, D. J. &amp; Barahona, M. (2023). Analysing multiscale </w:t>
      </w:r>
      <w:proofErr w:type="spellStart"/>
      <w:r w:rsidRPr="00E10966">
        <w:rPr>
          <w:rFonts w:ascii="Calibri Light" w:hAnsi="Calibri Light" w:cs="Calibri Light"/>
          <w:color w:val="000000"/>
          <w:kern w:val="0"/>
          <w:sz w:val="22"/>
          <w:szCs w:val="22"/>
        </w:rPr>
        <w:t>clusterings</w:t>
      </w:r>
      <w:proofErr w:type="spellEnd"/>
      <w:r w:rsidRPr="00E10966">
        <w:rPr>
          <w:rFonts w:ascii="Calibri Light" w:hAnsi="Calibri Light" w:cs="Calibri Light"/>
          <w:color w:val="000000"/>
          <w:kern w:val="0"/>
          <w:sz w:val="22"/>
          <w:szCs w:val="22"/>
        </w:rPr>
        <w:t xml:space="preserve"> with persistent homology. arXiv:2305.04281.</w:t>
      </w:r>
    </w:p>
    <w:p w14:paraId="3AF6BF6C"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11. Topaz, C. M., Ziegelmeier, L. &amp; Halverson, T. (2015). Topological data analysis of biological aggregation models. </w:t>
      </w:r>
      <w:proofErr w:type="spellStart"/>
      <w:r w:rsidRPr="00E10966">
        <w:rPr>
          <w:rFonts w:ascii="Calibri Light" w:hAnsi="Calibri Light" w:cs="Calibri Light"/>
          <w:color w:val="000000"/>
          <w:kern w:val="0"/>
          <w:sz w:val="22"/>
          <w:szCs w:val="22"/>
        </w:rPr>
        <w:t>PLoS</w:t>
      </w:r>
      <w:proofErr w:type="spellEnd"/>
      <w:r w:rsidRPr="00E10966">
        <w:rPr>
          <w:rFonts w:ascii="Calibri Light" w:hAnsi="Calibri Light" w:cs="Calibri Light"/>
          <w:color w:val="000000"/>
          <w:kern w:val="0"/>
          <w:sz w:val="22"/>
          <w:szCs w:val="22"/>
        </w:rPr>
        <w:t xml:space="preserve"> ONE, 10(5), e0126383.</w:t>
      </w:r>
    </w:p>
    <w:p w14:paraId="271A72AB"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12. Bhaskar, D. et al. (2019). Analysing collective motion with machine learning and topology. Chaos, 29(12), 123125.</w:t>
      </w:r>
    </w:p>
    <w:p w14:paraId="3CADDB32"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13. Ballerini, M. et al. (2008). Interaction ruling animal collective behaviour depends on topological rather than metric distance. PNAS, 105(4), 1232–1237.</w:t>
      </w:r>
    </w:p>
    <w:p w14:paraId="74BED52B"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14. Gu, K. et al. (2022). Change point detection in multi-agent systems based on higher-order features. Chaos, 32(11), 113117.</w:t>
      </w:r>
    </w:p>
    <w:p w14:paraId="5804C1D0"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15. </w:t>
      </w:r>
      <w:proofErr w:type="spellStart"/>
      <w:r w:rsidRPr="00E10966">
        <w:rPr>
          <w:rFonts w:ascii="Calibri Light" w:hAnsi="Calibri Light" w:cs="Calibri Light"/>
          <w:color w:val="000000"/>
          <w:kern w:val="0"/>
          <w:sz w:val="22"/>
          <w:szCs w:val="22"/>
        </w:rPr>
        <w:t>Folgado</w:t>
      </w:r>
      <w:proofErr w:type="spellEnd"/>
      <w:r w:rsidRPr="00E10966">
        <w:rPr>
          <w:rFonts w:ascii="Calibri Light" w:hAnsi="Calibri Light" w:cs="Calibri Light"/>
          <w:color w:val="000000"/>
          <w:kern w:val="0"/>
          <w:sz w:val="22"/>
          <w:szCs w:val="22"/>
        </w:rPr>
        <w:t>, H. et al. (2014). Length, width and centroid distance as measures of teams' tactical performance in youth football. European Journal of Sport Science, 14(S1), S487–S492.</w:t>
      </w:r>
    </w:p>
    <w:p w14:paraId="498C37AE"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16. Fernández, J. &amp; Bornn, L. (2018). Wide open spaces: a statistical technique for measuring space creation in professional soccer. Sloan Sports Analytics Conference.</w:t>
      </w:r>
    </w:p>
    <w:p w14:paraId="2340F65D"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17. Brown, R. et al. (2026). Multi-scale persistent homology for competitive spatial systems: measurement-aware methods and validation in professional football. </w:t>
      </w:r>
      <w:proofErr w:type="spellStart"/>
      <w:r w:rsidRPr="00E10966">
        <w:rPr>
          <w:rFonts w:ascii="Calibri Light" w:hAnsi="Calibri Light" w:cs="Calibri Light"/>
          <w:color w:val="000000"/>
          <w:kern w:val="0"/>
          <w:sz w:val="22"/>
          <w:szCs w:val="22"/>
        </w:rPr>
        <w:t>ArXiv</w:t>
      </w:r>
      <w:proofErr w:type="spellEnd"/>
      <w:r w:rsidRPr="00E10966">
        <w:rPr>
          <w:rFonts w:ascii="Calibri Light" w:hAnsi="Calibri Light" w:cs="Calibri Light"/>
          <w:color w:val="000000"/>
          <w:kern w:val="0"/>
          <w:sz w:val="22"/>
          <w:szCs w:val="22"/>
        </w:rPr>
        <w:t xml:space="preserve"> preprint; submitted to the Journal of Applied and Computational Topology.</w:t>
      </w:r>
    </w:p>
    <w:p w14:paraId="0E3813B2"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18. Ramsay, J. O. &amp; Silverman, B. W. (2005). Functional Data Analysis (2nd ed.). Springer.</w:t>
      </w:r>
    </w:p>
    <w:p w14:paraId="18585933"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19. Page, E. S. (1954). Continuous inspection schemes. </w:t>
      </w:r>
      <w:proofErr w:type="spellStart"/>
      <w:r w:rsidRPr="00E10966">
        <w:rPr>
          <w:rFonts w:ascii="Calibri Light" w:hAnsi="Calibri Light" w:cs="Calibri Light"/>
          <w:color w:val="000000"/>
          <w:kern w:val="0"/>
          <w:sz w:val="22"/>
          <w:szCs w:val="22"/>
        </w:rPr>
        <w:t>Biometrika</w:t>
      </w:r>
      <w:proofErr w:type="spellEnd"/>
      <w:r w:rsidRPr="00E10966">
        <w:rPr>
          <w:rFonts w:ascii="Calibri Light" w:hAnsi="Calibri Light" w:cs="Calibri Light"/>
          <w:color w:val="000000"/>
          <w:kern w:val="0"/>
          <w:sz w:val="22"/>
          <w:szCs w:val="22"/>
        </w:rPr>
        <w:t>, 41(1/2), 100–115.</w:t>
      </w:r>
    </w:p>
    <w:p w14:paraId="1062C296"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20. Bauer, U. (2021). </w:t>
      </w:r>
      <w:proofErr w:type="spellStart"/>
      <w:r w:rsidRPr="00E10966">
        <w:rPr>
          <w:rFonts w:ascii="Calibri Light" w:hAnsi="Calibri Light" w:cs="Calibri Light"/>
          <w:color w:val="000000"/>
          <w:kern w:val="0"/>
          <w:sz w:val="22"/>
          <w:szCs w:val="22"/>
        </w:rPr>
        <w:t>Ripser</w:t>
      </w:r>
      <w:proofErr w:type="spellEnd"/>
      <w:r w:rsidRPr="00E10966">
        <w:rPr>
          <w:rFonts w:ascii="Calibri Light" w:hAnsi="Calibri Light" w:cs="Calibri Light"/>
          <w:color w:val="000000"/>
          <w:kern w:val="0"/>
          <w:sz w:val="22"/>
          <w:szCs w:val="22"/>
        </w:rPr>
        <w:t>: efficient computation of Vietoris–Rips persistence barcodes. Journal of Applied and Computational Topology, 5(3), 391–423.</w:t>
      </w:r>
    </w:p>
    <w:p w14:paraId="37CFABCA"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t xml:space="preserve">21. Tauzin, G. et al. (2021). </w:t>
      </w:r>
      <w:proofErr w:type="spellStart"/>
      <w:r w:rsidRPr="00E10966">
        <w:rPr>
          <w:rFonts w:ascii="Calibri Light" w:hAnsi="Calibri Light" w:cs="Calibri Light"/>
          <w:color w:val="000000"/>
          <w:kern w:val="0"/>
          <w:sz w:val="22"/>
          <w:szCs w:val="22"/>
        </w:rPr>
        <w:t>giotto-tda</w:t>
      </w:r>
      <w:proofErr w:type="spellEnd"/>
      <w:r w:rsidRPr="00E10966">
        <w:rPr>
          <w:rFonts w:ascii="Calibri Light" w:hAnsi="Calibri Light" w:cs="Calibri Light"/>
          <w:color w:val="000000"/>
          <w:kern w:val="0"/>
          <w:sz w:val="22"/>
          <w:szCs w:val="22"/>
        </w:rPr>
        <w:t>: a topological data analysis toolkit for machine learning and data exploration. Journal of Machine Learning Research, 22(39), 1–6.</w:t>
      </w:r>
    </w:p>
    <w:p w14:paraId="34FE402C" w14:textId="77777777" w:rsidR="00E10966" w:rsidRPr="00E10966" w:rsidRDefault="00E10966" w:rsidP="00E10966">
      <w:pPr>
        <w:autoSpaceDE w:val="0"/>
        <w:autoSpaceDN w:val="0"/>
        <w:adjustRightInd w:val="0"/>
        <w:spacing w:after="40" w:line="216" w:lineRule="auto"/>
        <w:jc w:val="both"/>
        <w:rPr>
          <w:rFonts w:ascii="Calibri Light" w:hAnsi="Calibri Light" w:cs="Calibri Light"/>
          <w:color w:val="000000"/>
          <w:kern w:val="0"/>
          <w:sz w:val="22"/>
          <w:szCs w:val="22"/>
        </w:rPr>
      </w:pPr>
      <w:r w:rsidRPr="00E10966">
        <w:rPr>
          <w:rFonts w:ascii="Calibri Light" w:hAnsi="Calibri Light" w:cs="Calibri Light"/>
          <w:color w:val="000000"/>
          <w:kern w:val="0"/>
          <w:sz w:val="22"/>
          <w:szCs w:val="22"/>
        </w:rPr>
        <w:lastRenderedPageBreak/>
        <w:t>22. Brown, R. et al. (2026). Multi-scale topological signatures of tactical organisation in professional football. In preparation; to be submitted to the Journal of Sports Sciences.</w:t>
      </w:r>
    </w:p>
    <w:p w14:paraId="2AB7D0F3" w14:textId="77777777" w:rsidR="004B0054" w:rsidRPr="00E10966" w:rsidRDefault="004B0054" w:rsidP="00E10966">
      <w:pPr>
        <w:spacing w:line="216" w:lineRule="auto"/>
        <w:rPr>
          <w:rFonts w:ascii="Calibri Light" w:hAnsi="Calibri Light" w:cs="Calibri Light"/>
        </w:rPr>
      </w:pPr>
    </w:p>
    <w:sectPr w:rsidR="004B0054" w:rsidRPr="00E10966" w:rsidSect="00E1096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66"/>
    <w:rsid w:val="004B0054"/>
    <w:rsid w:val="00597FEA"/>
    <w:rsid w:val="009A7F5B"/>
    <w:rsid w:val="00E10966"/>
    <w:rsid w:val="00F90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F30404"/>
  <w15:chartTrackingRefBased/>
  <w15:docId w15:val="{7D26BCEF-33B6-7C4B-9572-50C2CF07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66"/>
    <w:rPr>
      <w:rFonts w:eastAsiaTheme="majorEastAsia" w:cstheme="majorBidi"/>
      <w:color w:val="272727" w:themeColor="text1" w:themeTint="D8"/>
    </w:rPr>
  </w:style>
  <w:style w:type="paragraph" w:styleId="Title">
    <w:name w:val="Title"/>
    <w:basedOn w:val="Normal"/>
    <w:next w:val="Normal"/>
    <w:link w:val="TitleChar"/>
    <w:uiPriority w:val="10"/>
    <w:qFormat/>
    <w:rsid w:val="00E1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66"/>
    <w:pPr>
      <w:spacing w:before="160"/>
      <w:jc w:val="center"/>
    </w:pPr>
    <w:rPr>
      <w:i/>
      <w:iCs/>
      <w:color w:val="404040" w:themeColor="text1" w:themeTint="BF"/>
    </w:rPr>
  </w:style>
  <w:style w:type="character" w:customStyle="1" w:styleId="QuoteChar">
    <w:name w:val="Quote Char"/>
    <w:basedOn w:val="DefaultParagraphFont"/>
    <w:link w:val="Quote"/>
    <w:uiPriority w:val="29"/>
    <w:rsid w:val="00E10966"/>
    <w:rPr>
      <w:i/>
      <w:iCs/>
      <w:color w:val="404040" w:themeColor="text1" w:themeTint="BF"/>
    </w:rPr>
  </w:style>
  <w:style w:type="paragraph" w:styleId="ListParagraph">
    <w:name w:val="List Paragraph"/>
    <w:basedOn w:val="Normal"/>
    <w:uiPriority w:val="34"/>
    <w:qFormat/>
    <w:rsid w:val="00E10966"/>
    <w:pPr>
      <w:ind w:left="720"/>
      <w:contextualSpacing/>
    </w:pPr>
  </w:style>
  <w:style w:type="character" w:styleId="IntenseEmphasis">
    <w:name w:val="Intense Emphasis"/>
    <w:basedOn w:val="DefaultParagraphFont"/>
    <w:uiPriority w:val="21"/>
    <w:qFormat/>
    <w:rsid w:val="00E10966"/>
    <w:rPr>
      <w:i/>
      <w:iCs/>
      <w:color w:val="0F4761" w:themeColor="accent1" w:themeShade="BF"/>
    </w:rPr>
  </w:style>
  <w:style w:type="paragraph" w:styleId="IntenseQuote">
    <w:name w:val="Intense Quote"/>
    <w:basedOn w:val="Normal"/>
    <w:next w:val="Normal"/>
    <w:link w:val="IntenseQuoteChar"/>
    <w:uiPriority w:val="30"/>
    <w:qFormat/>
    <w:rsid w:val="00E1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66"/>
    <w:rPr>
      <w:i/>
      <w:iCs/>
      <w:color w:val="0F4761" w:themeColor="accent1" w:themeShade="BF"/>
    </w:rPr>
  </w:style>
  <w:style w:type="character" w:styleId="IntenseReference">
    <w:name w:val="Intense Reference"/>
    <w:basedOn w:val="DefaultParagraphFont"/>
    <w:uiPriority w:val="32"/>
    <w:qFormat/>
    <w:rsid w:val="00E10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2642</Words>
  <Characters>15063</Characters>
  <Application>Microsoft Office Word</Application>
  <DocSecurity>0</DocSecurity>
  <Lines>125</Lines>
  <Paragraphs>35</Paragraphs>
  <ScaleCrop>false</ScaleCrop>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2026-08-13T14:01:00Z</dcterms:created>
  <dcterms:modified xsi:type="dcterms:W3CDTF">2026-08-13T14:08:00Z</dcterms:modified>
</cp:coreProperties>
</file>