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vision"/>
    <w:p>
      <w:pPr>
        <w:pStyle w:val="Heading1"/>
      </w:pPr>
      <w:r>
        <w:t xml:space="preserve">VISION</w:t>
      </w:r>
    </w:p>
    <w:bookmarkStart w:id="9" w:name="quality-and-mathematical-importance"/>
    <w:p>
      <w:pPr>
        <w:pStyle w:val="Heading2"/>
      </w:pPr>
      <w:r>
        <w:t xml:space="preserve">1. Quality and Mathematical Importance</w:t>
      </w:r>
    </w:p>
    <w:p>
      <w:pPr>
        <w:pStyle w:val="FirstParagraph"/>
      </w:pPr>
      <w:r>
        <w:t xml:space="preserve">This research develops a mathematical framework extending multi-scale topological analysis to competitive collective systems: agents that coordinate internally while competing against an adversary within a bounded domain. Such systems arise in autonomous-vehicle fleets, tumour–immune dynamics and team sports, yet remain under-modelled as a distinct class of dynamical systems. Their defining feature is adversarial geometry: unlike cooperative swarms, adversarial interactions allow each subgroup’s configuration to be deformed across multiple scales.</w:t>
      </w:r>
    </w:p>
    <w:p>
      <w:pPr>
        <w:pStyle w:val="BodyText"/>
      </w:pPr>
      <w:r>
        <w:rPr>
          <w:b/>
          <w:bCs/>
        </w:rPr>
        <w:t xml:space="preserve">Importance.</w:t>
      </w:r>
      <w:r>
        <w:t xml:space="preserve"> </w:t>
      </w:r>
      <w:r>
        <w:t xml:space="preserve">No existing method attributes topological structure, connected clusters (H₀) and enclosing loops (H₁), to the distinct interaction scales of hierarchical, high-frequency competitive systems. Standard persistent homology [1–3] uses a single distance threshold across all agents, collapsing these scales into one summary and blocking attribution to distinct organisational levels. Although multi-parameter topology [4,5] offers a theoretical route to scale-specific structure, current methods remain computationally prohibitive for real-world, high-frequency competitive data. This project closes that gap in professional football: pilot analysis has identified distinct, stability-validated interaction scales (§2). Scaling to a full Championship season will test whether these scales persist as population-level structure and establish a transferable framework once characteristic scales are re-derived in other bounded competitive systems (§5).</w:t>
      </w:r>
    </w:p>
    <w:p>
      <w:pPr>
        <w:pStyle w:val="BodyText"/>
      </w:pPr>
      <w:r>
        <w:rPr>
          <w:b/>
          <w:bCs/>
        </w:rPr>
        <w:t xml:space="preserve">Quality.</w:t>
      </w:r>
      <w:r>
        <w:t xml:space="preserve"> </w:t>
      </w:r>
      <w:r>
        <w:t xml:space="preserve">The project combines mathematical rigour and empirical validation: stability-validated cutoffs define groups by empirically tested interaction lengths rather than arbitrary thresholds, and pilot-validated scale decomposition with adaptive distance thresholds (§2) make the procedure falsifiable and reproducible. The new contribution is theoretical as well as empirical. Moving from static scale detection to time-evolving summaries requires two results not currently available: well-posedness of a mean path in summary space under competitive, non-exchangeable sequential data, extending [7]; and a stability bound for the CUSUM statistic under Wasserstein perturbation. This project establishes both results and tests their empirical utility at season scale (§7, O3).</w:t>
      </w:r>
    </w:p>
    <w:bookmarkEnd w:id="9"/>
    <w:bookmarkStart w:id="10" w:name="background-building-on-previous-work"/>
    <w:p>
      <w:pPr>
        <w:pStyle w:val="Heading2"/>
      </w:pPr>
      <w:r>
        <w:t xml:space="preserve">2. Background Building on Previous Work</w:t>
      </w:r>
    </w:p>
    <w:p>
      <w:pPr>
        <w:pStyle w:val="FirstParagraph"/>
      </w:pPr>
      <w:r>
        <w:t xml:space="preserve">Persistent homology [1,2], supported by its stability theorem [8], provides the mathematical basis: small tracking errors induce only small changes in topological summaries, suiting real measurement data. Statistical tools for classification, distance-based analysis and change-point detection [6,7,9] form the basis for O2–O3. Standard applications use a single global scale [3] or rely on multi-scale clustering developed for cooperative, slowly evolving systems [10]. This project instead decomposes competitive systems by validated interaction length before computing homology at each scale. Topology has captured collective organisation in aggregation, motion and flocking [11–13], motivating the interaction-length framing. Existing topological change-point methods for multi-agent systems [14] are single-scale; O3 extends them to competitive, bounded, multi-scale systems. Football provides the testbed: competitive, high-frequency, spatially bounded, and supported by established geometric baselines [17,18].</w:t>
      </w:r>
    </w:p>
    <w:p>
      <w:pPr>
        <w:pStyle w:val="BodyText"/>
      </w:pPr>
      <w:r>
        <w:t xml:space="preserve">Our methodology paper [19] develops and validates the pipeline: decompose by validated interaction length, then compute homology at each scale using an adaptive distance threshold. Across 10 professional matches, SkillCorner, 10 Hz, 104,722 event–topology pairs [19], three cluster-scale (H₀) regimes reproduce: individual 2.98 m, tactical 12.0 m and team 30.0 m, with cross-epoch stability 0.96, 0.84 and 1.00. Two loop-scale (H₁) regimes emerge: individual-scale loops are near-universal but short-lived, 97.0% ± 1.5% of frames, while tactical-scale loops are rarer but more persistent, 19.3% ± 7.2%, mean persistence 3.80 m versus 1.98 m. The scales carry largely independent information, ρ = 0.264, and respond coherently to match events, p &lt; 0.001.</w:t>
      </w:r>
    </w:p>
    <w:bookmarkEnd w:id="10"/>
    <w:bookmarkStart w:id="11" w:name="Xd9e65230ca9f618e6fc301cf941dbe2ddba397f"/>
    <w:p>
      <w:pPr>
        <w:pStyle w:val="Heading2"/>
      </w:pPr>
      <w:r>
        <w:t xml:space="preserve">3. Advancing Current Understanding and Generating New Knowledge</w:t>
      </w:r>
    </w:p>
    <w:p>
      <w:pPr>
        <w:pStyle w:val="FirstParagraph"/>
      </w:pPr>
      <w:r>
        <w:t xml:space="preserve">Pilot data (§2) show these summaries are reproducible and respond coherently to match events. The project builds toward summary-space results for time-evolving competitive systems (O3), via three advances that make those results well-posed and testable. (i) Distributional laws: establishing whether stability scores, loop-presence rates and scale complementarity are population-level regularities rather than pilot artefacts, the precondition for defining a mean path over such summaries. (ii) Comparison geometry: establishing that distances between topological summaries [6,9] distinguish formation systems, yielding both a topological definition of formation identity and the metric structure on which the change-point statistic operates. (iii) Functional dynamics: with these in place, each match becomes a time series of topological summaries, allowing structural transitions to be characterised and the O3 results proved and tested at season scale. Together these extend statistical topology [6,7,9] into competitive, multi-scale, hierarchical systems, mapping onto O1–O3 (§7).</w:t>
      </w:r>
    </w:p>
    <w:bookmarkEnd w:id="11"/>
    <w:bookmarkStart w:id="12" w:name="timeliness-need-and-opportunity"/>
    <w:p>
      <w:pPr>
        <w:pStyle w:val="Heading2"/>
      </w:pPr>
      <w:r>
        <w:t xml:space="preserve">4. Timeliness, Need and Opportunity</w:t>
      </w:r>
    </w:p>
    <w:p>
      <w:pPr>
        <w:pStyle w:val="FirstParagraph"/>
      </w:pPr>
      <w:r>
        <w:rPr>
          <w:b/>
          <w:bCs/>
        </w:rPr>
        <w:t xml:space="preserve">Timeliness.</w:t>
      </w:r>
      <w:r>
        <w:t xml:space="preserve"> </w:t>
      </w:r>
      <w:r>
        <w:t xml:space="preserve">Three developments have converged: multi-scale topology and statistical comparison tools have matured [4,6,7,9]; scalable computation now makes season-scale frame-wise topology feasible (§8); and competitive tracking data have become available at the resolution needed to test population-level structure.</w:t>
      </w:r>
    </w:p>
    <w:p>
      <w:pPr>
        <w:pStyle w:val="BodyText"/>
      </w:pPr>
      <w:r>
        <w:rPr>
          <w:b/>
          <w:bCs/>
        </w:rPr>
        <w:t xml:space="preserve">Need.</w:t>
      </w:r>
      <w:r>
        <w:t xml:space="preserve"> </w:t>
      </w:r>
      <w:r>
        <w:t xml:space="preserve">No validated workflow exists for this problem class (§1); analysts in sport, and prospectively in health, logistics and autonomous coordination, need interpretable structural measures capturing organisation, gaps, loops and transitions beyond conventional geometry.</w:t>
      </w:r>
    </w:p>
    <w:p>
      <w:pPr>
        <w:pStyle w:val="BodyText"/>
      </w:pPr>
      <w:r>
        <w:rPr>
          <w:b/>
          <w:bCs/>
        </w:rPr>
        <w:t xml:space="preserve">Opportunity.</w:t>
      </w:r>
      <w:r>
        <w:t xml:space="preserve"> </w:t>
      </w:r>
      <w:r>
        <w:t xml:space="preserve">Professional football provides an ideal population-scale testbed for a validated workflow transferable to other bounded competitive systems once interaction scales are re-derived.</w:t>
      </w:r>
    </w:p>
    <w:bookmarkEnd w:id="12"/>
    <w:bookmarkStart w:id="13" w:name="impact"/>
    <w:p>
      <w:pPr>
        <w:pStyle w:val="Heading2"/>
      </w:pPr>
      <w:r>
        <w:t xml:space="preserve">5. Impact</w:t>
      </w:r>
    </w:p>
    <w:p>
      <w:pPr>
        <w:pStyle w:val="FirstParagraph"/>
      </w:pPr>
      <w:r>
        <w:rPr>
          <w:b/>
          <w:bCs/>
        </w:rPr>
        <w:t xml:space="preserve">Research impact.</w:t>
      </w:r>
      <w:r>
        <w:t xml:space="preserve"> </w:t>
      </w:r>
      <w:r>
        <w:t xml:space="preserve">The primary contribution to the mathematical sciences is theoretical: two new results for statistical topology on competitive sequential data (§1, §7, O3) — well-posedness of a mean path in summary space, extending [7], and a stability bound for the CUSUM statistic under Wasserstein perturbation. These are delivered as publishable proofs and instantiated in a validated, open-source library for multi-scale persistent homology on competitive, time-evolving point clouds. Together these build UK capability in applied topology, contributing to EPSRC’s physical and mathematical sciences powerhouse and AI, digitisation and data priorities.</w:t>
      </w:r>
    </w:p>
    <w:p>
      <w:pPr>
        <w:pStyle w:val="BodyText"/>
      </w:pPr>
      <w:r>
        <w:rPr>
          <w:b/>
          <w:bCs/>
        </w:rPr>
        <w:t xml:space="preserve">Economic and industry impact.</w:t>
      </w:r>
      <w:r>
        <w:t xml:space="preserve"> </w:t>
      </w:r>
      <w:r>
        <w:t xml:space="preserve">Co-developed with Swansea City AFC and StatsBomb, the project translates topological summaries into practitioner-interpretable tools for pressing structures, formation gaps and defensive-line organisation, quantities not directly captured by length, width or convex-hull area.</w:t>
      </w:r>
    </w:p>
    <w:p>
      <w:pPr>
        <w:pStyle w:val="BodyText"/>
      </w:pPr>
      <w:r>
        <w:rPr>
          <w:b/>
          <w:bCs/>
        </w:rPr>
        <w:t xml:space="preserve">Stepping-stone to translation.</w:t>
      </w:r>
      <w:r>
        <w:t xml:space="preserve"> </w:t>
      </w:r>
      <w:r>
        <w:t xml:space="preserve">The project prepares a follow-on Standard Grant (§7, O4) by establishing the season-scale evidence base needed to transfer the framework beyond football. Pathways, not deliverables, include tumour–immune competition with Co-I Powathil and other bounded adversarial systems once interaction scales are re-derived.</w:t>
      </w:r>
    </w:p>
    <w:bookmarkEnd w:id="13"/>
    <w:bookmarkStart w:id="14" w:name="benefits-and-beneficiaries"/>
    <w:p>
      <w:pPr>
        <w:pStyle w:val="Heading2"/>
      </w:pPr>
      <w:r>
        <w:t xml:space="preserve">6. Benefits and Beneficiaries</w:t>
      </w:r>
    </w:p>
    <w:p>
      <w:pPr>
        <w:pStyle w:val="FirstParagraph"/>
      </w:pPr>
      <w:r>
        <w:t xml:space="preserve">Mathematicians, data scientists, Swansea City AFC analysts and the wider sports-analytics community are the immediate beneficiaries of the library, visualisations and benchmarked features described in §5. Longer term, other bounded competitive multi-agent domains benefit from the transferable validation procedure and follow-on Standard Grant pathway (§7, O4).</w:t>
      </w:r>
    </w:p>
    <w:bookmarkEnd w:id="14"/>
    <w:bookmarkEnd w:id="15"/>
    <w:bookmarkStart w:id="22" w:name="approach"/>
    <w:p>
      <w:pPr>
        <w:pStyle w:val="Heading1"/>
      </w:pPr>
      <w:r>
        <w:t xml:space="preserve">APPROACH</w:t>
      </w:r>
    </w:p>
    <w:bookmarkStart w:id="16" w:name="research-design-and-objectives"/>
    <w:p>
      <w:pPr>
        <w:pStyle w:val="Heading2"/>
      </w:pPr>
      <w:r>
        <w:t xml:space="preserve">7. Research Design and Objectives</w:t>
      </w:r>
    </w:p>
    <w:p>
      <w:pPr>
        <w:pStyle w:val="FirstParagraph"/>
      </w:pPr>
      <w:r>
        <w:rPr>
          <w:b/>
          <w:bCs/>
        </w:rPr>
        <w:t xml:space="preserve">Team.</w:t>
      </w:r>
      <w:r>
        <w:t xml:space="preserve"> </w:t>
      </w:r>
      <w:r>
        <w:t xml:space="preserve">PI (0.2 FTE — framework, oversight, publication); two Co-Investigators (0.25 FTE combined — statistical and domain expertise); Research Associate (1.0 FTE, Months 2–10 — pipeline and full-season analysis). Championship tracking data and formation labels are secured through the Swansea City AFC–StatsBomb agreement. The project has three research objectives and one strategic output.</w:t>
      </w:r>
    </w:p>
    <w:p>
      <w:pPr>
        <w:pStyle w:val="BodyText"/>
      </w:pPr>
      <w:r>
        <w:rPr>
          <w:b/>
          <w:bCs/>
        </w:rPr>
        <w:t xml:space="preserve">Sample-size rationale.</w:t>
      </w:r>
      <w:r>
        <w:t xml:space="preserve"> </w:t>
      </w:r>
      <w:r>
        <w:t xml:space="preserve">A full Championship season (≈540 matches) delivers precision and power: 32 matches per stratum give a 95% CI half-width of 0.025 for tactical-scale H₁ presence (pilot s.d. 0.072); 180 matches per tactical class detect Cohen’s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≥ 0.30 at power 0.80 and α = 0.05, with Benjamini–Hochberg FDR correction. A borderline pilot within-match effect on tactical H₁ persistence (permutation p = 0.051; pilot half-level random-effects fit) motivates season-scale replication.</w:t>
      </w:r>
    </w:p>
    <w:p>
      <w:pPr>
        <w:pStyle w:val="BodyText"/>
      </w:pPr>
      <w:r>
        <w:rPr>
          <w:b/>
          <w:bCs/>
        </w:rPr>
        <w:t xml:space="preserve">O1: Population-level topological statistics</w:t>
      </w:r>
      <w:r>
        <w:t xml:space="preserve"> </w:t>
      </w:r>
      <w:r>
        <w:t xml:space="preserve">(PI and RA, Months 1–7). O1 asks how topological features vary across the season and relate to tactical descriptors. Month 1 establishes the Supercomputing Wales pipeline. A 20-match batch in Months 1–2 re-validates interaction-length cutoffs against [19]; stability below 0.80 triggers re-derivation and gates downstream analysis. RA processing runs Months 2–7, with PI-led joint analysis in Months 5–7.</w:t>
      </w:r>
      <w:r>
        <w:t xml:space="preserve"> </w:t>
      </w:r>
      <w:r>
        <w:rPr>
          <w:i/>
          <w:iCs/>
        </w:rPr>
        <w:t xml:space="preserve">Milestones:</w:t>
      </w:r>
      <w:r>
        <w:t xml:space="preserve"> </w:t>
      </w:r>
      <w:r>
        <w:t xml:space="preserve">cutoff gate, Month 2; barcode database, Month 7.</w:t>
      </w:r>
    </w:p>
    <w:p>
      <w:pPr>
        <w:pStyle w:val="BodyText"/>
      </w:pPr>
      <w:r>
        <w:rPr>
          <w:b/>
          <w:bCs/>
        </w:rPr>
        <w:t xml:space="preserve">O2: Topological fingerprinting</w:t>
      </w:r>
      <w:r>
        <w:t xml:space="preserve"> </w:t>
      </w:r>
      <w:r>
        <w:t xml:space="preserve">(PI, Months 6–9). O2 tests whether formation systems have topological signatures beyond geometric metrics. Formation labels come from StatsBomb and SkillCorner; Cohen’s κ checks agreement. Tactical systems are compared using distances between averaged topological summaries [6,7] and vectorised diagram-image features (§8), benchmarked against length, width and convex-hull area.</w:t>
      </w:r>
      <w:r>
        <w:t xml:space="preserve"> </w:t>
      </w:r>
      <w:r>
        <w:rPr>
          <w:i/>
          <w:iCs/>
        </w:rPr>
        <w:t xml:space="preserve">Success criteria:</w:t>
      </w:r>
      <w:r>
        <w:t xml:space="preserve"> </w:t>
      </w:r>
      <w:r>
        <w:t xml:space="preserve">distinguishable signatures for at least three tactical configurations; FDR-corrected differences, p &lt; 0.05; and added information beyond geometric baselines.</w:t>
      </w:r>
      <w:r>
        <w:t xml:space="preserve"> </w:t>
      </w:r>
      <w:r>
        <w:rPr>
          <w:i/>
          <w:iCs/>
        </w:rPr>
        <w:t xml:space="preserve">Milestones:</w:t>
      </w:r>
      <w:r>
        <w:t xml:space="preserve"> </w:t>
      </w:r>
      <w:r>
        <w:t xml:space="preserve">OSF pre-registration, Month 2; fingerprint results, Month 9.</w:t>
      </w:r>
    </w:p>
    <w:p>
      <w:pPr>
        <w:pStyle w:val="BodyText"/>
      </w:pPr>
      <w:r>
        <w:rPr>
          <w:b/>
          <w:bCs/>
        </w:rPr>
        <w:t xml:space="preserve">O3: Temporal dynamics and structural transitions</w:t>
      </w:r>
      <w:r>
        <w:t xml:space="preserve"> </w:t>
      </w:r>
      <w:r>
        <w:t xml:space="preserve">(PI and RA, Months 4–10). O3 extends single-scale multi-agent change-point detection [14] to competitive, bounded, multi-scale systems. Each match is represented as a time series of topological summaries. The PI applies FPCA [25] and CUSUM change-point detection [26], with bootstrap calibration [7]. Mathematical targets are well-posedness of a mean path in summary space under competitive sequential data, extending [7], and a stability bound for the CUSUM statistic under Wasserstein perturbation.</w:t>
      </w:r>
      <w:r>
        <w:t xml:space="preserve"> </w:t>
      </w:r>
      <w:r>
        <w:rPr>
          <w:i/>
          <w:iCs/>
        </w:rPr>
        <w:t xml:space="preserve">Success criterion:</w:t>
      </w:r>
      <w:r>
        <w:t xml:space="preserve"> </w:t>
      </w:r>
      <w:r>
        <w:t xml:space="preserve">change-points agree with held-out tactical annotations at ≥70%, permutation p &lt; 0.05. If landscape development exceeds the timescale, Wasserstein diagram comparison is the fallback.</w:t>
      </w:r>
      <w:r>
        <w:t xml:space="preserve"> </w:t>
      </w:r>
      <w:r>
        <w:rPr>
          <w:i/>
          <w:iCs/>
        </w:rPr>
        <w:t xml:space="preserve">Milestones:</w:t>
      </w:r>
      <w:r>
        <w:t xml:space="preserve"> </w:t>
      </w:r>
      <w:r>
        <w:t xml:space="preserve">landscape module, Month 8; O2/O3 outputs, Month 9.</w:t>
      </w:r>
    </w:p>
    <w:p>
      <w:pPr>
        <w:pStyle w:val="BodyText"/>
      </w:pPr>
      <w:r>
        <w:rPr>
          <w:b/>
          <w:bCs/>
        </w:rPr>
        <w:t xml:space="preserve">O4: Standard Grant evidence synthesis</w:t>
      </w:r>
      <w:r>
        <w:t xml:space="preserve"> </w:t>
      </w:r>
      <w:r>
        <w:t xml:space="preserve">(PI, Months 9–12). From Month 9, the PI compiles full-season results into a reproducible evidence pack for a separate follow-on Standard Grant translating the framework to higher-impact adversarial systems (§5). O1–O3 remain standalone publishable contributions.</w:t>
      </w:r>
      <w:r>
        <w:t xml:space="preserve"> </w:t>
      </w:r>
      <w:r>
        <w:rPr>
          <w:i/>
          <w:iCs/>
        </w:rPr>
        <w:t xml:space="preserve">Milestone:</w:t>
      </w:r>
      <w:r>
        <w:t xml:space="preserve"> </w:t>
      </w:r>
      <w:r>
        <w:t xml:space="preserve">evidence pack, Month 12.</w:t>
      </w:r>
    </w:p>
    <w:bookmarkEnd w:id="16"/>
    <w:bookmarkStart w:id="17" w:name="methodology"/>
    <w:p>
      <w:pPr>
        <w:pStyle w:val="Heading2"/>
      </w:pPr>
      <w:r>
        <w:t xml:space="preserve">8. Methodology</w:t>
      </w:r>
    </w:p>
    <w:p>
      <w:pPr>
        <w:pStyle w:val="FirstParagraph"/>
      </w:pPr>
      <w:r>
        <w:t xml:space="preserve">A containerised Python pipeline built around Ripser [23], GUDHI and giotto-tda [24] processes each frame as a point cloud: clustering at empirically derived interaction lengths, homology computation using adaptive thresholds, and storage of barcodes and vectorised summaries. Frame-level homology takes under 2 seconds and is embarrassingly parallel, enabling 1 Hz production processing on Supercomputing Wales (§12). The Month 1–2 gate (§7) tests whether pilot-derived cutoffs transfer to Championship data and whether 1 Hz sampling preserves high-resolution features. O1 summarises H₀/H₁ cluster and loop statistics; O2 compares landscape distances, diagram-image features and geometric baselines; O3 applies FPCA, CUSUM and bootstrap calibration to topological time series. Reproducibility is ensured through containerisation, OSF pre-registration, DOI-archived code, diagnostics and documented scripts.</w:t>
      </w:r>
    </w:p>
    <w:bookmarkEnd w:id="17"/>
    <w:bookmarkStart w:id="18" w:name="feasibility-and-risk-management"/>
    <w:p>
      <w:pPr>
        <w:pStyle w:val="Heading2"/>
      </w:pPr>
      <w:r>
        <w:t xml:space="preserve">9. Feasibility and Risk Management</w:t>
      </w:r>
    </w:p>
    <w:p>
      <w:pPr>
        <w:pStyle w:val="FirstParagraph"/>
      </w:pPr>
      <w:r>
        <w:rPr>
          <w:b/>
          <w:bCs/>
        </w:rPr>
        <w:t xml:space="preserve">Feasibility.</w:t>
      </w:r>
      <w:r>
        <w:t xml:space="preserve"> </w:t>
      </w:r>
      <w:r>
        <w:t xml:space="preserve">The project is feasible within 12 months because the core method is pilot-validated (§2), computation is modest (§8), and the workplan contains an early validation gate. Season-scale processing requires approximately 1,600 CPU-hours within the 5,000 core-hour Supercomputing Wales allocation (§12). The team combines applied topology, statistical modelling and football-domain expertise (§11), with the RA providing dedicated implementation capacity.</w:t>
      </w:r>
    </w:p>
    <w:p>
      <w:pPr>
        <w:pStyle w:val="BodyText"/>
      </w:pPr>
      <w:r>
        <w:rPr>
          <w:b/>
          <w:bCs/>
        </w:rPr>
        <w:t xml:space="preserve">Risk management.</w:t>
      </w:r>
      <w:r>
        <w:t xml:space="preserve"> </w:t>
      </w:r>
      <w:r>
        <w:t xml:space="preserve">Data access is resolved: the 2024/25 Championship season is archived and already held through the Swansea City AFC–StatsBomb agreement, removing data access as a live risk. Three residual risks are all medium-likelihood/medium-impact.</w:t>
      </w:r>
      <w:r>
        <w:t xml:space="preserve"> </w:t>
      </w:r>
      <w:r>
        <w:rPr>
          <w:i/>
          <w:iCs/>
        </w:rPr>
        <w:t xml:space="preserve">Scale transferability:</w:t>
      </w:r>
      <w:r>
        <w:t xml:space="preserve"> </w:t>
      </w:r>
      <w:r>
        <w:t xml:space="preserve">the Month-2 gate re-derives cutoffs if stability falls below 0.80.</w:t>
      </w:r>
      <w:r>
        <w:t xml:space="preserve"> </w:t>
      </w:r>
      <w:r>
        <w:rPr>
          <w:i/>
          <w:iCs/>
        </w:rPr>
        <w:t xml:space="preserve">Formation-label noise:</w:t>
      </w:r>
      <w:r>
        <w:t xml:space="preserve"> </w:t>
      </w:r>
      <w:r>
        <w:t xml:space="preserve">mitigated through dual-source verification, Cohen’s κ, unsupervised clustering and a pre-registered exclusion protocol.</w:t>
      </w:r>
      <w:r>
        <w:t xml:space="preserve"> </w:t>
      </w:r>
      <w:r>
        <w:rPr>
          <w:i/>
          <w:iCs/>
        </w:rPr>
        <w:t xml:space="preserve">Landscape theory:</w:t>
      </w:r>
      <w:r>
        <w:t xml:space="preserve"> </w:t>
      </w:r>
      <w:r>
        <w:t xml:space="preserve">if sequential landscape development exceeds the project timescale, O3 uses direct Wasserstein diagram comparison. These mitigations preserve publishable outputs under realistic contingencies.</w:t>
      </w:r>
    </w:p>
    <w:bookmarkEnd w:id="18"/>
    <w:bookmarkStart w:id="19" w:name="translation-to-outcomes-and-impact"/>
    <w:p>
      <w:pPr>
        <w:pStyle w:val="Heading2"/>
      </w:pPr>
      <w:r>
        <w:t xml:space="preserve">10. Translation to Outcomes and Impact</w:t>
      </w:r>
    </w:p>
    <w:p>
      <w:pPr>
        <w:pStyle w:val="FirstParagraph"/>
      </w:pPr>
      <w:r>
        <w:t xml:space="preserve">The pipeline will be released as a containerised open-source package via Swansea University’s Zenodo community with a DOI (scripts, diagnostics, example workflows and derived feature tables). Three publications: the methodology paper [19] — arXiv in Month 1, journal submission (target:</w:t>
      </w:r>
      <w:r>
        <w:t xml:space="preserve"> </w:t>
      </w:r>
      <w:r>
        <w:rPr>
          <w:i/>
          <w:iCs/>
        </w:rPr>
        <w:t xml:space="preserve">Journal of Applied and Computational Topology</w:t>
      </w:r>
      <w:r>
        <w:t xml:space="preserve">, or comparable venue) in Months 1–2; the football-analytics companion [22], targeting the</w:t>
      </w:r>
      <w:r>
        <w:t xml:space="preserve"> </w:t>
      </w:r>
      <w:r>
        <w:rPr>
          <w:i/>
          <w:iCs/>
        </w:rPr>
        <w:t xml:space="preserve">Journal of Sports Sciences</w:t>
      </w:r>
      <w:r>
        <w:t xml:space="preserve">; and a full-season results paper targeted for Month 11. Practitioner outputs co-developed with Swansea City AFC will translate these into pressing/formation decision-support tools (§5), not automated tactical prescriptions. The Month-12 evidence pack supports the follow-on Standard Grant (§7, O4).</w:t>
      </w:r>
    </w:p>
    <w:bookmarkEnd w:id="19"/>
    <w:bookmarkStart w:id="20" w:name="research-environment"/>
    <w:p>
      <w:pPr>
        <w:pStyle w:val="Heading2"/>
      </w:pPr>
      <w:r>
        <w:t xml:space="preserve">11. Research Environment</w:t>
      </w:r>
    </w:p>
    <w:p>
      <w:pPr>
        <w:pStyle w:val="FirstParagraph"/>
      </w:pPr>
      <w:r>
        <w:t xml:space="preserve">The Zienkiewicz Institute supports method development, high-performance analysis and reusable software. The PI leads the applied-topology framework and season-scale analysis; Professor Gibin Powathil brings mathematical oncology and competitive biological-systems expertise (future health pathway, §5); Professor Liam Kilduff brings sport and exercise science for tactical interpretation and practitioner outputs; Swansea City AFC provides a live co-development setting.</w:t>
      </w:r>
    </w:p>
    <w:bookmarkEnd w:id="20"/>
    <w:bookmarkStart w:id="21" w:name="Xd03c055849bf6460312c91c703351861d2371e3"/>
    <w:p>
      <w:pPr>
        <w:pStyle w:val="Heading2"/>
      </w:pPr>
      <w:r>
        <w:t xml:space="preserve">12. Facilities, Infrastructure and Host Support</w:t>
      </w:r>
    </w:p>
    <w:p>
      <w:pPr>
        <w:pStyle w:val="FirstParagraph"/>
      </w:pPr>
      <w:r>
        <w:t xml:space="preserve">Full-season processing (§9) draws on the PI’s Supercomputing Wales allocation, covering validation batches, production runs, O3 analysis and contingency re-processing. Championship tracking data and formation labels are secured through the Swansea City AFC–StatsBomb agreement. The containerised pipeline (§8) ensures reproducible execution across local and high-performance environments. Swansea University provides host support through the Zienkiewicz Institute, Research Office and partnership infrastructure, including data governance and fast-tracked ethics review for the future in-domain extensions in §5.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2026-08-03T13:24:22Z</dcterms:created>
  <dcterms:modified xsi:type="dcterms:W3CDTF">2026-08-03T13:24:22Z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