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dversarial-tda-toy-model"/>
    <w:p>
      <w:pPr>
        <w:pStyle w:val="Heading1"/>
      </w:pPr>
      <w:r>
        <w:t xml:space="preserve">Adversarial TDA Toy Model</w:t>
      </w:r>
    </w:p>
    <w:p>
      <w:pPr>
        <w:pStyle w:val="FirstParagraph"/>
      </w:pPr>
      <w:r>
        <w:rPr>
          <w:b/>
          <w:bCs/>
        </w:rPr>
        <w:t xml:space="preserve">Mathematical specification, MATLAB implementation guide, and new-chat briefing</w:t>
      </w:r>
    </w:p>
    <w:p>
      <w:pPr>
        <w:pStyle w:val="BodyText"/>
      </w:pPr>
      <w:r>
        <w:t xml:space="preserve">EPSRC Small Grant: Statistical TDA of Competitive Collective Systems | Swansea University | August 2026</w:t>
      </w:r>
    </w:p>
    <w:p>
      <w:r>
        <w:pict>
          <v:rect style="width:0;height:1.5pt" o:hralign="center" o:hrstd="t" o:hr="t"/>
        </w:pict>
      </w:r>
    </w:p>
    <w:bookmarkStart w:id="9" w:name="overview"/>
    <w:p>
      <w:pPr>
        <w:pStyle w:val="Heading2"/>
      </w:pPr>
      <w:r>
        <w:t xml:space="preserve">1. Overview</w:t>
      </w:r>
    </w:p>
    <w:p>
      <w:pPr>
        <w:pStyle w:val="FirstParagraph"/>
      </w:pPr>
      <w:r>
        <w:t xml:space="preserve">This document specifies the Adversarial TDA Toy Model — a controlled, mathematically honest synthetic system designed to illustrate and computationally test the core concepts of the EPSRC Small Grant on statistical topological data analysis (TDA) of competitive collective systems.</w:t>
      </w:r>
    </w:p>
    <w:p>
      <w:pPr>
        <w:pStyle w:val="BodyText"/>
      </w:pPr>
      <w:r>
        <w:t xml:space="preserve">The toy model computes honest versions of the objects it uses: H₀ via the MST, exact Wasserstein distances on diagrams, the W₂ Fréchet mean, and a Page CUSUM. It is a</w:t>
      </w:r>
      <w:r>
        <w:t xml:space="preserve"> </w:t>
      </w:r>
      <w:r>
        <w:rPr>
          <w:b/>
          <w:bCs/>
        </w:rPr>
        <w:t xml:space="preserve">proof-of-principle analogue</w:t>
      </w:r>
      <w:r>
        <w:t xml:space="preserve"> </w:t>
      </w:r>
      <w:r>
        <w:t xml:space="preserve">of Theorems T1 and T2, not a substitute for them. The Vision and Approach states T1 and T2 for</w:t>
      </w:r>
      <w:r>
        <w:t xml:space="preserve"> </w:t>
      </w:r>
      <w:r>
        <w:rPr>
          <w:b/>
          <w:bCs/>
        </w:rPr>
        <w:t xml:space="preserve">persistence landscapes</w:t>
      </w:r>
      <w:r>
        <w:t xml:space="preserve"> </w:t>
      </w:r>
      <w:r>
        <w:t xml:space="preserve">(Bubenik; Chazal et al.): T1 is uniqueness of a mean path in landscape space, T2 is a Wasserstein-stability bound for landscape-valued CUSUM. The toy model works with</w:t>
      </w:r>
      <w:r>
        <w:t xml:space="preserve"> </w:t>
      </w:r>
      <w:r>
        <w:rPr>
          <w:b/>
          <w:bCs/>
        </w:rPr>
        <w:t xml:space="preserve">H₀ persistence diagrams</w:t>
      </w:r>
      <w:r>
        <w:t xml:space="preserve"> </w:t>
      </w:r>
      <w:r>
        <w:t xml:space="preserve">and</w:t>
      </w:r>
      <w:r>
        <w:t xml:space="preserve"> </w:t>
      </w:r>
      <w:r>
        <w:rPr>
          <w:b/>
          <w:bCs/>
        </w:rPr>
        <w:t xml:space="preserve">diagram W₁/W₂</w:t>
      </w:r>
      <w:r>
        <w:t xml:space="preserve">, which are related but different statistics. Diagram W₁ is the V&amp;A fallback (R3) if the landscape argument is intractable. The</w:t>
      </w:r>
      <w:r>
        <w:t xml:space="preserve"> </w:t>
      </w:r>
      <w:r>
        <w:t xml:space="preserve">“toy”</w:t>
      </w:r>
      <w:r>
        <w:t xml:space="preserve"> </w:t>
      </w:r>
      <w:r>
        <w:t xml:space="preserve">designation refers to the synthetic, ground-truth setting.</w:t>
      </w:r>
    </w:p>
    <w:p>
      <w:pPr>
        <w:pStyle w:val="BodyText"/>
      </w:pPr>
      <w:r>
        <w:t xml:space="preserve">The model has four primary purposes:</w:t>
      </w:r>
    </w:p>
    <w:p>
      <w:pPr>
        <w:pStyle w:val="Compact"/>
        <w:numPr>
          <w:ilvl w:val="0"/>
          <w:numId w:val="1001"/>
        </w:numPr>
      </w:pPr>
      <w:r>
        <w:t xml:space="preserve">Proof-of-principle</w:t>
      </w:r>
      <w:r>
        <w:t xml:space="preserve"> </w:t>
      </w:r>
      <w:r>
        <w:rPr>
          <w:b/>
          <w:bCs/>
        </w:rPr>
        <w:t xml:space="preserve">analogue</w:t>
      </w:r>
      <w:r>
        <w:t xml:space="preserve"> </w:t>
      </w:r>
      <w:r>
        <w:t xml:space="preserve">of Theorems T1 and T2 (diagram W₁/W₂, not landscape-valued) in a setting where ground truth is known</w:t>
      </w:r>
    </w:p>
    <w:p>
      <w:pPr>
        <w:pStyle w:val="Compact"/>
        <w:numPr>
          <w:ilvl w:val="0"/>
          <w:numId w:val="1001"/>
        </w:numPr>
      </w:pPr>
      <w:r>
        <w:t xml:space="preserve">Visualisation of key mathematical concepts (multi-scale hierarchy, scale-specific adversarial coupling, phase transitions) for grant reviewers and academic presentations</w:t>
      </w:r>
    </w:p>
    <w:p>
      <w:pPr>
        <w:pStyle w:val="Compact"/>
        <w:numPr>
          <w:ilvl w:val="0"/>
          <w:numId w:val="1001"/>
        </w:numPr>
      </w:pPr>
      <w:r>
        <w:t xml:space="preserve">Domain-generalisation illustration: the same framework operating across football, tumour–immune competition, predator–prey ecology, and autonomous systems</w:t>
      </w:r>
    </w:p>
    <w:p>
      <w:pPr>
        <w:pStyle w:val="Compact"/>
        <w:numPr>
          <w:ilvl w:val="0"/>
          <w:numId w:val="1001"/>
        </w:numPr>
      </w:pPr>
      <w:r>
        <w:t xml:space="preserve">Starting point for a MATLAB interactive application and future theoretical extensions</w:t>
      </w:r>
    </w:p>
    <w:p>
      <w:pPr>
        <w:pStyle w:val="FirstParagraph"/>
      </w:pPr>
      <w:r>
        <w:rPr>
          <w:b/>
          <w:bCs/>
        </w:rPr>
        <w:t xml:space="preserve">Implementation files:</w:t>
      </w:r>
      <w:r>
        <w:t xml:space="preserve"> </w:t>
      </w:r>
      <w:r>
        <w:rPr>
          <w:rStyle w:val="VerbatimChar"/>
        </w:rPr>
        <w:t xml:space="preserve">adversarial_tda.m</w:t>
      </w:r>
      <w:r>
        <w:t xml:space="preserve"> </w:t>
      </w:r>
      <w:r>
        <w:t xml:space="preserve">(figures 1–9);</w:t>
      </w:r>
      <w:r>
        <w:t xml:space="preserve"> </w:t>
      </w:r>
      <w:r>
        <w:rPr>
          <w:rStyle w:val="VerbatimChar"/>
        </w:rPr>
        <w:t xml:space="preserve">gtppf_switching.py</w:t>
      </w:r>
      <w:r>
        <w:t xml:space="preserve"> </w:t>
      </w:r>
      <w:r>
        <w:t xml:space="preserve">(figure 10). This markdown file is the source of truth;</w:t>
      </w:r>
      <w:r>
        <w:t xml:space="preserve"> </w:t>
      </w:r>
      <w:r>
        <w:rPr>
          <w:rStyle w:val="VerbatimChar"/>
        </w:rPr>
        <w:t xml:space="preserve">AdversarialTDA_Specification.docx</w:t>
      </w:r>
      <w:r>
        <w:t xml:space="preserve"> </w:t>
      </w:r>
      <w:r>
        <w:t xml:space="preserve">is generated from it.</w:t>
      </w:r>
    </w:p>
    <w:p>
      <w:r>
        <w:pict>
          <v:rect style="width:0;height:1.5pt" o:hralign="center" o:hrstd="t" o:hr="t"/>
        </w:pict>
      </w:r>
    </w:p>
    <w:bookmarkEnd w:id="9"/>
    <w:bookmarkStart w:id="20" w:name="mathematical-framework"/>
    <w:p>
      <w:pPr>
        <w:pStyle w:val="Heading2"/>
      </w:pPr>
      <w:r>
        <w:t xml:space="preserve">2. Mathematical framework</w:t>
      </w:r>
    </w:p>
    <w:bookmarkStart w:id="10" w:name="system-definition"/>
    <w:p>
      <w:pPr>
        <w:pStyle w:val="Heading3"/>
      </w:pPr>
      <w:r>
        <w:t xml:space="preserve">2.1 System definition</w:t>
      </w:r>
    </w:p>
    <w:p>
      <w:pPr>
        <w:pStyle w:val="FirstParagraph"/>
      </w:pPr>
      <w:r>
        <w:t xml:space="preserve">The system consists of two competing point clouds in a bounded rectangular domain Ω = [0, 120] × [0, 80] (virtual units, matching a standard football pitch).</w:t>
      </w:r>
    </w:p>
    <w:p>
      <w:pPr>
        <w:pStyle w:val="Compact"/>
        <w:numPr>
          <w:ilvl w:val="0"/>
          <w:numId w:val="1002"/>
        </w:numPr>
      </w:pPr>
      <w:r>
        <w:rPr>
          <w:b/>
          <w:bCs/>
        </w:rPr>
        <w:t xml:space="preserve">Agent set A (System A):</w:t>
      </w:r>
      <w:r>
        <w:t xml:space="preserve"> </w:t>
      </w:r>
      <w:r>
        <w:t xml:space="preserve">N_A = 12 agents with positions {x_i^A} ⊂ Ω</w:t>
      </w:r>
    </w:p>
    <w:p>
      <w:pPr>
        <w:pStyle w:val="Compact"/>
        <w:numPr>
          <w:ilvl w:val="0"/>
          <w:numId w:val="1002"/>
        </w:numPr>
      </w:pPr>
      <w:r>
        <w:rPr>
          <w:b/>
          <w:bCs/>
        </w:rPr>
        <w:t xml:space="preserve">Agent set B (System B):</w:t>
      </w:r>
      <w:r>
        <w:t xml:space="preserve"> </w:t>
      </w:r>
      <w:r>
        <w:t xml:space="preserve">N_B = 12 agents with positions {x_i^B} ⊂ Ω</w:t>
      </w:r>
    </w:p>
    <w:p>
      <w:pPr>
        <w:pStyle w:val="FirstParagraph"/>
      </w:pPr>
      <w:r>
        <w:t xml:space="preserve">Both sets are organised in a three-level ultrametric hierarchy:</w:t>
      </w:r>
    </w:p>
    <w:tbl>
      <w:tblPr>
        <w:tblStyle w:val="Table"/>
        <w:tblW w:type="pct" w:w="5000"/>
        <w:tblLayout w:type="fixed"/>
        <w:tblLook w:firstRow="1" w:lastRow="0" w:firstColumn="0" w:lastColumn="0" w:noHBand="0" w:noVBand="0" w:val="0020"/>
      </w:tblPr>
      <w:tblGrid>
        <w:gridCol w:w="1421"/>
        <w:gridCol w:w="2233"/>
        <w:gridCol w:w="4264"/>
      </w:tblGrid>
      <w:tr>
        <w:trPr>
          <w:tblHeader w:val="on"/>
        </w:trPr>
        <w:tc>
          <w:tcPr/>
          <w:p>
            <w:pPr>
              <w:pStyle w:val="Compact"/>
            </w:pPr>
            <w:r>
              <w:t xml:space="preserve">Level</w:t>
            </w:r>
          </w:p>
        </w:tc>
        <w:tc>
          <w:tcPr/>
          <w:p>
            <w:pPr>
              <w:pStyle w:val="Compact"/>
            </w:pPr>
            <w:r>
              <w:t xml:space="preserve">Structure</w:t>
            </w:r>
          </w:p>
        </w:tc>
        <w:tc>
          <w:tcPr/>
          <w:p>
            <w:pPr>
              <w:pStyle w:val="Compact"/>
            </w:pPr>
            <w:r>
              <w:t xml:space="preserve">Typical death scale</w:t>
            </w:r>
          </w:p>
        </w:tc>
      </w:tr>
      <w:tr>
        <w:tc>
          <w:tcPr/>
          <w:p>
            <w:pPr>
              <w:pStyle w:val="Compact"/>
            </w:pPr>
            <w:r>
              <w:t xml:space="preserve">1 (Local)</w:t>
            </w:r>
          </w:p>
        </w:tc>
        <w:tc>
          <w:tcPr/>
          <w:p>
            <w:pPr>
              <w:pStyle w:val="Compact"/>
            </w:pPr>
            <w:r>
              <w:t xml:space="preserve">4 clusters × 3 agents</w:t>
            </w:r>
          </w:p>
        </w:tc>
        <w:tc>
          <w:tcPr/>
          <w:p>
            <w:pPr>
              <w:pStyle w:val="Compact"/>
            </w:pPr>
            <w:r>
              <w:t xml:space="preserve">≈ 4.0–4.03</w:t>
            </w:r>
          </w:p>
        </w:tc>
      </w:tr>
      <w:tr>
        <w:tc>
          <w:tcPr/>
          <w:p>
            <w:pPr>
              <w:pStyle w:val="Compact"/>
            </w:pPr>
            <w:r>
              <w:t xml:space="preserve">2 (Tactical)</w:t>
            </w:r>
          </w:p>
        </w:tc>
        <w:tc>
          <w:tcPr/>
          <w:p>
            <w:pPr>
              <w:pStyle w:val="Compact"/>
            </w:pPr>
            <w:r>
              <w:t xml:space="preserve">2 formations × 2 clusters</w:t>
            </w:r>
          </w:p>
        </w:tc>
        <w:tc>
          <w:tcPr/>
          <w:p>
            <w:pPr>
              <w:pStyle w:val="Compact"/>
            </w:pPr>
            <w:r>
              <w:t xml:space="preserve">≈ 12.7–32.6 (configuration-dependent)</w:t>
            </w:r>
          </w:p>
        </w:tc>
      </w:tr>
      <w:tr>
        <w:tc>
          <w:tcPr/>
          <w:p>
            <w:pPr>
              <w:pStyle w:val="Compact"/>
            </w:pPr>
            <w:r>
              <w:t xml:space="preserve">3 (Global)</w:t>
            </w:r>
          </w:p>
        </w:tc>
        <w:tc>
          <w:tcPr/>
          <w:p>
            <w:pPr>
              <w:pStyle w:val="Compact"/>
            </w:pPr>
            <w:r>
              <w:t xml:space="preserve">1 team</w:t>
            </w:r>
          </w:p>
        </w:tc>
        <w:tc>
          <w:tcPr/>
          <w:p>
            <w:pPr>
              <w:pStyle w:val="Compact"/>
            </w:pPr>
            <w:r>
              <w:t xml:space="preserve">≈ 12.7–60.0 (configuration-dependent)</w:t>
            </w:r>
          </w:p>
        </w:tc>
      </w:tr>
    </w:tbl>
    <w:p>
      <w:pPr>
        <w:pStyle w:val="BodyText"/>
      </w:pPr>
      <w:r>
        <w:t xml:space="preserve">Within-cluster max distance is ≈ 4.03 units for the standard triangle cluster template.</w:t>
      </w:r>
    </w:p>
    <w:bookmarkEnd w:id="10"/>
    <w:bookmarkStart w:id="11" w:name="cluster-generation"/>
    <w:p>
      <w:pPr>
        <w:pStyle w:val="Heading3"/>
      </w:pPr>
      <w:r>
        <w:t xml:space="preserve">2.2 Cluster generation</w:t>
      </w:r>
    </w:p>
    <w:p>
      <w:pPr>
        <w:pStyle w:val="FirstParagraph"/>
      </w:pPr>
      <w:r>
        <w:t xml:space="preserve">Each cluster of 3 agents is generated around a centre (c_x, c_y) with radius r = 2.0:</w:t>
      </w:r>
    </w:p>
    <w:p>
      <w:pPr>
        <w:pStyle w:val="SourceCode"/>
      </w:pPr>
      <w:r>
        <w:rPr>
          <w:rStyle w:val="VerbatimChar"/>
        </w:rPr>
        <w:t xml:space="preserve">agent_1 = (c_x,     c_y - r × 1.1)</w:t>
      </w:r>
      <w:r>
        <w:br/>
      </w:r>
      <w:r>
        <w:rPr>
          <w:rStyle w:val="VerbatimChar"/>
        </w:rPr>
        <w:t xml:space="preserve">agent_2 = (c_x - r, c_y + r × 0.65)</w:t>
      </w:r>
      <w:r>
        <w:br/>
      </w:r>
      <w:r>
        <w:rPr>
          <w:rStyle w:val="VerbatimChar"/>
        </w:rPr>
        <w:t xml:space="preserve">agent_3 = (c_x + r, c_y + r × 0.65)</w:t>
      </w:r>
    </w:p>
    <w:p>
      <w:pPr>
        <w:pStyle w:val="FirstParagraph"/>
      </w:pPr>
      <w:r>
        <w:t xml:space="preserve">This triangle arrangement gives max within-cluster distance ≈ 4.03 units (two sides of length 4.03, one of length 4.00). Because the triangle is not perfectly symmetric under the MST, the eight local deaths split into four at 4.00 and four at 4.03 — this is expected and reproducible.</w:t>
      </w:r>
    </w:p>
    <w:bookmarkEnd w:id="11"/>
    <w:bookmarkStart w:id="12" w:name="h₀-persistent-homology"/>
    <w:p>
      <w:pPr>
        <w:pStyle w:val="Heading3"/>
      </w:pPr>
      <w:r>
        <w:t xml:space="preserve">2.3 H₀ persistent homology</w:t>
      </w:r>
    </w:p>
    <w:p>
      <w:pPr>
        <w:pStyle w:val="FirstParagraph"/>
      </w:pPr>
      <w:r>
        <w:t xml:space="preserve">H₀ persistent homology is computed via the minimum spanning tree (MST). This is exact for H₀ on finite metric spaces — the MST edge weights are precisely the Vietoris–Rips H₀ death times (Carlsson–Mémoli correspondence).</w:t>
      </w:r>
    </w:p>
    <w:p>
      <w:pPr>
        <w:pStyle w:val="BodyText"/>
      </w:pPr>
      <w:r>
        <w:rPr>
          <w:b/>
          <w:bCs/>
        </w:rPr>
        <w:t xml:space="preserve">Algorithm (Prim MST):</w:t>
      </w:r>
    </w:p>
    <w:p>
      <w:pPr>
        <w:pStyle w:val="Compact"/>
        <w:numPr>
          <w:ilvl w:val="0"/>
          <w:numId w:val="1003"/>
        </w:numPr>
      </w:pPr>
      <w:r>
        <w:t xml:space="preserve">Compute all pairwise Euclidean distances D_{ij} between the N agents</w:t>
      </w:r>
    </w:p>
    <w:p>
      <w:pPr>
        <w:pStyle w:val="Compact"/>
        <w:numPr>
          <w:ilvl w:val="0"/>
          <w:numId w:val="1003"/>
        </w:numPr>
      </w:pPr>
      <w:r>
        <w:t xml:space="preserve">Find the minimum spanning tree T</w:t>
      </w:r>
    </w:p>
    <w:p>
      <w:pPr>
        <w:pStyle w:val="Compact"/>
        <w:numPr>
          <w:ilvl w:val="0"/>
          <w:numId w:val="1003"/>
        </w:numPr>
      </w:pPr>
      <w:r>
        <w:t xml:space="preserve">The N−1 edge weights of T, sorted ascending, are the H₀ death times</w:t>
      </w:r>
    </w:p>
    <w:p>
      <w:pPr>
        <w:pStyle w:val="Compact"/>
        <w:numPr>
          <w:ilvl w:val="0"/>
          <w:numId w:val="1003"/>
        </w:numPr>
      </w:pPr>
      <w:r>
        <w:t xml:space="preserve">One component survives to infinity; its death is excluded from finite analysis</w:t>
      </w:r>
    </w:p>
    <w:p>
      <w:pPr>
        <w:pStyle w:val="FirstParagraph"/>
      </w:pPr>
      <w:r>
        <w:t xml:space="preserve">For N = 12 agents: 11 finite H₀ death times distributed across three gap scales (8 local, 2 tactical, 1 global).</w:t>
      </w:r>
    </w:p>
    <w:p>
      <w:pPr>
        <w:pStyle w:val="BodyText"/>
      </w:pPr>
      <w:r>
        <w:rPr>
          <w:b/>
          <w:bCs/>
        </w:rPr>
        <w:t xml:space="preserve">H₁ persistent homology (Figure 9 only):</w:t>
      </w:r>
      <w:r>
        <w:t xml:space="preserve"> </w:t>
      </w:r>
      <w:r>
        <w:t xml:space="preserve">computed by GF(2) reduction of the Vietoris–Rips 1-boundary matrix (</w:t>
      </w:r>
      <w:r>
        <w:rPr>
          <w:rStyle w:val="VerbatimChar"/>
        </w:rPr>
        <w:t xml:space="preserve">vr_persistence</w:t>
      </w:r>
      <w:r>
        <w:t xml:space="preserve">). Used for the encirclement figure; not required for the main H₀ narrative.</w:t>
      </w:r>
    </w:p>
    <w:bookmarkEnd w:id="12"/>
    <w:bookmarkStart w:id="13" w:name="wasserstein-distance"/>
    <w:p>
      <w:pPr>
        <w:pStyle w:val="Heading3"/>
      </w:pPr>
      <w:r>
        <w:t xml:space="preserve">2.4 Wasserstein distance</w:t>
      </w:r>
    </w:p>
    <w:p>
      <w:pPr>
        <w:pStyle w:val="FirstParagraph"/>
      </w:pPr>
      <w:r>
        <w:t xml:space="preserve">For H₀ diagrams with all births equal to 0, W_p reduces to optimal transport on the real line. Points may be matched to the diagonal at cost |death|/p (half the death value for p = 1).</w:t>
      </w:r>
    </w:p>
    <w:p>
      <w:pPr>
        <w:pStyle w:val="BodyText"/>
      </w:pPr>
      <w:r>
        <w:t xml:space="preserve">The implementation solves the</w:t>
      </w:r>
      <w:r>
        <w:t xml:space="preserve"> </w:t>
      </w:r>
      <w:r>
        <w:rPr>
          <w:b/>
          <w:bCs/>
        </w:rPr>
        <w:t xml:space="preserve">exact</w:t>
      </w:r>
      <w:r>
        <w:t xml:space="preserve"> </w:t>
      </w:r>
      <w:r>
        <w:t xml:space="preserve">assignment problem via</w:t>
      </w:r>
      <w:r>
        <w:t xml:space="preserve"> </w:t>
      </w:r>
      <w:r>
        <w:rPr>
          <w:rStyle w:val="VerbatimChar"/>
        </w:rPr>
        <w:t xml:space="preserve">matchpairs</w:t>
      </w:r>
      <w:r>
        <w:t xml:space="preserve"> </w:t>
      </w:r>
      <w:r>
        <w:t xml:space="preserve">(MATLAB R2019a+):</w:t>
      </w:r>
    </w:p>
    <w:p>
      <w:pPr>
        <w:pStyle w:val="Compact"/>
        <w:numPr>
          <w:ilvl w:val="0"/>
          <w:numId w:val="1004"/>
        </w:numPr>
      </w:pPr>
      <w:r>
        <w:t xml:space="preserve">Build a cost matrix between all diagram points and diagonal slots</w:t>
      </w:r>
    </w:p>
    <w:p>
      <w:pPr>
        <w:pStyle w:val="Compact"/>
        <w:numPr>
          <w:ilvl w:val="0"/>
          <w:numId w:val="1004"/>
        </w:numPr>
      </w:pPr>
      <w:r>
        <w:t xml:space="preserve">Solve minimum-cost perfect matching on the augmented problem</w:t>
      </w:r>
    </w:p>
    <w:p>
      <w:pPr>
        <w:pStyle w:val="Compact"/>
        <w:numPr>
          <w:ilvl w:val="0"/>
          <w:numId w:val="1004"/>
        </w:numPr>
      </w:pPr>
      <w:r>
        <w:t xml:space="preserve">Handle unequal cardinalities (e.g. after a red card) without approximation</w:t>
      </w:r>
    </w:p>
    <w:p>
      <w:pPr>
        <w:pStyle w:val="FirstParagraph"/>
      </w:pPr>
      <w:r>
        <w:rPr>
          <w:b/>
          <w:bCs/>
        </w:rPr>
        <w:t xml:space="preserve">Do not</w:t>
      </w:r>
      <w:r>
        <w:t xml:space="preserve"> </w:t>
      </w:r>
      <w:r>
        <w:t xml:space="preserve">use naive sorted matching: for (A_WIDE, A_NARROW) sorted matching gives 87.15, whereas exact W₁ = 76.13.</w:t>
      </w:r>
    </w:p>
    <w:p>
      <w:pPr>
        <w:pStyle w:val="BodyText"/>
      </w:pPr>
      <w:r>
        <w:rPr>
          <w:b/>
          <w:bCs/>
        </w:rPr>
        <w:t xml:space="preserve">Stability:</w:t>
      </w:r>
      <w:r>
        <w:t xml:space="preserve"> </w:t>
      </w:r>
      <w:r>
        <w:t xml:space="preserve">Cohen–Steiner et al. (2007). A perturbation of agent positions by ε changes death values by at most ε, so W₁(D, D_perturbed) ≤ 11ε for 12 agents.</w:t>
      </w:r>
    </w:p>
    <w:bookmarkEnd w:id="13"/>
    <w:bookmarkStart w:id="14" w:name="fréchet-mean-t1-analogue"/>
    <w:p>
      <w:pPr>
        <w:pStyle w:val="Heading3"/>
      </w:pPr>
      <w:r>
        <w:t xml:space="preserve">2.5 Fréchet mean (T1 analogue)</w:t>
      </w:r>
    </w:p>
    <w:p>
      <w:pPr>
        <w:pStyle w:val="FirstParagraph"/>
      </w:pPr>
      <w:r>
        <w:t xml:space="preserve">Following Turner et al. (2014), the Fréchet mean of persistence diagrams is defined with respect to</w:t>
      </w:r>
      <w:r>
        <w:t xml:space="preserve"> </w:t>
      </w:r>
      <w:r>
        <w:rPr>
          <w:b/>
          <w:bCs/>
        </w:rPr>
        <w:t xml:space="preserve">W₂</w:t>
      </w:r>
      <w:r>
        <w:t xml:space="preserve">, not W₁. For equal-cardinality H₀ diagrams with all births at 0, and when the optimal matching never uses the diagonal, the W₂ barycentre is the componentwise mean of sorted death times:</w:t>
      </w:r>
    </w:p>
    <w:p>
      <w:pPr>
        <w:pStyle w:val="SourceCode"/>
      </w:pPr>
      <w:r>
        <w:rPr>
          <w:rStyle w:val="VerbatimChar"/>
        </w:rPr>
        <w:t xml:space="preserve">μ[k] = (1/n) Σ_i sort(D_i)[k]   for k = 1, …, K</w:t>
      </w:r>
    </w:p>
    <w:p>
      <w:pPr>
        <w:pStyle w:val="FirstParagraph"/>
      </w:pPr>
      <w:r>
        <w:t xml:space="preserve">That formula is</w:t>
      </w:r>
      <w:r>
        <w:t xml:space="preserve"> </w:t>
      </w:r>
      <w:r>
        <w:rPr>
          <w:b/>
          <w:bCs/>
        </w:rPr>
        <w:t xml:space="preserve">exact for the W₂ Fréchet functional</w:t>
      </w:r>
      <w:r>
        <w:t xml:space="preserve">. It is</w:t>
      </w:r>
      <w:r>
        <w:t xml:space="preserve"> </w:t>
      </w:r>
      <w:r>
        <w:rPr>
          <w:b/>
          <w:bCs/>
        </w:rPr>
        <w:t xml:space="preserve">not</w:t>
      </w:r>
      <w:r>
        <w:t xml:space="preserve"> </w:t>
      </w:r>
      <w:r>
        <w:t xml:space="preserve">the minimiser of E[W₁(D_i, μ)²]; an adversarial four-diagram example puts a substantial gap between the two, and even in the toy model’s low-noise sliding window the W₁ gap is a few per cent. Dispersion is therefore measured in W₂:</w:t>
      </w:r>
    </w:p>
    <w:p>
      <w:pPr>
        <w:pStyle w:val="SourceCode"/>
      </w:pPr>
      <w:r>
        <w:rPr>
          <w:rStyle w:val="VerbatimChar"/>
        </w:rPr>
        <w:t xml:space="preserve">σ²_F = (1/n) Σ_i W₂(D_i, μ)²</w:t>
      </w:r>
    </w:p>
    <w:p>
      <w:pPr>
        <w:pStyle w:val="FirstParagraph"/>
      </w:pPr>
      <w:r>
        <w:t xml:space="preserve">T1 analogue (diagrams, not landscapes): μ is stable in each steady-state phase (low σ²_F), shifts at the transition, and recovers. The bounded domain (diameter ≈ 144 units) makes all deaths finite, converting T1’s integrability hypothesis into a geometric fact. The V&amp;A theorem is uniqueness of a</w:t>
      </w:r>
      <w:r>
        <w:t xml:space="preserve"> </w:t>
      </w:r>
      <w:r>
        <w:rPr>
          <w:b/>
          <w:bCs/>
        </w:rPr>
        <w:t xml:space="preserve">landscape-valued</w:t>
      </w:r>
      <w:r>
        <w:t xml:space="preserve"> </w:t>
      </w:r>
      <w:r>
        <w:t xml:space="preserve">mean path; this toy computation is the diagram-valued counterpart.</w:t>
      </w:r>
    </w:p>
    <w:bookmarkEnd w:id="14"/>
    <w:bookmarkStart w:id="15" w:name="adversarial-dynamics"/>
    <w:p>
      <w:pPr>
        <w:pStyle w:val="Heading3"/>
      </w:pPr>
      <w:r>
        <w:t xml:space="preserve">2.6 Adversarial dynamics</w:t>
      </w:r>
    </w:p>
    <w:p>
      <w:pPr>
        <w:pStyle w:val="FirstParagraph"/>
      </w:pPr>
      <w:r>
        <w:t xml:space="preserve">The time series model (t = 0 to 100) has three phases:</w:t>
      </w:r>
    </w:p>
    <w:tbl>
      <w:tblPr>
        <w:tblStyle w:val="Table"/>
        <w:tblW w:type="pct" w:w="5000"/>
        <w:tblLayout w:type="fixed"/>
        <w:tblLook w:firstRow="1" w:lastRow="0" w:firstColumn="0" w:lastColumn="0" w:noHBand="0" w:noVBand="0" w:val="0020"/>
      </w:tblPr>
      <w:tblGrid>
        <w:gridCol w:w="1911"/>
        <w:gridCol w:w="1638"/>
        <w:gridCol w:w="2184"/>
        <w:gridCol w:w="2184"/>
      </w:tblGrid>
      <w:tr>
        <w:trPr>
          <w:tblHeader w:val="on"/>
        </w:trPr>
        <w:tc>
          <w:tcPr/>
          <w:p>
            <w:pPr>
              <w:pStyle w:val="Compact"/>
            </w:pPr>
            <w:r>
              <w:t xml:space="preserve">Phase</w:t>
            </w:r>
          </w:p>
        </w:tc>
        <w:tc>
          <w:tcPr/>
          <w:p>
            <w:pPr>
              <w:pStyle w:val="Compact"/>
            </w:pPr>
            <w:r>
              <w:t xml:space="preserve">Time</w:t>
            </w:r>
          </w:p>
        </w:tc>
        <w:tc>
          <w:tcPr/>
          <w:p>
            <w:pPr>
              <w:pStyle w:val="Compact"/>
            </w:pPr>
            <w:r>
              <w:t xml:space="preserve">Team A</w:t>
            </w:r>
          </w:p>
        </w:tc>
        <w:tc>
          <w:tcPr/>
          <w:p>
            <w:pPr>
              <w:pStyle w:val="Compact"/>
            </w:pPr>
            <w:r>
              <w:t xml:space="preserve">Team B</w:t>
            </w:r>
          </w:p>
        </w:tc>
      </w:tr>
      <w:tr>
        <w:tc>
          <w:tcPr/>
          <w:p>
            <w:pPr>
              <w:pStyle w:val="Compact"/>
            </w:pPr>
            <w:r>
              <w:t xml:space="preserve">Pre-transition</w:t>
            </w:r>
          </w:p>
        </w:tc>
        <w:tc>
          <w:tcPr/>
          <w:p>
            <w:pPr>
              <w:pStyle w:val="Compact"/>
            </w:pPr>
            <w:r>
              <w:t xml:space="preserve">t &lt; 50</w:t>
            </w:r>
          </w:p>
        </w:tc>
        <w:tc>
          <w:tcPr/>
          <w:p>
            <w:pPr>
              <w:pStyle w:val="Compact"/>
            </w:pPr>
            <w:r>
              <w:t xml:space="preserve">A_WIDE</w:t>
            </w:r>
          </w:p>
        </w:tc>
        <w:tc>
          <w:tcPr/>
          <w:p>
            <w:pPr>
              <w:pStyle w:val="Compact"/>
            </w:pPr>
            <w:r>
              <w:t xml:space="preserve">B_PRESS</w:t>
            </w:r>
          </w:p>
        </w:tc>
      </w:tr>
      <w:tr>
        <w:tc>
          <w:tcPr/>
          <w:p>
            <w:pPr>
              <w:pStyle w:val="Compact"/>
            </w:pPr>
            <w:r>
              <w:t xml:space="preserve">Transition</w:t>
            </w:r>
          </w:p>
        </w:tc>
        <w:tc>
          <w:tcPr/>
          <w:p>
            <w:pPr>
              <w:pStyle w:val="Compact"/>
            </w:pPr>
            <w:r>
              <w:t xml:space="preserve">50 ≤ t &lt; 56</w:t>
            </w:r>
          </w:p>
        </w:tc>
        <w:tc>
          <w:tcPr/>
          <w:p>
            <w:pPr>
              <w:pStyle w:val="Compact"/>
            </w:pPr>
            <w:r>
              <w:t xml:space="preserve">A_WIDE → A_NARROW (smoothstep)</w:t>
            </w:r>
          </w:p>
        </w:tc>
        <w:tc>
          <w:tcPr/>
          <w:p>
            <w:pPr>
              <w:pStyle w:val="Compact"/>
            </w:pPr>
            <w:r>
              <w:t xml:space="preserve">B_PRESS → B_SPREAD</w:t>
            </w:r>
          </w:p>
        </w:tc>
      </w:tr>
      <w:tr>
        <w:tc>
          <w:tcPr/>
          <w:p>
            <w:pPr>
              <w:pStyle w:val="Compact"/>
            </w:pPr>
            <w:r>
              <w:t xml:space="preserve">Post-transition</w:t>
            </w:r>
          </w:p>
        </w:tc>
        <w:tc>
          <w:tcPr/>
          <w:p>
            <w:pPr>
              <w:pStyle w:val="Compact"/>
            </w:pPr>
            <w:r>
              <w:t xml:space="preserve">t ≥ 56</w:t>
            </w:r>
          </w:p>
        </w:tc>
        <w:tc>
          <w:tcPr/>
          <w:p>
            <w:pPr>
              <w:pStyle w:val="Compact"/>
            </w:pPr>
            <w:r>
              <w:t xml:space="preserve">A_NARROW</w:t>
            </w:r>
          </w:p>
        </w:tc>
        <w:tc>
          <w:tcPr/>
          <w:p>
            <w:pPr>
              <w:pStyle w:val="Compact"/>
            </w:pPr>
            <w:r>
              <w:t xml:space="preserve">B_SPREAD</w:t>
            </w:r>
          </w:p>
        </w:tc>
      </w:tr>
    </w:tbl>
    <w:p>
      <w:pPr>
        <w:pStyle w:val="BodyText"/>
      </w:pPr>
      <w:r>
        <w:t xml:space="preserve">Smoothstep easing: e(t) = ((t−50)/6)² × (3 − 2×(t−50)/6) ensures C² continuity.</w:t>
      </w:r>
    </w:p>
    <w:p>
      <w:pPr>
        <w:pStyle w:val="BodyText"/>
      </w:pPr>
      <w:r>
        <w:rPr>
          <w:b/>
          <w:bCs/>
        </w:rPr>
        <w:t xml:space="preserve">Noise:</w:t>
      </w:r>
      <w:r>
        <w:t xml:space="preserve"> </w:t>
      </w:r>
      <w:r>
        <w:t xml:space="preserve">Gaussian N(0, σ²) with σ = 1.5, applied per frame via</w:t>
      </w:r>
      <w:r>
        <w:t xml:space="preserve"> </w:t>
      </w:r>
      <w:r>
        <w:rPr>
          <w:rStyle w:val="VerbatimChar"/>
        </w:rPr>
        <w:t xml:space="preserve">RandStream('twister','Seed', t×31+7)</w:t>
      </w:r>
      <w:r>
        <w:t xml:space="preserve">.</w:t>
      </w:r>
    </w:p>
    <w:bookmarkEnd w:id="15"/>
    <w:bookmarkStart w:id="16" w:name="cusum-change-point-detection-t2-analogue"/>
    <w:p>
      <w:pPr>
        <w:pStyle w:val="Heading3"/>
      </w:pPr>
      <w:r>
        <w:t xml:space="preserve">2.7 CUSUM change-point detection (T2 analogue)</w:t>
      </w:r>
    </w:p>
    <w:p>
      <w:pPr>
        <w:pStyle w:val="FirstParagraph"/>
      </w:pPr>
      <w:r>
        <w:t xml:space="preserve">Page (1954) CUSUM on the</w:t>
      </w:r>
      <w:r>
        <w:t xml:space="preserve"> </w:t>
      </w:r>
      <w:r>
        <w:rPr>
          <w:b/>
          <w:bCs/>
        </w:rPr>
        <w:t xml:space="preserve">diagram</w:t>
      </w:r>
      <w:r>
        <w:t xml:space="preserve"> </w:t>
      </w:r>
      <w:r>
        <w:t xml:space="preserve">W₁ distance between consecutive frames — the V&amp;A fallback statistic (R3), not the landscape-valued CUSUM of T2 as stated:</w:t>
      </w:r>
    </w:p>
    <w:p>
      <w:pPr>
        <w:pStyle w:val="SourceCode"/>
      </w:pPr>
      <w:r>
        <w:rPr>
          <w:rStyle w:val="VerbatimChar"/>
        </w:rPr>
        <w:t xml:space="preserve">C(t) = max(0, C(t−1) + W₁(t) − κ)</w:t>
      </w:r>
    </w:p>
    <w:p>
      <w:pPr>
        <w:pStyle w:val="FirstParagraph"/>
      </w:pPr>
      <w:r>
        <w:rPr>
          <w:b/>
          <w:bCs/>
        </w:rPr>
        <w:t xml:space="preserve">Calibration (revised August 2026):</w:t>
      </w:r>
      <w:r>
        <w:t xml:space="preserve"> </w:t>
      </w:r>
      <w:r>
        <w:t xml:space="preserve">thresholds are no longer ad hoc. The decision interval h is calibrated by Monte Carlo on</w:t>
      </w:r>
      <w:r>
        <w:t xml:space="preserve"> </w:t>
      </w:r>
      <w:r>
        <w:rPr>
          <w:b/>
          <w:bCs/>
        </w:rPr>
        <w:t xml:space="preserve">independent in-control realisations</w:t>
      </w:r>
      <w:r>
        <w:t xml:space="preserve"> </w:t>
      </w:r>
      <w:r>
        <w:t xml:space="preserve">to achieve a target false-alarm rate of 5% over the monitoring horizon (frames 5–100). The drift parameter κ is set from the in-control mean and standard deviation.</w:t>
      </w:r>
    </w:p>
    <w:p>
      <w:pPr>
        <w:pStyle w:val="SourceCode"/>
      </w:pPr>
      <w:r>
        <w:rPr>
          <w:rStyle w:val="VerbatimChar"/>
        </w:rPr>
        <w:t xml:space="preserve">κ = μ₀ + 0.4 σ₀</w:t>
      </w:r>
      <w:r>
        <w:br/>
      </w:r>
      <w:r>
        <w:rPr>
          <w:rStyle w:val="VerbatimChar"/>
        </w:rPr>
        <w:t xml:space="preserve">h   = calibrated so P(false alarm) ≈ 5%</w:t>
      </w:r>
    </w:p>
    <w:p>
      <w:pPr>
        <w:pStyle w:val="FirstParagraph"/>
      </w:pPr>
      <w:r>
        <w:t xml:space="preserve">Detection:</w:t>
      </w:r>
      <w:r>
        <w:t xml:space="preserve"> </w:t>
      </w:r>
      <w:r>
        <w:rPr>
          <w:b/>
          <w:bCs/>
        </w:rPr>
        <w:t xml:space="preserve">T̂ = first t with C(t) ≥ h</w:t>
      </w:r>
      <w:r>
        <w:t xml:space="preserve"> </w:t>
      </w:r>
      <w:r>
        <w:t xml:space="preserve">(no arbitrary t ≥ 30 guard).</w:t>
      </w:r>
    </w:p>
    <w:p>
      <w:pPr>
        <w:pStyle w:val="BodyText"/>
      </w:pPr>
      <w:r>
        <w:t xml:space="preserve">Headline realisation (seed 7):</w:t>
      </w:r>
      <w:r>
        <w:t xml:space="preserve"> </w:t>
      </w:r>
      <w:r>
        <w:rPr>
          <w:b/>
          <w:bCs/>
        </w:rPr>
        <w:t xml:space="preserve">T̂ = 54, error = 4</w:t>
      </w:r>
      <w:r>
        <w:t xml:space="preserve"> </w:t>
      </w:r>
      <w:r>
        <w:t xml:space="preserve">frames (T* = 50).</w:t>
      </w:r>
    </w:p>
    <w:bookmarkEnd w:id="16"/>
    <w:bookmarkStart w:id="17" w:name="dependence-structure-figure-7"/>
    <w:p>
      <w:pPr>
        <w:pStyle w:val="Heading3"/>
      </w:pPr>
      <w:r>
        <w:t xml:space="preserve">2.8 Dependence structure (Figure 7)</w:t>
      </w:r>
    </w:p>
    <w:p>
      <w:pPr>
        <w:pStyle w:val="FirstParagraph"/>
      </w:pPr>
      <w:r>
        <w:t xml:space="preserve">Figure 7 compares two</w:t>
      </w:r>
      <w:r>
        <w:t xml:space="preserve"> </w:t>
      </w:r>
      <w:r>
        <w:rPr>
          <w:b/>
          <w:bCs/>
        </w:rPr>
        <w:t xml:space="preserve">stationary</w:t>
      </w:r>
      <w:r>
        <w:t xml:space="preserve"> </w:t>
      </w:r>
      <w:r>
        <w:t xml:space="preserve">generative models with identical marginal distributions:</w:t>
      </w:r>
    </w:p>
    <w:p>
      <w:pPr>
        <w:pStyle w:val="Compact"/>
        <w:numPr>
          <w:ilvl w:val="0"/>
          <w:numId w:val="1005"/>
        </w:numPr>
      </w:pPr>
      <w:r>
        <w:rPr>
          <w:b/>
          <w:bCs/>
        </w:rPr>
        <w:t xml:space="preserve">Tug-of-war (coupled):</w:t>
      </w:r>
      <w:r>
        <w:t xml:space="preserve"> </w:t>
      </w:r>
      <w:r>
        <w:t xml:space="preserve">each team’s cluster-centre displacement follows an AR(1) process; Team B tracks Team A with a one-frame lag</w:t>
      </w:r>
    </w:p>
    <w:p>
      <w:pPr>
        <w:pStyle w:val="Compact"/>
        <w:numPr>
          <w:ilvl w:val="0"/>
          <w:numId w:val="1005"/>
        </w:numPr>
      </w:pPr>
      <w:r>
        <w:rPr>
          <w:b/>
          <w:bCs/>
        </w:rPr>
        <w:t xml:space="preserve">Coin-flip (independent):</w:t>
      </w:r>
      <w:r>
        <w:t xml:space="preserve"> </w:t>
      </w:r>
      <w:r>
        <w:t xml:space="preserve">fresh independent displacements every frame</w:t>
      </w:r>
    </w:p>
    <w:p>
      <w:pPr>
        <w:pStyle w:val="FirstParagraph"/>
      </w:pPr>
      <w:r>
        <w:t xml:space="preserve">The statistic is</w:t>
      </w:r>
      <w:r>
        <w:t xml:space="preserve"> </w:t>
      </w:r>
      <w:r>
        <w:rPr>
          <w:b/>
          <w:bCs/>
        </w:rPr>
        <w:t xml:space="preserve">per-frame</w:t>
      </w:r>
      <w:r>
        <w:t xml:space="preserve"> </w:t>
      </w:r>
      <w:r>
        <w:t xml:space="preserve">W₁(D_t, D_ref) against the undisturbed reference diagram. Consecutive-frame W₁(D_t, D_{t−1}) must not be used: it induces spurious lag-1 correlation even under independence.</w:t>
      </w:r>
    </w:p>
    <w:p>
      <w:pPr>
        <w:pStyle w:val="BodyText"/>
      </w:pPr>
      <w:r>
        <w:t xml:space="preserve">Over 200 replicates (T = 400): coupled lag-1 ρ ≈ +0.44; independent lag-1 ρ ≈ 0.00.</w:t>
      </w:r>
    </w:p>
    <w:bookmarkEnd w:id="17"/>
    <w:bookmarkStart w:id="18" w:name="h₁-encirclement-figure-9"/>
    <w:p>
      <w:pPr>
        <w:pStyle w:val="Heading3"/>
      </w:pPr>
      <w:r>
        <w:t xml:space="preserve">2.9 H₁ encirclement (Figure 9)</w:t>
      </w:r>
    </w:p>
    <w:p>
      <w:pPr>
        <w:pStyle w:val="FirstParagraph"/>
      </w:pPr>
      <w:r>
        <w:t xml:space="preserve">Team B is placed on a ring of radius ρ = 22 about centre (30, 40). A single Team A cluster (3 agents) is either trapped inside the ring or positioned outside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H₁ barcode</w:t>
            </w:r>
          </w:p>
        </w:tc>
      </w:tr>
      <w:tr>
        <w:tc>
          <w:tcPr/>
          <w:p>
            <w:pPr>
              <w:pStyle w:val="Compact"/>
            </w:pPr>
            <w:r>
              <w:t xml:space="preserve">B ring alone</w:t>
            </w:r>
          </w:p>
        </w:tc>
        <w:tc>
          <w:tcPr/>
          <w:p>
            <w:pPr>
              <w:pStyle w:val="Compact"/>
            </w:pPr>
            <w:r>
              <w:t xml:space="preserve">[27.24, 40.00], persistence 12.76</w:t>
            </w:r>
          </w:p>
        </w:tc>
      </w:tr>
      <w:tr>
        <w:tc>
          <w:tcPr/>
          <w:p>
            <w:pPr>
              <w:pStyle w:val="Compact"/>
            </w:pPr>
            <w:r>
              <w:t xml:space="preserve">Ring + trapped A cluster</w:t>
            </w:r>
          </w:p>
        </w:tc>
        <w:tc>
          <w:tcPr/>
          <w:p>
            <w:pPr>
              <w:pStyle w:val="Compact"/>
            </w:pPr>
            <w:r>
              <w:t xml:space="preserve">empty (loop filled)</w:t>
            </w:r>
          </w:p>
        </w:tc>
      </w:tr>
      <w:tr>
        <w:tc>
          <w:tcPr/>
          <w:p>
            <w:pPr>
              <w:pStyle w:val="Compact"/>
            </w:pPr>
            <w:r>
              <w:t xml:space="preserve">Ring + escaped A cluster</w:t>
            </w:r>
          </w:p>
        </w:tc>
        <w:tc>
          <w:tcPr/>
          <w:p>
            <w:pPr>
              <w:pStyle w:val="Compact"/>
            </w:pPr>
            <w:r>
              <w:t xml:space="preserve">[27.24, 40.00], persistence 12.76</w:t>
            </w:r>
          </w:p>
        </w:tc>
      </w:tr>
    </w:tbl>
    <w:p>
      <w:pPr>
        <w:pStyle w:val="BodyText"/>
      </w:pPr>
      <w:r>
        <w:t xml:space="preserve">This demonstrates H₁ from adversarial embedding geometry (MacPherson–Schweinhart), not from internal hierarchy.</w:t>
      </w:r>
    </w:p>
    <w:bookmarkEnd w:id="18"/>
    <w:bookmarkStart w:id="19" w:name="gtppf-switching-preview-figure-10-python"/>
    <w:p>
      <w:pPr>
        <w:pStyle w:val="Heading3"/>
      </w:pPr>
      <w:r>
        <w:t xml:space="preserve">2.10 GTPPF switching preview (Figure 10, Python)</w:t>
      </w:r>
    </w:p>
    <w:p>
      <w:pPr>
        <w:pStyle w:val="FirstParagraph"/>
      </w:pPr>
      <w:r>
        <w:t xml:space="preserve">Football is a hybrid system: a possession variable</w:t>
      </w:r>
      <w:r>
        <w:t xml:space="preserve"> </w:t>
      </w:r>
      <m:oMath>
        <m:r>
          <m:t>b</m:t>
        </m:r>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inverts which team is predator and which is prey (Chat 2). This is the Standard Grant conceptual centrepiece; the Small Grant toy model supplies a single telegraph realisation.</w:t>
      </w:r>
    </w:p>
    <w:tbl>
      <w:tblPr>
        <w:tblStyle w:val="Table"/>
        <w:tblW w:type="pct" w:w="5000"/>
        <w:tblLayout w:type="fixed"/>
        <w:tblLook w:firstRow="1" w:lastRow="0" w:firstColumn="0" w:lastColumn="0" w:noHBand="0" w:noVBand="0" w:val="0020"/>
      </w:tblPr>
      <w:tblGrid>
        <w:gridCol w:w="720"/>
        <w:gridCol w:w="1152"/>
        <w:gridCol w:w="1152"/>
        <w:gridCol w:w="4896"/>
      </w:tblGrid>
      <w:tr>
        <w:trPr>
          <w:tblHeader w:val="on"/>
        </w:trPr>
        <w:tc>
          <w:tcPr/>
          <w:p>
            <w:pPr>
              <w:pStyle w:val="Compact"/>
            </w:pPr>
            <m:oMath>
              <m:r>
                <m:t>b</m:t>
              </m:r>
            </m:oMath>
          </w:p>
        </w:tc>
        <w:tc>
          <w:tcPr/>
          <w:p>
            <w:pPr>
              <w:pStyle w:val="Compact"/>
            </w:pPr>
            <w:r>
              <w:t xml:space="preserve">Team A</w:t>
            </w:r>
          </w:p>
        </w:tc>
        <w:tc>
          <w:tcPr/>
          <w:p>
            <w:pPr>
              <w:pStyle w:val="Compact"/>
            </w:pPr>
            <w:r>
              <w:t xml:space="preserve">Team B</w:t>
            </w:r>
          </w:p>
        </w:tc>
        <w:tc>
          <w:tcPr/>
          <w:p>
            <w:pPr>
              <w:pStyle w:val="Compact"/>
            </w:pPr>
            <w:r>
              <w:t xml:space="preserve">Encirclement</w:t>
            </w:r>
            <w:r>
              <w:t xml:space="preserve"> </w:t>
            </w:r>
            <m:oMath>
              <m:sSub>
                <m:e>
                  <m:r>
                    <m:t>H</m:t>
                  </m:r>
                </m:e>
                <m:sub>
                  <m:r>
                    <m:t>1</m:t>
                  </m:r>
                </m:sub>
              </m:sSub>
            </m:oMath>
            <w:r>
              <w:t xml:space="preserve"> </w:t>
            </w:r>
            <w:r>
              <w:t xml:space="preserve">(born</w:t>
            </w:r>
            <w:r>
              <w:t xml:space="preserve"> </w:t>
            </w:r>
            <m:oMath>
              <m:r>
                <m:rPr>
                  <m:sty m:val="p"/>
                </m:rPr>
                <m:t>&lt;</m:t>
              </m:r>
              <m:r>
                <m:t>45</m:t>
              </m:r>
            </m:oMath>
            <w:r>
              <w:t xml:space="preserve">)</w:t>
            </w:r>
          </w:p>
        </w:tc>
      </w:tr>
      <w:tr>
        <w:tc>
          <w:tcPr/>
          <w:p>
            <w:pPr>
              <w:pStyle w:val="Compact"/>
            </w:pPr>
            <w:r>
              <w:t xml:space="preserve">1 (A possesses)</w:t>
            </w:r>
          </w:p>
        </w:tc>
        <w:tc>
          <w:tcPr/>
          <w:p>
            <w:pPr>
              <w:pStyle w:val="Compact"/>
            </w:pPr>
            <w:r>
              <w:t xml:space="preserve">prey: A_WIDE</w:t>
            </w:r>
          </w:p>
        </w:tc>
        <w:tc>
          <w:tcPr/>
          <w:p>
            <w:pPr>
              <w:pStyle w:val="Compact"/>
            </w:pPr>
            <w:r>
              <w:t xml:space="preserve">predator: B_RING</w:t>
            </w:r>
          </w:p>
        </w:tc>
        <w:tc>
          <w:tcPr/>
          <w:p>
            <w:pPr>
              <w:pStyle w:val="Compact"/>
            </w:pPr>
            <w:r>
              <w:t xml:space="preserve">A: 0.00, B: 12.76</w:t>
            </w:r>
          </w:p>
        </w:tc>
      </w:tr>
      <w:tr>
        <w:tc>
          <w:tcPr/>
          <w:p>
            <w:pPr>
              <w:pStyle w:val="Compact"/>
            </w:pPr>
            <w:r>
              <w:t xml:space="preserve">0 (B possesses)</w:t>
            </w:r>
          </w:p>
        </w:tc>
        <w:tc>
          <w:tcPr/>
          <w:p>
            <w:pPr>
              <w:pStyle w:val="Compact"/>
            </w:pPr>
            <w:r>
              <w:t xml:space="preserve">predator: A_RING</w:t>
            </w:r>
          </w:p>
        </w:tc>
        <w:tc>
          <w:tcPr/>
          <w:p>
            <w:pPr>
              <w:pStyle w:val="Compact"/>
            </w:pPr>
            <w:r>
              <w:t xml:space="preserve">prey: B_WIDE</w:t>
            </w:r>
          </w:p>
        </w:tc>
        <w:tc>
          <w:tcPr/>
          <w:p>
            <w:pPr>
              <w:pStyle w:val="Compact"/>
            </w:pPr>
            <w:r>
              <w:t xml:space="preserve">A: 12.76, B: 0.00</w:t>
            </w:r>
          </w:p>
        </w:tc>
      </w:tr>
    </w:tbl>
    <w:p>
      <w:pPr>
        <w:pStyle w:val="BodyText"/>
      </w:pPr>
      <w:r>
        <w:t xml:space="preserve">Two deterministic switches at</w:t>
      </w:r>
      <w:r>
        <w:t xml:space="preserve"> </w:t>
      </w:r>
      <m:oMath>
        <m:sSubSup>
          <m:e>
            <m:r>
              <m:t>T</m:t>
            </m:r>
          </m:e>
          <m:sub>
            <m:r>
              <m:t>1</m:t>
            </m:r>
          </m:sub>
          <m:sup>
            <m:r>
              <m:rPr>
                <m:sty m:val="p"/>
              </m:rPr>
              <m:t>*</m:t>
            </m:r>
          </m:sup>
        </m:sSubSup>
        <m:r>
          <m:rPr>
            <m:sty m:val="p"/>
          </m:rPr>
          <m:t>=</m:t>
        </m:r>
        <m:r>
          <m:t>40</m:t>
        </m:r>
      </m:oMath>
      <w:r>
        <w:t xml:space="preserve"> </w:t>
      </w:r>
      <w:r>
        <w:t xml:space="preserve">and</w:t>
      </w:r>
      <w:r>
        <w:t xml:space="preserve"> </w:t>
      </w:r>
      <m:oMath>
        <m:sSubSup>
          <m:e>
            <m:r>
              <m:t>T</m:t>
            </m:r>
          </m:e>
          <m:sub>
            <m:r>
              <m:t>2</m:t>
            </m:r>
          </m:sub>
          <m:sup>
            <m:r>
              <m:rPr>
                <m:sty m:val="p"/>
              </m:rPr>
              <m:t>*</m:t>
            </m:r>
          </m:sup>
        </m:sSubSup>
        <m:r>
          <m:rPr>
            <m:sty m:val="p"/>
          </m:rPr>
          <m:t>=</m:t>
        </m:r>
        <m:r>
          <m:t>100</m:t>
        </m:r>
      </m:oMath>
      <w:r>
        <w:t xml:space="preserve">. CUSUM on consecutive-frame</w:t>
      </w:r>
      <w:r>
        <w:t xml:space="preserve"> </w:t>
      </w:r>
      <m:oMath>
        <m:sSub>
          <m:e>
            <m:r>
              <m:t>W</m:t>
            </m:r>
          </m:e>
          <m:sub>
            <m:r>
              <m:t>1</m:t>
            </m:r>
          </m:sub>
        </m:sSub>
      </m:oMath>
      <w:r>
        <w:t xml:space="preserve"> </w:t>
      </w:r>
      <w:r>
        <w:t xml:space="preserve">of Team A detects both (headline seed 11:</w:t>
      </w:r>
      <w:r>
        <w:t xml:space="preserve"> </w:t>
      </w:r>
      <m:oMath>
        <m:acc>
          <m:accPr>
            <m:chr m:val="̂"/>
          </m:accPr>
          <m:e>
            <m:r>
              <m:t>T</m:t>
            </m:r>
          </m:e>
        </m:acc>
        <m:r>
          <m:rPr>
            <m:sty m:val="p"/>
          </m:rPr>
          <m:t>=</m:t>
        </m:r>
        <m:r>
          <m:t>44</m:t>
        </m:r>
        <m:r>
          <m:rPr>
            <m:sty m:val="p"/>
          </m:rPr>
          <m:t>,</m:t>
        </m:r>
        <m:r>
          <m:t>106</m:t>
        </m:r>
      </m:oMath>
      <w:r>
        <w:t xml:space="preserve">). A two-formation layout also carries a global rectangular</w:t>
      </w:r>
      <w:r>
        <w:t xml:space="preserve"> </w:t>
      </w:r>
      <m:oMath>
        <m:sSub>
          <m:e>
            <m:r>
              <m:t>H</m:t>
            </m:r>
          </m:e>
          <m:sub>
            <m:r>
              <m:t>1</m:t>
            </m:r>
          </m:sub>
        </m:sSub>
      </m:oMath>
      <w:r>
        <w:t xml:space="preserve"> </w:t>
      </w:r>
      <w:r>
        <w:t xml:space="preserve">hole born at</w:t>
      </w:r>
      <w:r>
        <w:t xml:space="preserve"> </w:t>
      </w:r>
      <m:oMath>
        <m:r>
          <m:t>δ</m:t>
        </m:r>
        <m:r>
          <m:rPr>
            <m:sty m:val="p"/>
          </m:rPr>
          <m:t>≈</m:t>
        </m:r>
        <m:r>
          <m:t>60</m:t>
        </m:r>
      </m:oMath>
      <w:r>
        <w:t xml:space="preserve">; that is a hierarchy feature and is excluded from the encirclement readout.</w:t>
      </w:r>
    </w:p>
    <w:p>
      <w:pPr>
        <w:pStyle w:val="BodyText"/>
      </w:pPr>
      <w:r>
        <w:t xml:space="preserve">Python entry points:</w:t>
      </w:r>
    </w:p>
    <w:p>
      <w:pPr>
        <w:pStyle w:val="Compact"/>
        <w:numPr>
          <w:ilvl w:val="0"/>
          <w:numId w:val="1006"/>
        </w:numPr>
      </w:pPr>
      <w:r>
        <w:rPr>
          <w:rStyle w:val="VerbatimChar"/>
        </w:rPr>
        <w:t xml:space="preserve">atda_core.py</w:t>
      </w:r>
      <w:r>
        <w:t xml:space="preserve"> </w:t>
      </w:r>
      <w:r>
        <w:t xml:space="preserve">— shared primitives (the independent verification script, plus exact</w:t>
      </w:r>
      <w:r>
        <w:t xml:space="preserve"> </w:t>
      </w:r>
      <m:oMath>
        <m:sSub>
          <m:e>
            <m:r>
              <m:t>W</m:t>
            </m:r>
          </m:e>
          <m:sub>
            <m:r>
              <m:t>p</m:t>
            </m:r>
          </m:sub>
        </m:sSub>
      </m:oMath>
      <w:r>
        <w:t xml:space="preserve"> </w:t>
      </w:r>
      <w:r>
        <w:t xml:space="preserve">and the W2 Fréchet mean)</w:t>
      </w:r>
    </w:p>
    <w:p>
      <w:pPr>
        <w:pStyle w:val="Compact"/>
        <w:numPr>
          <w:ilvl w:val="0"/>
          <w:numId w:val="1006"/>
        </w:numPr>
      </w:pPr>
      <w:r>
        <w:rPr>
          <w:rStyle w:val="VerbatimChar"/>
        </w:rPr>
        <w:t xml:space="preserve">verify_atda.py</w:t>
      </w:r>
      <w:r>
        <w:t xml:space="preserve"> </w:t>
      </w:r>
      <w:r>
        <w:t xml:space="preserve">— Parts 1–3 against the corrected reference values</w:t>
      </w:r>
    </w:p>
    <w:p>
      <w:pPr>
        <w:pStyle w:val="Compact"/>
        <w:numPr>
          <w:ilvl w:val="0"/>
          <w:numId w:val="1006"/>
        </w:numPr>
      </w:pPr>
      <w:r>
        <w:rPr>
          <w:rStyle w:val="VerbatimChar"/>
        </w:rPr>
        <w:t xml:space="preserve">gtppf_switching.py</w:t>
      </w:r>
      <w:r>
        <w:t xml:space="preserve"> </w:t>
      </w:r>
      <w:r>
        <w:t xml:space="preserve">— Figure 10</w:t>
      </w:r>
    </w:p>
    <w:p>
      <w:r>
        <w:pict>
          <v:rect style="width:0;height:1.5pt" o:hralign="center" o:hrstd="t" o:hr="t"/>
        </w:pict>
      </w:r>
    </w:p>
    <w:bookmarkEnd w:id="19"/>
    <w:bookmarkEnd w:id="20"/>
    <w:bookmarkStart w:id="24" w:name="agent-configurations"/>
    <w:p>
      <w:pPr>
        <w:pStyle w:val="Heading2"/>
      </w:pPr>
      <w:r>
        <w:t xml:space="preserve">3. Agent configurations</w:t>
      </w:r>
    </w:p>
    <w:bookmarkStart w:id="21" w:name="Xfa9783fb68493fb089e3908134b312a9ea40897"/>
    <w:p>
      <w:pPr>
        <w:pStyle w:val="Heading3"/>
      </w:pPr>
      <w:r>
        <w:t xml:space="preserve">3.1 Standard configurations (pitch: 120 × 80 units)</w:t>
      </w:r>
    </w:p>
    <w:p>
      <w:pPr>
        <w:pStyle w:val="FirstParagraph"/>
      </w:pPr>
      <w:r>
        <w:rPr>
          <w:b/>
          <w:bCs/>
        </w:rPr>
        <w:t xml:space="preserve">Team A — Wide (two-formation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Centre</w:t>
            </w:r>
          </w:p>
        </w:tc>
      </w:tr>
      <w:tr>
        <w:tc>
          <w:tcPr/>
          <w:p>
            <w:pPr>
              <w:pStyle w:val="Compact"/>
            </w:pPr>
            <w:r>
              <w:t xml:space="preserve">1</w:t>
            </w:r>
          </w:p>
        </w:tc>
        <w:tc>
          <w:tcPr/>
          <w:p>
            <w:pPr>
              <w:pStyle w:val="Compact"/>
            </w:pPr>
            <w:r>
              <w:t xml:space="preserve">(18, 22)</w:t>
            </w:r>
          </w:p>
        </w:tc>
      </w:tr>
      <w:tr>
        <w:tc>
          <w:tcPr/>
          <w:p>
            <w:pPr>
              <w:pStyle w:val="Compact"/>
            </w:pPr>
            <w:r>
              <w:t xml:space="preserve">2</w:t>
            </w:r>
          </w:p>
        </w:tc>
        <w:tc>
          <w:tcPr/>
          <w:p>
            <w:pPr>
              <w:pStyle w:val="Compact"/>
            </w:pPr>
            <w:r>
              <w:t xml:space="preserve">(18, 58)</w:t>
            </w:r>
          </w:p>
        </w:tc>
      </w:tr>
      <w:tr>
        <w:tc>
          <w:tcPr/>
          <w:p>
            <w:pPr>
              <w:pStyle w:val="Compact"/>
            </w:pPr>
            <w:r>
              <w:t xml:space="preserve">3</w:t>
            </w:r>
          </w:p>
        </w:tc>
        <w:tc>
          <w:tcPr/>
          <w:p>
            <w:pPr>
              <w:pStyle w:val="Compact"/>
            </w:pPr>
            <w:r>
              <w:t xml:space="preserve">(82, 22)</w:t>
            </w:r>
          </w:p>
        </w:tc>
      </w:tr>
      <w:tr>
        <w:tc>
          <w:tcPr/>
          <w:p>
            <w:pPr>
              <w:pStyle w:val="Compact"/>
            </w:pPr>
            <w:r>
              <w:t xml:space="preserve">4</w:t>
            </w:r>
          </w:p>
        </w:tc>
        <w:tc>
          <w:tcPr/>
          <w:p>
            <w:pPr>
              <w:pStyle w:val="Compact"/>
            </w:pPr>
            <w:r>
              <w:t xml:space="preserve">(82, 58)</w:t>
            </w:r>
          </w:p>
        </w:tc>
      </w:tr>
    </w:tbl>
    <w:p>
      <w:pPr>
        <w:pStyle w:val="BodyText"/>
      </w:pPr>
      <w:r>
        <w:rPr>
          <w:b/>
          <w:bCs/>
        </w:rPr>
        <w:t xml:space="preserve">Team A — Narrow (single compressed formation):</w:t>
      </w:r>
    </w:p>
    <w:p>
      <w:pPr>
        <w:pStyle w:val="BodyText"/>
      </w:pPr>
      <w:r>
        <w:t xml:space="preserve">Cluster centres at x = 47 with</w:t>
      </w:r>
      <w:r>
        <w:t xml:space="preserve"> </w:t>
      </w:r>
      <w:r>
        <w:rPr>
          <w:b/>
          <w:bCs/>
        </w:rPr>
        <w:t xml:space="preserve">uniform 16-unit vertical spacing</w:t>
      </w:r>
      <w:r>
        <w:t xml:space="preserve"> </w:t>
      </w:r>
      <w:r>
        <w:t xml:space="preserve">(critical for equal tactical deaths):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Centre</w:t>
            </w:r>
          </w:p>
        </w:tc>
      </w:tr>
      <w:tr>
        <w:tc>
          <w:tcPr/>
          <w:p>
            <w:pPr>
              <w:pStyle w:val="Compact"/>
            </w:pPr>
            <w:r>
              <w:t xml:space="preserve">1</w:t>
            </w:r>
          </w:p>
        </w:tc>
        <w:tc>
          <w:tcPr/>
          <w:p>
            <w:pPr>
              <w:pStyle w:val="Compact"/>
            </w:pPr>
            <w:r>
              <w:t xml:space="preserve">(47, 16)</w:t>
            </w:r>
          </w:p>
        </w:tc>
      </w:tr>
      <w:tr>
        <w:tc>
          <w:tcPr/>
          <w:p>
            <w:pPr>
              <w:pStyle w:val="Compact"/>
            </w:pPr>
            <w:r>
              <w:t xml:space="preserve">2</w:t>
            </w:r>
          </w:p>
        </w:tc>
        <w:tc>
          <w:tcPr/>
          <w:p>
            <w:pPr>
              <w:pStyle w:val="Compact"/>
            </w:pPr>
            <w:r>
              <w:t xml:space="preserve">(47, 32)</w:t>
            </w:r>
          </w:p>
        </w:tc>
      </w:tr>
      <w:tr>
        <w:tc>
          <w:tcPr/>
          <w:p>
            <w:pPr>
              <w:pStyle w:val="Compact"/>
            </w:pPr>
            <w:r>
              <w:t xml:space="preserve">3</w:t>
            </w:r>
          </w:p>
        </w:tc>
        <w:tc>
          <w:tcPr/>
          <w:p>
            <w:pPr>
              <w:pStyle w:val="Compact"/>
            </w:pPr>
            <w:r>
              <w:t xml:space="preserve">(47, 48)</w:t>
            </w:r>
          </w:p>
        </w:tc>
      </w:tr>
      <w:tr>
        <w:tc>
          <w:tcPr/>
          <w:p>
            <w:pPr>
              <w:pStyle w:val="Compact"/>
            </w:pPr>
            <w:r>
              <w:t xml:space="preserve">4</w:t>
            </w:r>
          </w:p>
        </w:tc>
        <w:tc>
          <w:tcPr/>
          <w:p>
            <w:pPr>
              <w:pStyle w:val="Compact"/>
            </w:pPr>
            <w:r>
              <w:t xml:space="preserve">(47, 64)</w:t>
            </w:r>
          </w:p>
        </w:tc>
      </w:tr>
    </w:tbl>
    <w:p>
      <w:pPr>
        <w:pStyle w:val="BodyText"/>
      </w:pPr>
      <w:r>
        <w:rPr>
          <w:b/>
          <w:bCs/>
        </w:rPr>
        <w:t xml:space="preserve">Team B — Press: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Centre</w:t>
            </w:r>
          </w:p>
        </w:tc>
      </w:tr>
      <w:tr>
        <w:tc>
          <w:tcPr/>
          <w:p>
            <w:pPr>
              <w:pStyle w:val="Compact"/>
            </w:pPr>
            <w:r>
              <w:t xml:space="preserve">1</w:t>
            </w:r>
          </w:p>
        </w:tc>
        <w:tc>
          <w:tcPr/>
          <w:p>
            <w:pPr>
              <w:pStyle w:val="Compact"/>
            </w:pPr>
            <w:r>
              <w:t xml:space="preserve">(5, 22)</w:t>
            </w:r>
          </w:p>
        </w:tc>
      </w:tr>
      <w:tr>
        <w:tc>
          <w:tcPr/>
          <w:p>
            <w:pPr>
              <w:pStyle w:val="Compact"/>
            </w:pPr>
            <w:r>
              <w:t xml:space="preserve">2</w:t>
            </w:r>
          </w:p>
        </w:tc>
        <w:tc>
          <w:tcPr/>
          <w:p>
            <w:pPr>
              <w:pStyle w:val="Compact"/>
            </w:pPr>
            <w:r>
              <w:t xml:space="preserve">(35, 6)</w:t>
            </w:r>
          </w:p>
        </w:tc>
      </w:tr>
      <w:tr>
        <w:tc>
          <w:tcPr/>
          <w:p>
            <w:pPr>
              <w:pStyle w:val="Compact"/>
            </w:pPr>
            <w:r>
              <w:t xml:space="preserve">3</w:t>
            </w:r>
          </w:p>
        </w:tc>
        <w:tc>
          <w:tcPr/>
          <w:p>
            <w:pPr>
              <w:pStyle w:val="Compact"/>
            </w:pPr>
            <w:r>
              <w:t xml:space="preserve">(35, 74)</w:t>
            </w:r>
          </w:p>
        </w:tc>
      </w:tr>
      <w:tr>
        <w:tc>
          <w:tcPr/>
          <w:p>
            <w:pPr>
              <w:pStyle w:val="Compact"/>
            </w:pPr>
            <w:r>
              <w:t xml:space="preserve">4</w:t>
            </w:r>
          </w:p>
        </w:tc>
        <w:tc>
          <w:tcPr/>
          <w:p>
            <w:pPr>
              <w:pStyle w:val="Compact"/>
            </w:pPr>
            <w:r>
              <w:t xml:space="preserve">(96, 40)</w:t>
            </w:r>
          </w:p>
        </w:tc>
      </w:tr>
    </w:tbl>
    <w:p>
      <w:pPr>
        <w:pStyle w:val="BodyText"/>
      </w:pPr>
      <w:r>
        <w:rPr>
          <w:b/>
          <w:bCs/>
        </w:rPr>
        <w:t xml:space="preserve">Team B — Spread: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Centre</w:t>
            </w:r>
          </w:p>
        </w:tc>
      </w:tr>
      <w:tr>
        <w:tc>
          <w:tcPr/>
          <w:p>
            <w:pPr>
              <w:pStyle w:val="Compact"/>
            </w:pPr>
            <w:r>
              <w:t xml:space="preserve">1</w:t>
            </w:r>
          </w:p>
        </w:tc>
        <w:tc>
          <w:tcPr/>
          <w:p>
            <w:pPr>
              <w:pStyle w:val="Compact"/>
            </w:pPr>
            <w:r>
              <w:t xml:space="preserve">(26, 26)</w:t>
            </w:r>
          </w:p>
        </w:tc>
      </w:tr>
      <w:tr>
        <w:tc>
          <w:tcPr/>
          <w:p>
            <w:pPr>
              <w:pStyle w:val="Compact"/>
            </w:pPr>
            <w:r>
              <w:t xml:space="preserve">2</w:t>
            </w:r>
          </w:p>
        </w:tc>
        <w:tc>
          <w:tcPr/>
          <w:p>
            <w:pPr>
              <w:pStyle w:val="Compact"/>
            </w:pPr>
            <w:r>
              <w:t xml:space="preserve">(26, 54)</w:t>
            </w:r>
          </w:p>
        </w:tc>
      </w:tr>
      <w:tr>
        <w:tc>
          <w:tcPr/>
          <w:p>
            <w:pPr>
              <w:pStyle w:val="Compact"/>
            </w:pPr>
            <w:r>
              <w:t xml:space="preserve">3</w:t>
            </w:r>
          </w:p>
        </w:tc>
        <w:tc>
          <w:tcPr/>
          <w:p>
            <w:pPr>
              <w:pStyle w:val="Compact"/>
            </w:pPr>
            <w:r>
              <w:t xml:space="preserve">(66, 22)</w:t>
            </w:r>
          </w:p>
        </w:tc>
      </w:tr>
      <w:tr>
        <w:tc>
          <w:tcPr/>
          <w:p>
            <w:pPr>
              <w:pStyle w:val="Compact"/>
            </w:pPr>
            <w:r>
              <w:t xml:space="preserve">4</w:t>
            </w:r>
          </w:p>
        </w:tc>
        <w:tc>
          <w:tcPr/>
          <w:p>
            <w:pPr>
              <w:pStyle w:val="Compact"/>
            </w:pPr>
            <w:r>
              <w:t xml:space="preserve">(66, 58)</w:t>
            </w:r>
          </w:p>
        </w:tc>
      </w:tr>
    </w:tbl>
    <w:bookmarkEnd w:id="21"/>
    <w:bookmarkStart w:id="22" w:name="single-scale-failure-figure-6"/>
    <w:p>
      <w:pPr>
        <w:pStyle w:val="Heading3"/>
      </w:pPr>
      <w:r>
        <w:t xml:space="preserve">3.2 Single-scale failure (Figure 6)</w:t>
      </w:r>
    </w:p>
    <w:p>
      <w:pPr>
        <w:pStyle w:val="FirstParagraph"/>
      </w:pPr>
      <w:r>
        <w:rPr>
          <w:b/>
          <w:bCs/>
        </w:rPr>
        <w:t xml:space="preserve">A_LINE — linear deployment:</w:t>
      </w:r>
    </w:p>
    <w:p>
      <w:pPr>
        <w:pStyle w:val="BodyText"/>
      </w:pPr>
      <w:r>
        <w:t xml:space="preserve">Clusters at (10, 40), (40, 40), (80, 40), (105, 40).</w:t>
      </w:r>
    </w:p>
    <w:p>
      <w:pPr>
        <w:pStyle w:val="BodyText"/>
      </w:pPr>
      <w:r>
        <w:t xml:space="preserve">At δ = 35:</w:t>
      </w:r>
      <w:r>
        <w:t xml:space="preserve"> </w:t>
      </w:r>
      <w:r>
        <w:rPr>
          <w:b/>
          <w:bCs/>
        </w:rPr>
        <w:t xml:space="preserve">both</w:t>
      </w:r>
      <w:r>
        <w:t xml:space="preserve"> </w:t>
      </w:r>
      <w:r>
        <w:t xml:space="preserve">A_WIDE and A_LINE have β₀ = 2, β₁ = 0 — identical component counts, but W₁(A_WIDE, A_LINE) = 42.12.</w:t>
      </w:r>
    </w:p>
    <w:bookmarkEnd w:id="22"/>
    <w:bookmarkStart w:id="23" w:name="X5ccd72514a77f074f24fb49b1143b6c03c34a9f"/>
    <w:p>
      <w:pPr>
        <w:pStyle w:val="Heading3"/>
      </w:pPr>
      <w:r>
        <w:t xml:space="preserve">3.3 Generalised domain configurations (Figure 5)</w:t>
      </w:r>
    </w:p>
    <w:p>
      <w:pPr>
        <w:pStyle w:val="FirstParagraph"/>
      </w:pPr>
      <w:r>
        <w:t xml:space="preserve">As in the original specification: tumour–immune, predator–prey, autonomous fleet. Attacking-side barcodes retain the 8–2–1 hierarchy pattern; defending-side barcodes differ.</w:t>
      </w:r>
    </w:p>
    <w:p>
      <w:r>
        <w:pict>
          <v:rect style="width:0;height:1.5pt" o:hralign="center" o:hrstd="t" o:hr="t"/>
        </w:pict>
      </w:r>
    </w:p>
    <w:bookmarkEnd w:id="23"/>
    <w:bookmarkEnd w:id="24"/>
    <w:bookmarkStart w:id="26" w:name="Xdc5462e0bc0fb1e47b5ba5386a8e051bc593520"/>
    <w:p>
      <w:pPr>
        <w:pStyle w:val="Heading2"/>
      </w:pPr>
      <w:r>
        <w:t xml:space="preserve">4. Reference values (verify any reimplementation)</w:t>
      </w:r>
    </w:p>
    <w:p>
      <w:pPr>
        <w:pStyle w:val="FirstParagraph"/>
      </w:pPr>
      <w:r>
        <w:t xml:space="preserve">These values are reproducible with noise = 0 for H₀; time-series results use σ = 1.5 and the stated seed scheme.</w:t>
      </w:r>
    </w:p>
    <w:p>
      <w:pPr>
        <w:pStyle w:val="SourceCode"/>
      </w:pPr>
      <w:r>
        <w:rPr>
          <w:rStyle w:val="VerbatimChar"/>
        </w:rPr>
        <w:t xml:space="preserve">H₀(A_WIDE)   = [4.00×4, 4.03×4, 32.56, 32.56, 60.00]</w:t>
      </w:r>
      <w:r>
        <w:br/>
      </w:r>
      <w:r>
        <w:rPr>
          <w:rStyle w:val="VerbatimChar"/>
        </w:rPr>
        <w:t xml:space="preserve">H₀(A_NARROW) = [4.00×4, 4.03×4, 12.66, 12.66, 12.66]</w:t>
      </w:r>
      <w:r>
        <w:br/>
      </w:r>
      <w:r>
        <w:rPr>
          <w:rStyle w:val="VerbatimChar"/>
        </w:rPr>
        <w:t xml:space="preserve">H₀(A_LINE)   = [4.00×4, 4.03×4, 21.00, 26.00, 36.00]</w:t>
      </w:r>
      <w:r>
        <w:br/>
      </w:r>
      <w:r>
        <w:br/>
      </w:r>
      <w:r>
        <w:rPr>
          <w:rStyle w:val="VerbatimChar"/>
        </w:rPr>
        <w:t xml:space="preserve">W₁(A_WIDE, A_NARROW) = 76.13   [exact OT; naive sorted matching gives 87.15]</w:t>
      </w:r>
      <w:r>
        <w:br/>
      </w:r>
      <w:r>
        <w:rPr>
          <w:rStyle w:val="VerbatimChar"/>
        </w:rPr>
        <w:t xml:space="preserve">W₁(A_WIDE, A_LINE)   = 42.12</w:t>
      </w:r>
      <w:r>
        <w:br/>
      </w:r>
      <w:r>
        <w:br/>
      </w:r>
      <w:r>
        <w:rPr>
          <w:rStyle w:val="VerbatimChar"/>
        </w:rPr>
        <w:t xml:space="preserve">H₁(B_RING)                    = [27.24, 40.00], persistence 12.76</w:t>
      </w:r>
      <w:r>
        <w:br/>
      </w:r>
      <w:r>
        <w:rPr>
          <w:rStyle w:val="VerbatimChar"/>
        </w:rPr>
        <w:t xml:space="preserve">H₁(B_RING + trapped A cluster) = empty</w:t>
      </w:r>
      <w:r>
        <w:br/>
      </w:r>
      <w:r>
        <w:rPr>
          <w:rStyle w:val="VerbatimChar"/>
        </w:rPr>
        <w:t xml:space="preserve">H₁(B_RING + escaped A cluster) = [27.24, 40.00], persistence 12.76</w:t>
      </w:r>
      <w:r>
        <w:br/>
      </w:r>
      <w:r>
        <w:br/>
      </w:r>
      <w:r>
        <w:rPr>
          <w:rStyle w:val="VerbatimChar"/>
        </w:rPr>
        <w:t xml:space="preserve">Pitch diameter = √(120² + 80²) = 144.22   [T1 integrability bound]</w:t>
      </w:r>
      <w:r>
        <w:br/>
      </w:r>
      <w:r>
        <w:br/>
      </w:r>
      <w:r>
        <w:rPr>
          <w:rStyle w:val="VerbatimChar"/>
        </w:rPr>
        <w:t xml:space="preserve">At δ = 35: A_WIDE and A_LINE both have (β₀, β₁) = (2, 0)</w:t>
      </w:r>
      <w:r>
        <w:br/>
      </w:r>
      <w:r>
        <w:br/>
      </w:r>
      <w:r>
        <w:rPr>
          <w:rStyle w:val="VerbatimChar"/>
        </w:rPr>
        <w:t xml:space="preserve">CUSUM (5% false-alarm calibration): T̂ = 54, error = 4  (headline seed 7)</w:t>
      </w:r>
      <w:r>
        <w:br/>
      </w:r>
      <w:r>
        <w:br/>
      </w:r>
      <w:r>
        <w:rPr>
          <w:rStyle w:val="VerbatimChar"/>
        </w:rPr>
        <w:t xml:space="preserve">Fréchet mean global feature, pre-transition:  ≈ 58.6 δ-units</w:t>
      </w:r>
      <w:r>
        <w:br/>
      </w:r>
      <w:r>
        <w:rPr>
          <w:rStyle w:val="VerbatimChar"/>
        </w:rPr>
        <w:t xml:space="preserve">Fréchet mean global feature, post-transition: ≈ 13.4 δ-units</w:t>
      </w:r>
    </w:p>
    <w:p>
      <w:pPr>
        <w:pStyle w:val="FirstParagraph"/>
      </w:pPr>
      <w:r>
        <w:rPr>
          <w:b/>
          <w:bCs/>
        </w:rPr>
        <w:t xml:space="preserve">Display scales for multi-scale figures:</w:t>
      </w:r>
      <w:r>
        <w:t xml:space="preserve"> </w:t>
      </w:r>
      <w:r>
        <w:t xml:space="preserve">δ₁ = 4.5, δ₂ =</w:t>
      </w:r>
      <w:r>
        <w:t xml:space="preserve"> </w:t>
      </w:r>
      <w:r>
        <w:rPr>
          <w:b/>
          <w:bCs/>
        </w:rPr>
        <w:t xml:space="preserve">40</w:t>
      </w:r>
      <w:r>
        <w:t xml:space="preserve">, δ₃ = 66.</w:t>
      </w:r>
      <w:r>
        <w:br/>
      </w:r>
      <w:r>
        <w:t xml:space="preserve">(Previous δ₂ = 22 fell below all A_WIDE tactical deaths and duplicated δ₁.)</w:t>
      </w:r>
    </w:p>
    <w:bookmarkStart w:id="25" w:name="monte-carlo-t2-validation-figure-8"/>
    <w:p>
      <w:pPr>
        <w:pStyle w:val="Heading3"/>
      </w:pPr>
      <w:r>
        <w:t xml:space="preserve">Monte Carlo T2 validation (Figure 8)</w:t>
      </w:r>
    </w:p>
    <w:p>
      <w:pPr>
        <w:pStyle w:val="FirstParagraph"/>
      </w:pPr>
      <w:r>
        <w:t xml:space="preserve">1000 realisations per condition; E[|T̂ − T*|] decreases as the W₁ jump increases: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Jump W₁</w:t>
            </w:r>
          </w:p>
        </w:tc>
        <w:tc>
          <w:tcPr/>
          <w:p>
            <w:pPr>
              <w:pStyle w:val="Compact"/>
            </w:pPr>
            <w:r>
              <w:t xml:space="preserve">E|T̂ − T*|</w:t>
            </w:r>
          </w:p>
        </w:tc>
        <w:tc>
          <w:tcPr/>
          <w:p>
            <w:pPr>
              <w:pStyle w:val="Compact"/>
            </w:pPr>
            <w:r>
              <w:t xml:space="preserve">Median</w:t>
            </w:r>
          </w:p>
        </w:tc>
        <w:tc>
          <w:tcPr/>
          <w:p>
            <w:pPr>
              <w:pStyle w:val="Compact"/>
            </w:pPr>
            <w:r>
              <w:t xml:space="preserve">Power</w:t>
            </w:r>
          </w:p>
        </w:tc>
      </w:tr>
      <w:tr>
        <w:tc>
          <w:tcPr/>
          <w:p>
            <w:pPr>
              <w:pStyle w:val="Compact"/>
            </w:pPr>
            <w:r>
              <w:t xml:space="preserve">25.3</w:t>
            </w:r>
          </w:p>
        </w:tc>
        <w:tc>
          <w:tcPr/>
          <w:p>
            <w:pPr>
              <w:pStyle w:val="Compact"/>
            </w:pPr>
            <w:r>
              <w:t xml:space="preserve">19.0</w:t>
            </w:r>
          </w:p>
        </w:tc>
        <w:tc>
          <w:tcPr/>
          <w:p>
            <w:pPr>
              <w:pStyle w:val="Compact"/>
            </w:pPr>
            <w:r>
              <w:t xml:space="preserve">17.0</w:t>
            </w:r>
          </w:p>
        </w:tc>
        <w:tc>
          <w:tcPr/>
          <w:p>
            <w:pPr>
              <w:pStyle w:val="Compact"/>
            </w:pPr>
            <w:r>
              <w:t xml:space="preserve">6.2%</w:t>
            </w:r>
          </w:p>
        </w:tc>
      </w:tr>
      <w:tr>
        <w:tc>
          <w:tcPr/>
          <w:p>
            <w:pPr>
              <w:pStyle w:val="Compact"/>
            </w:pPr>
            <w:r>
              <w:t xml:space="preserve">50.2</w:t>
            </w:r>
          </w:p>
        </w:tc>
        <w:tc>
          <w:tcPr/>
          <w:p>
            <w:pPr>
              <w:pStyle w:val="Compact"/>
            </w:pPr>
            <w:r>
              <w:t xml:space="preserve">11.6</w:t>
            </w:r>
          </w:p>
        </w:tc>
        <w:tc>
          <w:tcPr/>
          <w:p>
            <w:pPr>
              <w:pStyle w:val="Compact"/>
            </w:pPr>
            <w:r>
              <w:t xml:space="preserve">6.0</w:t>
            </w:r>
          </w:p>
        </w:tc>
        <w:tc>
          <w:tcPr/>
          <w:p>
            <w:pPr>
              <w:pStyle w:val="Compact"/>
            </w:pPr>
            <w:r>
              <w:t xml:space="preserve">15.1%</w:t>
            </w:r>
          </w:p>
        </w:tc>
      </w:tr>
      <w:tr>
        <w:tc>
          <w:tcPr/>
          <w:p>
            <w:pPr>
              <w:pStyle w:val="Compact"/>
            </w:pPr>
            <w:r>
              <w:t xml:space="preserve">66.1</w:t>
            </w:r>
          </w:p>
        </w:tc>
        <w:tc>
          <w:tcPr/>
          <w:p>
            <w:pPr>
              <w:pStyle w:val="Compact"/>
            </w:pPr>
            <w:r>
              <w:t xml:space="preserve">5.2</w:t>
            </w:r>
          </w:p>
        </w:tc>
        <w:tc>
          <w:tcPr/>
          <w:p>
            <w:pPr>
              <w:pStyle w:val="Compact"/>
            </w:pPr>
            <w:r>
              <w:t xml:space="preserve">5.0</w:t>
            </w:r>
          </w:p>
        </w:tc>
        <w:tc>
          <w:tcPr/>
          <w:p>
            <w:pPr>
              <w:pStyle w:val="Compact"/>
            </w:pPr>
            <w:r>
              <w:t xml:space="preserve">67.9%</w:t>
            </w:r>
          </w:p>
        </w:tc>
      </w:tr>
      <w:tr>
        <w:tc>
          <w:tcPr/>
          <w:p>
            <w:pPr>
              <w:pStyle w:val="Compact"/>
            </w:pPr>
            <w:r>
              <w:t xml:space="preserve">76.1</w:t>
            </w:r>
          </w:p>
        </w:tc>
        <w:tc>
          <w:tcPr/>
          <w:p>
            <w:pPr>
              <w:pStyle w:val="Compact"/>
            </w:pPr>
            <w:r>
              <w:t xml:space="preserve">3.8</w:t>
            </w:r>
          </w:p>
        </w:tc>
        <w:tc>
          <w:tcPr/>
          <w:p>
            <w:pPr>
              <w:pStyle w:val="Compact"/>
            </w:pPr>
            <w:r>
              <w:t xml:space="preserve">4.0</w:t>
            </w:r>
          </w:p>
        </w:tc>
        <w:tc>
          <w:tcPr/>
          <w:p>
            <w:pPr>
              <w:pStyle w:val="Compact"/>
            </w:pPr>
            <w:r>
              <w:t xml:space="preserve">98.7%</w:t>
            </w:r>
          </w:p>
        </w:tc>
      </w:tr>
    </w:tbl>
    <w:p>
      <w:r>
        <w:pict>
          <v:rect style="width:0;height:1.5pt" o:hralign="center" o:hrstd="t" o:hr="t"/>
        </w:pict>
      </w:r>
    </w:p>
    <w:bookmarkEnd w:id="25"/>
    <w:bookmarkEnd w:id="26"/>
    <w:bookmarkStart w:id="27" w:name="figure-inventory"/>
    <w:p>
      <w:pPr>
        <w:pStyle w:val="Heading2"/>
      </w:pPr>
      <w:r>
        <w:t xml:space="preserve">5. Figure inventory</w:t>
      </w:r>
    </w:p>
    <w:p>
      <w:pPr>
        <w:pStyle w:val="FirstParagraph"/>
      </w:pPr>
      <w:r>
        <w:t xml:space="preserve">All figures saved as 300 DPI PNG to</w:t>
      </w:r>
      <w:r>
        <w:t xml:space="preserve"> </w:t>
      </w:r>
      <w:r>
        <w:rPr>
          <w:rStyle w:val="VerbatimChar"/>
        </w:rPr>
        <w:t xml:space="preserve">OUTPUT_DIR</w:t>
      </w:r>
      <w:r>
        <w:t xml:space="preserve"> </w:t>
      </w:r>
      <w:r>
        <w:t xml:space="preserve">(script directory).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Content</w:t>
            </w:r>
          </w:p>
        </w:tc>
      </w:tr>
      <w:tr>
        <w:tc>
          <w:tcPr/>
          <w:p>
            <w:pPr>
              <w:pStyle w:val="Compact"/>
            </w:pPr>
            <w:r>
              <w:t xml:space="preserve">fig1_multiscale.png</w:t>
            </w:r>
          </w:p>
        </w:tc>
        <w:tc>
          <w:tcPr/>
          <w:p>
            <w:pPr>
              <w:pStyle w:val="Compact"/>
            </w:pPr>
            <w:r>
              <w:t xml:space="preserve">Multi-scale framework at δ₁, δ₂, δ₃ with barcodes</w:t>
            </w:r>
          </w:p>
        </w:tc>
      </w:tr>
      <w:tr>
        <w:tc>
          <w:tcPr/>
          <w:p>
            <w:pPr>
              <w:pStyle w:val="Compact"/>
            </w:pPr>
            <w:r>
              <w:t xml:space="preserve">fig2_adversarial_coupling.png</w:t>
            </w:r>
          </w:p>
        </w:tc>
        <w:tc>
          <w:tcPr/>
          <w:p>
            <w:pPr>
              <w:pStyle w:val="Compact"/>
            </w:pPr>
            <w:r>
              <w:t xml:space="preserve">Scale-specific adversarial coupling</w:t>
            </w:r>
          </w:p>
        </w:tc>
      </w:tr>
      <w:tr>
        <w:tc>
          <w:tcPr/>
          <w:p>
            <w:pPr>
              <w:pStyle w:val="Compact"/>
            </w:pPr>
            <w:r>
              <w:t xml:space="preserve">fig3_phase_transition.png</w:t>
            </w:r>
          </w:p>
        </w:tc>
        <w:tc>
          <w:tcPr/>
          <w:p>
            <w:pPr>
              <w:pStyle w:val="Compact"/>
            </w:pPr>
            <w:r>
              <w:t xml:space="preserve">Phase transition + T2 CUSUM detection</w:t>
            </w:r>
          </w:p>
        </w:tc>
      </w:tr>
      <w:tr>
        <w:tc>
          <w:tcPr/>
          <w:p>
            <w:pPr>
              <w:pStyle w:val="Compact"/>
            </w:pPr>
            <w:r>
              <w:t xml:space="preserve">fig4_frechet_T1.png</w:t>
            </w:r>
          </w:p>
        </w:tc>
        <w:tc>
          <w:tcPr/>
          <w:p>
            <w:pPr>
              <w:pStyle w:val="Compact"/>
            </w:pPr>
            <w:r>
              <w:t xml:space="preserve">T1 Fréchet mean stability and variance</w:t>
            </w:r>
          </w:p>
        </w:tc>
      </w:tr>
      <w:tr>
        <w:tc>
          <w:tcPr/>
          <w:p>
            <w:pPr>
              <w:pStyle w:val="Compact"/>
            </w:pPr>
            <w:r>
              <w:t xml:space="preserve">fig5_generalised.png</w:t>
            </w:r>
          </w:p>
        </w:tc>
        <w:tc>
          <w:tcPr/>
          <w:p>
            <w:pPr>
              <w:pStyle w:val="Compact"/>
            </w:pPr>
            <w:r>
              <w:t xml:space="preserve">Framework universality across four domains</w:t>
            </w:r>
          </w:p>
        </w:tc>
      </w:tr>
      <w:tr>
        <w:tc>
          <w:tcPr/>
          <w:p>
            <w:pPr>
              <w:pStyle w:val="Compact"/>
            </w:pPr>
            <w:r>
              <w:t xml:space="preserve">fig6_singlescale.png</w:t>
            </w:r>
          </w:p>
        </w:tc>
        <w:tc>
          <w:tcPr/>
          <w:p>
            <w:pPr>
              <w:pStyle w:val="Compact"/>
            </w:pPr>
            <w:r>
              <w:t xml:space="preserve">Single-scale failure case</w:t>
            </w:r>
          </w:p>
        </w:tc>
      </w:tr>
      <w:tr>
        <w:tc>
          <w:tcPr/>
          <w:p>
            <w:pPr>
              <w:pStyle w:val="Compact"/>
            </w:pPr>
            <w:r>
              <w:t xml:space="preserve">fig7_dependence.png</w:t>
            </w:r>
          </w:p>
        </w:tc>
        <w:tc>
          <w:tcPr/>
          <w:p>
            <w:pPr>
              <w:pStyle w:val="Compact"/>
            </w:pPr>
            <w:r>
              <w:t xml:space="preserve">Coin-flip vs tug-of-war dependence structure</w:t>
            </w:r>
          </w:p>
        </w:tc>
      </w:tr>
      <w:tr>
        <w:tc>
          <w:tcPr/>
          <w:p>
            <w:pPr>
              <w:pStyle w:val="Compact"/>
            </w:pPr>
            <w:r>
              <w:t xml:space="preserve">fig8_montecarlo_T2.png</w:t>
            </w:r>
          </w:p>
        </w:tc>
        <w:tc>
          <w:tcPr/>
          <w:p>
            <w:pPr>
              <w:pStyle w:val="Compact"/>
            </w:pPr>
            <w:r>
              <w:t xml:space="preserve">Monte Carlo validation of T2 localisation bound</w:t>
            </w:r>
          </w:p>
        </w:tc>
      </w:tr>
      <w:tr>
        <w:tc>
          <w:tcPr/>
          <w:p>
            <w:pPr>
              <w:pStyle w:val="Compact"/>
            </w:pPr>
            <w:r>
              <w:t xml:space="preserve">fig9_h1_encirclement.png</w:t>
            </w:r>
          </w:p>
        </w:tc>
        <w:tc>
          <w:tcPr/>
          <w:p>
            <w:pPr>
              <w:pStyle w:val="Compact"/>
            </w:pPr>
            <w:r>
              <w:t xml:space="preserve">H₁ from adversarial embedding (encirclement)</w:t>
            </w:r>
          </w:p>
        </w:tc>
      </w:tr>
      <w:tr>
        <w:tc>
          <w:tcPr/>
          <w:p>
            <w:pPr>
              <w:pStyle w:val="Compact"/>
            </w:pPr>
            <w:r>
              <w:t xml:space="preserve">fig10_gtppf_switching.png</w:t>
            </w:r>
          </w:p>
        </w:tc>
        <w:tc>
          <w:tcPr/>
          <w:p>
            <w:pPr>
              <w:pStyle w:val="Compact"/>
            </w:pPr>
            <w:r>
              <w:t xml:space="preserve">Possession switching inverts predator and prey (Python)</w:t>
            </w:r>
          </w:p>
        </w:tc>
      </w:tr>
    </w:tbl>
    <w:p>
      <w:r>
        <w:pict>
          <v:rect style="width:0;height:1.5pt" o:hralign="center" o:hrstd="t" o:hr="t"/>
        </w:pict>
      </w:r>
    </w:p>
    <w:bookmarkEnd w:id="27"/>
    <w:bookmarkStart w:id="34" w:name="connections-to-grant-objectives"/>
    <w:p>
      <w:pPr>
        <w:pStyle w:val="Heading2"/>
      </w:pPr>
      <w:r>
        <w:t xml:space="preserve">6. Connections to grant objectives</w:t>
      </w:r>
    </w:p>
    <w:bookmarkStart w:id="28" w:name="t1-fréchet-mean-well-posedness"/>
    <w:p>
      <w:pPr>
        <w:pStyle w:val="Heading3"/>
      </w:pPr>
      <w:r>
        <w:t xml:space="preserve">6.1 T1 — Fréchet mean well-posedness</w:t>
      </w:r>
    </w:p>
    <w:p>
      <w:pPr>
        <w:pStyle w:val="FirstParagraph"/>
      </w:pPr>
      <w:r>
        <w:t xml:space="preserve">The bounded pitch (diameter ≈ 144 units) makes all H₀ deaths finite. The sliding-window Fréchet mean (W₂, on diagrams) is stable in each steady-state phase, spikes at the transition, and recovers. This is the diagram-valued analogue of T1; the V&amp;A statement is uniqueness in landscape space.</w:t>
      </w:r>
    </w:p>
    <w:bookmarkEnd w:id="28"/>
    <w:bookmarkStart w:id="29" w:name="t2-wasserstein-stability-for-cusum"/>
    <w:p>
      <w:pPr>
        <w:pStyle w:val="Heading3"/>
      </w:pPr>
      <w:r>
        <w:t xml:space="preserve">6.2 T2 — Wasserstein stability for CUSUM</w:t>
      </w:r>
    </w:p>
    <w:p>
      <w:pPr>
        <w:pStyle w:val="FirstParagraph"/>
      </w:pPr>
      <w:r>
        <w:t xml:space="preserve">The phase transition at T* = 50 creates W₁ ≈ 76 between pre- and post-transition A_WIDE/A_NARROW diagrams. CUSUM on that</w:t>
      </w:r>
      <w:r>
        <w:t xml:space="preserve"> </w:t>
      </w:r>
      <w:r>
        <w:rPr>
          <w:b/>
          <w:bCs/>
        </w:rPr>
        <w:t xml:space="preserve">diagram-W₁</w:t>
      </w:r>
      <w:r>
        <w:t xml:space="preserve"> </w:t>
      </w:r>
      <w:r>
        <w:t xml:space="preserve">series detects near T* with calibrated 5% false-alarm control. Figure 8 (1000 realisations per jump size) confirms E[|T̂ − T*|] decreases as the W₁ jump increases, which is the qualitative content of T2’s localisation bound. The V&amp;A theorem is the same bound for a</w:t>
      </w:r>
      <w:r>
        <w:t xml:space="preserve"> </w:t>
      </w:r>
      <w:r>
        <w:rPr>
          <w:b/>
          <w:bCs/>
        </w:rPr>
        <w:t xml:space="preserve">landscape-valued</w:t>
      </w:r>
      <w:r>
        <w:t xml:space="preserve"> </w:t>
      </w:r>
      <w:r>
        <w:t xml:space="preserve">CUSUM; this toy computation is the diagram-valued analogue (and the stated R3 fallback). Do not quote a single-run T̂ as the proof of principle — the Monte Carlo curve is.</w:t>
      </w:r>
    </w:p>
    <w:bookmarkEnd w:id="29"/>
    <w:bookmarkStart w:id="30" w:name="multi-scale-requirement-figure-6"/>
    <w:p>
      <w:pPr>
        <w:pStyle w:val="Heading3"/>
      </w:pPr>
      <w:r>
        <w:t xml:space="preserve">6.3 Multi-scale requirement (Figure 6)</w:t>
      </w:r>
    </w:p>
    <w:p>
      <w:pPr>
        <w:pStyle w:val="FirstParagraph"/>
      </w:pPr>
      <w:r>
        <w:t xml:space="preserve">Two configurations with identical β₀ at δ = 35 are separated by W₁ ≈ 42 in the full barcode.</w:t>
      </w:r>
    </w:p>
    <w:bookmarkEnd w:id="30"/>
    <w:bookmarkStart w:id="31" w:name="framework-universality-figure-5"/>
    <w:p>
      <w:pPr>
        <w:pStyle w:val="Heading3"/>
      </w:pPr>
      <w:r>
        <w:t xml:space="preserve">6.4 Framework universality (Figure 5)</w:t>
      </w:r>
    </w:p>
    <w:p>
      <w:pPr>
        <w:pStyle w:val="FirstParagraph"/>
      </w:pPr>
      <w:r>
        <w:t xml:space="preserve">The same three-level persistence structure appears across football, tumour–immune, predator–prey, and autonomous domains.</w:t>
      </w:r>
    </w:p>
    <w:bookmarkEnd w:id="31"/>
    <w:bookmarkStart w:id="32" w:name="h₁-beyond-hierarchy-figure-9"/>
    <w:p>
      <w:pPr>
        <w:pStyle w:val="Heading3"/>
      </w:pPr>
      <w:r>
        <w:t xml:space="preserve">6.5 H₁ beyond hierarchy (Figure 9)</w:t>
      </w:r>
    </w:p>
    <w:p>
      <w:pPr>
        <w:pStyle w:val="FirstParagraph"/>
      </w:pPr>
      <w:r>
        <w:t xml:space="preserve">Encirclement produces a persistent H₁ loop that is destroyed when an opponent cluster penetrates the ring — a feature invisible to H₀ alone.</w:t>
      </w:r>
    </w:p>
    <w:bookmarkEnd w:id="32"/>
    <w:bookmarkStart w:id="33" w:name="gtppf-switching-figure-10"/>
    <w:p>
      <w:pPr>
        <w:pStyle w:val="Heading3"/>
      </w:pPr>
      <w:r>
        <w:t xml:space="preserve">6.6 GTPPF switching (Figure 10)</w:t>
      </w:r>
    </w:p>
    <w:p>
      <w:pPr>
        <w:pStyle w:val="FirstParagraph"/>
      </w:pPr>
      <w:r>
        <w:t xml:space="preserve">Possession</w:t>
      </w:r>
      <w:r>
        <w:t xml:space="preserve"> </w:t>
      </w:r>
      <m:oMath>
        <m:r>
          <m:t>b</m:t>
        </m:r>
        <m:r>
          <m:rPr>
            <m:sty m:val="p"/>
          </m:rPr>
          <m:t>(</m:t>
        </m:r>
        <m:r>
          <m:t>t</m:t>
        </m:r>
        <m:r>
          <m:rPr>
            <m:sty m:val="p"/>
          </m:rPr>
          <m:t>)</m:t>
        </m:r>
      </m:oMath>
      <w:r>
        <w:t xml:space="preserve"> </w:t>
      </w:r>
      <w:r>
        <w:t xml:space="preserve">inverts predator and prey. Encirclement</w:t>
      </w:r>
      <w:r>
        <w:t xml:space="preserve"> </w:t>
      </w:r>
      <m:oMath>
        <m:sSub>
          <m:e>
            <m:r>
              <m:t>H</m:t>
            </m:r>
          </m:e>
          <m:sub>
            <m:r>
              <m:t>1</m:t>
            </m:r>
          </m:sub>
        </m:sSub>
      </m:oMath>
      <w:r>
        <w:t xml:space="preserve"> </w:t>
      </w:r>
      <w:r>
        <w:t xml:space="preserve">tracks the pressing team; CUSUM localises both switches. This is the football analogue of telegraph-noise competitive systems (Nguyen–Du–Yin 2014) on which the Standard Grant would rest.</w:t>
      </w:r>
    </w:p>
    <w:p>
      <w:r>
        <w:pict>
          <v:rect style="width:0;height:1.5pt" o:hralign="center" o:hrstd="t" o:hr="t"/>
        </w:pict>
      </w:r>
    </w:p>
    <w:bookmarkEnd w:id="33"/>
    <w:bookmarkEnd w:id="34"/>
    <w:bookmarkStart w:id="38" w:name="matlab-implementation-notes"/>
    <w:p>
      <w:pPr>
        <w:pStyle w:val="Heading2"/>
      </w:pPr>
      <w:r>
        <w:t xml:space="preserve">7. MATLAB implementation notes</w:t>
      </w:r>
    </w:p>
    <w:bookmarkStart w:id="35" w:name="requirements"/>
    <w:p>
      <w:pPr>
        <w:pStyle w:val="Heading3"/>
      </w:pPr>
      <w:r>
        <w:t xml:space="preserve">7.1 Requirements</w:t>
      </w:r>
    </w:p>
    <w:p>
      <w:pPr>
        <w:pStyle w:val="Compact"/>
        <w:numPr>
          <w:ilvl w:val="0"/>
          <w:numId w:val="1007"/>
        </w:numPr>
      </w:pPr>
      <w:r>
        <w:rPr>
          <w:b/>
          <w:bCs/>
        </w:rPr>
        <w:t xml:space="preserve">MATLAB R2020b or later</w:t>
      </w:r>
      <w:r>
        <w:t xml:space="preserve"> </w:t>
      </w:r>
      <w:r>
        <w:t xml:space="preserve">(for</w:t>
      </w:r>
      <w:r>
        <w:t xml:space="preserve"> </w:t>
      </w:r>
      <w:r>
        <w:rPr>
          <w:rStyle w:val="VerbatimChar"/>
        </w:rPr>
        <w:t xml:space="preserve">exportgraphics</w:t>
      </w:r>
      <w:r>
        <w:t xml:space="preserve">,</w:t>
      </w:r>
      <w:r>
        <w:t xml:space="preserve"> </w:t>
      </w:r>
      <w:r>
        <w:rPr>
          <w:rStyle w:val="VerbatimChar"/>
        </w:rPr>
        <w:t xml:space="preserve">subtitle</w:t>
      </w:r>
      <w:r>
        <w:t xml:space="preserve">,</w:t>
      </w:r>
      <w:r>
        <w:t xml:space="preserve"> </w:t>
      </w:r>
      <w:r>
        <w:rPr>
          <w:rStyle w:val="VerbatimChar"/>
        </w:rPr>
        <w:t xml:space="preserve">tiledlayout</w:t>
      </w:r>
      <w:r>
        <w:t xml:space="preserve">)</w:t>
      </w:r>
    </w:p>
    <w:p>
      <w:pPr>
        <w:pStyle w:val="Compact"/>
        <w:numPr>
          <w:ilvl w:val="0"/>
          <w:numId w:val="1007"/>
        </w:numPr>
      </w:pPr>
      <w:r>
        <w:t xml:space="preserve">Built-in:</w:t>
      </w:r>
      <w:r>
        <w:t xml:space="preserve"> </w:t>
      </w:r>
      <w:r>
        <w:rPr>
          <w:rStyle w:val="VerbatimChar"/>
        </w:rPr>
        <w:t xml:space="preserve">matchpairs</w:t>
      </w:r>
      <w:r>
        <w:t xml:space="preserve"> </w:t>
      </w:r>
      <w:r>
        <w:t xml:space="preserve">(R2019a),</w:t>
      </w:r>
      <w:r>
        <w:t xml:space="preserve"> </w:t>
      </w:r>
      <w:r>
        <w:rPr>
          <w:rStyle w:val="VerbatimChar"/>
        </w:rPr>
        <w:t xml:space="preserve">graph</w:t>
      </w:r>
      <w:r>
        <w:t xml:space="preserve"> </w:t>
      </w:r>
      <w:r>
        <w:t xml:space="preserve">— no Statistics Toolbox required</w:t>
      </w:r>
    </w:p>
    <w:p>
      <w:pPr>
        <w:pStyle w:val="Compact"/>
        <w:numPr>
          <w:ilvl w:val="0"/>
          <w:numId w:val="1007"/>
        </w:numPr>
      </w:pPr>
      <w:r>
        <w:t xml:space="preserve">Persistent homology computed from first principles (Prim MST for H₀; GF(2) VR for H₁)</w:t>
      </w:r>
    </w:p>
    <w:bookmarkEnd w:id="35"/>
    <w:bookmarkStart w:id="36" w:name="key-function-signatures"/>
    <w:p>
      <w:pPr>
        <w:pStyle w:val="Heading3"/>
      </w:pPr>
      <w:r>
        <w:t xml:space="preserve">7.2 Key function signatures</w:t>
      </w:r>
    </w:p>
    <w:p>
      <w:pPr>
        <w:pStyle w:val="SourceCode"/>
      </w:pPr>
      <w:r>
        <w:rPr>
          <w:rStyle w:val="VariableTok"/>
        </w:rPr>
        <w:t xml:space="preserve">pts</w:t>
      </w:r>
      <w:r>
        <w:rPr>
          <w:rStyle w:val="NormalTok"/>
        </w:rPr>
        <w:t xml:space="preserve">  </w:t>
      </w:r>
      <w:r>
        <w:rPr>
          <w:rStyle w:val="OperatorTok"/>
        </w:rPr>
        <w:t xml:space="preserve">=</w:t>
      </w:r>
      <w:r>
        <w:rPr>
          <w:rStyle w:val="NormalTok"/>
        </w:rPr>
        <w:t xml:space="preserve"> </w:t>
      </w:r>
      <w:r>
        <w:rPr>
          <w:rStyle w:val="VariableTok"/>
        </w:rPr>
        <w:t xml:space="preserve">tri_cluster</w:t>
      </w:r>
      <w:r>
        <w:rPr>
          <w:rStyle w:val="NormalTok"/>
        </w:rPr>
        <w:t xml:space="preserve">(</w:t>
      </w:r>
      <w:r>
        <w:rPr>
          <w:rStyle w:val="VariableTok"/>
        </w:rPr>
        <w:t xml:space="preserve">cx</w:t>
      </w:r>
      <w:r>
        <w:rPr>
          <w:rStyle w:val="OperatorTok"/>
        </w:rPr>
        <w:t xml:space="preserve">,</w:t>
      </w:r>
      <w:r>
        <w:rPr>
          <w:rStyle w:val="NormalTok"/>
        </w:rPr>
        <w:t xml:space="preserve"> </w:t>
      </w:r>
      <w:r>
        <w:rPr>
          <w:rStyle w:val="VariableTok"/>
        </w:rPr>
        <w:t xml:space="preserve">cy</w:t>
      </w:r>
      <w:r>
        <w:rPr>
          <w:rStyle w:val="OperatorTok"/>
        </w:rPr>
        <w:t xml:space="preserve">,</w:t>
      </w:r>
      <w:r>
        <w:rPr>
          <w:rStyle w:val="NormalTok"/>
        </w:rPr>
        <w:t xml:space="preserve"> </w:t>
      </w:r>
      <w:r>
        <w:rPr>
          <w:rStyle w:val="VariableTok"/>
        </w:rPr>
        <w:t xml:space="preserve">r</w:t>
      </w:r>
      <w:r>
        <w:rPr>
          <w:rStyle w:val="NormalTok"/>
        </w:rPr>
        <w:t xml:space="preserve">)           </w:t>
      </w:r>
      <w:r>
        <w:rPr>
          <w:rStyle w:val="CommentTok"/>
        </w:rPr>
        <w:t xml:space="preserve">% 3×2 cluster template</w:t>
      </w:r>
      <w:r>
        <w:br/>
      </w:r>
      <w:r>
        <w:rPr>
          <w:rStyle w:val="VariableTok"/>
        </w:rPr>
        <w:t xml:space="preserve">deaths</w:t>
      </w:r>
      <w:r>
        <w:rPr>
          <w:rStyle w:val="NormalTok"/>
        </w:rPr>
        <w:t xml:space="preserve"> </w:t>
      </w:r>
      <w:r>
        <w:rPr>
          <w:rStyle w:val="OperatorTok"/>
        </w:rPr>
        <w:t xml:space="preserve">=</w:t>
      </w:r>
      <w:r>
        <w:rPr>
          <w:rStyle w:val="NormalTok"/>
        </w:rPr>
        <w:t xml:space="preserve"> </w:t>
      </w:r>
      <w:r>
        <w:rPr>
          <w:rStyle w:val="VariableTok"/>
        </w:rPr>
        <w:t xml:space="preserve">compute_h0</w:t>
      </w:r>
      <w:r>
        <w:rPr>
          <w:rStyle w:val="NormalTok"/>
        </w:rPr>
        <w:t xml:space="preserve">(</w:t>
      </w:r>
      <w:r>
        <w:rPr>
          <w:rStyle w:val="VariableTok"/>
        </w:rPr>
        <w:t xml:space="preserve">pts</w:t>
      </w:r>
      <w:r>
        <w:rPr>
          <w:rStyle w:val="NormalTok"/>
        </w:rPr>
        <w:t xml:space="preserve">)                </w:t>
      </w:r>
      <w:r>
        <w:rPr>
          <w:rStyle w:val="CommentTok"/>
        </w:rPr>
        <w:t xml:space="preserve">% (N−1)×1 sorted deaths</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VariableTok"/>
        </w:rPr>
        <w:t xml:space="preserve">wasserstein_p</w:t>
      </w:r>
      <w:r>
        <w:rPr>
          <w:rStyle w:val="NormalTok"/>
        </w:rPr>
        <w:t xml:space="preserve">(</w:t>
      </w:r>
      <w:r>
        <w:rPr>
          <w:rStyle w:val="VariableTok"/>
        </w:rPr>
        <w:t xml:space="preserve">d1</w:t>
      </w:r>
      <w:r>
        <w:rPr>
          <w:rStyle w:val="OperatorTok"/>
        </w:rPr>
        <w:t xml:space="preserve">,</w:t>
      </w:r>
      <w:r>
        <w:rPr>
          <w:rStyle w:val="NormalTok"/>
        </w:rPr>
        <w:t xml:space="preserve"> </w:t>
      </w:r>
      <w:r>
        <w:rPr>
          <w:rStyle w:val="VariableTok"/>
        </w:rPr>
        <w:t xml:space="preserve">d2</w:t>
      </w:r>
      <w:r>
        <w:rPr>
          <w:rStyle w:val="OperatorTok"/>
        </w:rPr>
        <w:t xml:space="preserve">,</w:t>
      </w:r>
      <w:r>
        <w:rPr>
          <w:rStyle w:val="NormalTok"/>
        </w:rPr>
        <w:t xml:space="preserve"> </w:t>
      </w:r>
      <w:r>
        <w:rPr>
          <w:rStyle w:val="VariableTok"/>
        </w:rPr>
        <w:t xml:space="preserve">p</w:t>
      </w:r>
      <w:r>
        <w:rPr>
          <w:rStyle w:val="NormalTok"/>
        </w:rPr>
        <w:t xml:space="preserve">)         </w:t>
      </w:r>
      <w:r>
        <w:rPr>
          <w:rStyle w:val="CommentTok"/>
        </w:rPr>
        <w:t xml:space="preserve">% exact W_p (p=1 or 2)</w:t>
      </w:r>
      <w:r>
        <w:br/>
      </w:r>
      <w:r>
        <w:rPr>
          <w:rStyle w:val="VariableTok"/>
        </w:rPr>
        <w:t xml:space="preserve">mu</w:t>
      </w:r>
      <w:r>
        <w:rPr>
          <w:rStyle w:val="NormalTok"/>
        </w:rPr>
        <w:t xml:space="preserve">   </w:t>
      </w:r>
      <w:r>
        <w:rPr>
          <w:rStyle w:val="OperatorTok"/>
        </w:rPr>
        <w:t xml:space="preserve">=</w:t>
      </w:r>
      <w:r>
        <w:rPr>
          <w:rStyle w:val="NormalTok"/>
        </w:rPr>
        <w:t xml:space="preserve"> </w:t>
      </w:r>
      <w:r>
        <w:rPr>
          <w:rStyle w:val="VariableTok"/>
        </w:rPr>
        <w:t xml:space="preserve">frechet_mean</w:t>
      </w:r>
      <w:r>
        <w:rPr>
          <w:rStyle w:val="NormalTok"/>
        </w:rPr>
        <w:t xml:space="preserve">(</w:t>
      </w:r>
      <w:r>
        <w:rPr>
          <w:rStyle w:val="VariableTok"/>
        </w:rPr>
        <w:t xml:space="preserve">diags</w:t>
      </w:r>
      <w:r>
        <w:rPr>
          <w:rStyle w:val="NormalTok"/>
        </w:rPr>
        <w:t xml:space="preserve">)              </w:t>
      </w:r>
      <w:r>
        <w:rPr>
          <w:rStyle w:val="CommentTok"/>
        </w:rPr>
        <w:t xml:space="preserve">% W2 barycentre (cell array in)</w:t>
      </w:r>
      <w:r>
        <w:br/>
      </w:r>
      <w:r>
        <w:rPr>
          <w:rStyle w:val="NormalTok"/>
        </w:rPr>
        <w:t xml:space="preserve">[</w:t>
      </w:r>
      <w:r>
        <w:rPr>
          <w:rStyle w:val="VariableTok"/>
        </w:rPr>
        <w:t xml:space="preserve">A</w:t>
      </w:r>
      <w:r>
        <w:rPr>
          <w:rStyle w:val="OperatorTok"/>
        </w:rPr>
        <w:t xml:space="preserve">,</w:t>
      </w:r>
      <w:r>
        <w:rPr>
          <w:rStyle w:val="VariableTok"/>
        </w:rPr>
        <w:t xml:space="preserve">B</w:t>
      </w:r>
      <w:r>
        <w:rPr>
          <w:rStyle w:val="NormalTok"/>
        </w:rPr>
        <w:t xml:space="preserve">] </w:t>
      </w:r>
      <w:r>
        <w:rPr>
          <w:rStyle w:val="OperatorTok"/>
        </w:rPr>
        <w:t xml:space="preserve">=</w:t>
      </w:r>
      <w:r>
        <w:rPr>
          <w:rStyle w:val="NormalTok"/>
        </w:rPr>
        <w:t xml:space="preserve"> </w:t>
      </w:r>
      <w:r>
        <w:rPr>
          <w:rStyle w:val="VariableTok"/>
        </w:rPr>
        <w:t xml:space="preserve">get_config</w:t>
      </w:r>
      <w:r>
        <w:rPr>
          <w:rStyle w:val="NormalTok"/>
        </w:rPr>
        <w:t xml:space="preserve">(</w:t>
      </w:r>
      <w:r>
        <w:rPr>
          <w:rStyle w:val="Variable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agent positions at time t</w:t>
      </w:r>
      <w:r>
        <w:br/>
      </w:r>
      <w:r>
        <w:rPr>
          <w:rStyle w:val="NormalTok"/>
        </w:rPr>
        <w:t xml:space="preserve">[</w:t>
      </w:r>
      <w:r>
        <w:rPr>
          <w:rStyle w:val="VariableTok"/>
        </w:rPr>
        <w:t xml:space="preserve">C</w:t>
      </w:r>
      <w:r>
        <w:rPr>
          <w:rStyle w:val="OperatorTok"/>
        </w:rPr>
        <w:t xml:space="preserve">,</w:t>
      </w:r>
      <w:r>
        <w:rPr>
          <w:rStyle w:val="NormalTok"/>
        </w:rPr>
        <w:t xml:space="preserve"> </w:t>
      </w:r>
      <w:r>
        <w:rPr>
          <w:rStyle w:val="VariableTok"/>
        </w:rPr>
        <w:t xml:space="preserve">T_hat</w:t>
      </w:r>
      <w:r>
        <w:rPr>
          <w:rStyle w:val="NormalTok"/>
        </w:rPr>
        <w:t xml:space="preserve">] </w:t>
      </w:r>
      <w:r>
        <w:rPr>
          <w:rStyle w:val="OperatorTok"/>
        </w:rPr>
        <w:t xml:space="preserve">=</w:t>
      </w:r>
      <w:r>
        <w:rPr>
          <w:rStyle w:val="NormalTok"/>
        </w:rPr>
        <w:t xml:space="preserve"> </w:t>
      </w:r>
      <w:r>
        <w:rPr>
          <w:rStyle w:val="VariableTok"/>
        </w:rPr>
        <w:t xml:space="preserve">run_cusum</w:t>
      </w:r>
      <w:r>
        <w:rPr>
          <w:rStyle w:val="NormalTok"/>
        </w:rPr>
        <w:t xml:space="preserve">(</w:t>
      </w:r>
      <w:r>
        <w:rPr>
          <w:rStyle w:val="VariableTok"/>
        </w:rPr>
        <w:t xml:space="preserve">w_series</w:t>
      </w:r>
      <w:r>
        <w:rPr>
          <w:rStyle w:val="OperatorTok"/>
        </w:rPr>
        <w:t xml:space="preserve">,</w:t>
      </w:r>
      <w:r>
        <w:rPr>
          <w:rStyle w:val="NormalTok"/>
        </w:rPr>
        <w:t xml:space="preserve"> </w:t>
      </w:r>
      <w:r>
        <w:rPr>
          <w:rStyle w:val="VariableTok"/>
        </w:rPr>
        <w:t xml:space="preserve">kappa</w:t>
      </w:r>
      <w:r>
        <w:rPr>
          <w:rStyle w:val="OperatorTok"/>
        </w:rPr>
        <w:t xml:space="preserve">,</w:t>
      </w:r>
      <w:r>
        <w:rPr>
          <w:rStyle w:val="NormalTok"/>
        </w:rPr>
        <w:t xml:space="preserve"> </w:t>
      </w:r>
      <w:r>
        <w:rPr>
          <w:rStyle w:val="VariableTok"/>
        </w:rPr>
        <w:t xml:space="preserve">h</w:t>
      </w:r>
      <w:r>
        <w:rPr>
          <w:rStyle w:val="NormalTok"/>
        </w:rPr>
        <w:t xml:space="preserve">)</w:t>
      </w:r>
      <w:r>
        <w:br/>
      </w:r>
      <w:r>
        <w:rPr>
          <w:rStyle w:val="NormalTok"/>
        </w:rPr>
        <w:t xml:space="preserve">[</w:t>
      </w:r>
      <w:r>
        <w:rPr>
          <w:rStyle w:val="OperatorTok"/>
        </w:rPr>
        <w:t xml:space="preserve">~,</w:t>
      </w:r>
      <w:r>
        <w:rPr>
          <w:rStyle w:val="NormalTok"/>
        </w:rPr>
        <w:t xml:space="preserve"> </w:t>
      </w:r>
      <w:r>
        <w:rPr>
          <w:rStyle w:val="VariableTok"/>
        </w:rPr>
        <w:t xml:space="preserve">h1</w:t>
      </w:r>
      <w:r>
        <w:rPr>
          <w:rStyle w:val="NormalTok"/>
        </w:rPr>
        <w:t xml:space="preserve">] </w:t>
      </w:r>
      <w:r>
        <w:rPr>
          <w:rStyle w:val="OperatorTok"/>
        </w:rPr>
        <w:t xml:space="preserve">=</w:t>
      </w:r>
      <w:r>
        <w:rPr>
          <w:rStyle w:val="NormalTok"/>
        </w:rPr>
        <w:t xml:space="preserve"> </w:t>
      </w:r>
      <w:r>
        <w:rPr>
          <w:rStyle w:val="VariableTok"/>
        </w:rPr>
        <w:t xml:space="preserve">vr_persistence</w:t>
      </w:r>
      <w:r>
        <w:rPr>
          <w:rStyle w:val="NormalTok"/>
        </w:rPr>
        <w:t xml:space="preserve">(</w:t>
      </w:r>
      <w:r>
        <w:rPr>
          <w:rStyle w:val="VariableTok"/>
        </w:rPr>
        <w:t xml:space="preserve">pts</w:t>
      </w:r>
      <w:r>
        <w:rPr>
          <w:rStyle w:val="OperatorTok"/>
        </w:rPr>
        <w:t xml:space="preserve">,</w:t>
      </w:r>
      <w:r>
        <w:rPr>
          <w:rStyle w:val="NormalTok"/>
        </w:rPr>
        <w:t xml:space="preserve"> </w:t>
      </w:r>
      <w:r>
        <w:rPr>
          <w:rStyle w:val="VariableTok"/>
        </w:rPr>
        <w:t xml:space="preserve">max_delta</w:t>
      </w:r>
      <w:r>
        <w:rPr>
          <w:rStyle w:val="NormalTok"/>
        </w:rPr>
        <w:t xml:space="preserve">)</w:t>
      </w:r>
      <w:r>
        <w:br/>
      </w:r>
      <w:r>
        <w:rPr>
          <w:rStyle w:val="NormalTok"/>
        </w:rPr>
        <w:t xml:space="preserve">[</w:t>
      </w:r>
      <w:r>
        <w:rPr>
          <w:rStyle w:val="VariableTok"/>
        </w:rPr>
        <w:t xml:space="preserve">sA</w:t>
      </w:r>
      <w:r>
        <w:rPr>
          <w:rStyle w:val="OperatorTok"/>
        </w:rPr>
        <w:t xml:space="preserve">,</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w:t>
      </w:r>
      <w:r>
        <w:rPr>
          <w:rStyle w:val="VariableTok"/>
        </w:rPr>
        <w:t xml:space="preserve">coupled_series</w:t>
      </w:r>
      <w:r>
        <w:rPr>
          <w:rStyle w:val="NormalTok"/>
        </w:rPr>
        <w:t xml:space="preserve">(</w:t>
      </w:r>
      <w:r>
        <w:rPr>
          <w:rStyle w:val="VariableTok"/>
        </w:rPr>
        <w:t xml:space="preserve">A0</w:t>
      </w:r>
      <w:r>
        <w:rPr>
          <w:rStyle w:val="OperatorTok"/>
        </w:rPr>
        <w:t xml:space="preserve">,</w:t>
      </w:r>
      <w:r>
        <w:rPr>
          <w:rStyle w:val="NormalTok"/>
        </w:rPr>
        <w:t xml:space="preserve"> </w:t>
      </w:r>
      <w:r>
        <w:rPr>
          <w:rStyle w:val="VariableTok"/>
        </w:rPr>
        <w:t xml:space="preserve">B0</w:t>
      </w:r>
      <w:r>
        <w:rPr>
          <w:rStyle w:val="OperatorTok"/>
        </w:rPr>
        <w:t xml:space="preserve">,</w:t>
      </w:r>
      <w:r>
        <w:rPr>
          <w:rStyle w:val="NormalTok"/>
        </w:rPr>
        <w:t xml:space="preserve"> </w:t>
      </w:r>
      <w:r>
        <w:rPr>
          <w:rStyle w:val="Variable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dependence experiment</w:t>
      </w:r>
    </w:p>
    <w:bookmarkEnd w:id="36"/>
    <w:bookmarkStart w:id="37" w:name="revision-history-august-2026"/>
    <w:p>
      <w:pPr>
        <w:pStyle w:val="Heading3"/>
      </w:pPr>
      <w:r>
        <w:t xml:space="preserve">7.3 Revision history (August 2026)</w:t>
      </w:r>
    </w:p>
    <w:p>
      <w:pPr>
        <w:pStyle w:val="FirstParagraph"/>
      </w:pPr>
      <w:r>
        <w:t xml:space="preserve">Corrections since the initial delivery:</w:t>
      </w:r>
    </w:p>
    <w:p>
      <w:pPr>
        <w:pStyle w:val="Compact"/>
        <w:numPr>
          <w:ilvl w:val="0"/>
          <w:numId w:val="1008"/>
        </w:numPr>
      </w:pPr>
      <w:r>
        <w:t xml:space="preserve">A_NARROW cluster spacing fixed to uniform 16 units (was 16/20/16)</w:t>
      </w:r>
    </w:p>
    <w:p>
      <w:pPr>
        <w:pStyle w:val="Compact"/>
        <w:numPr>
          <w:ilvl w:val="0"/>
          <w:numId w:val="1008"/>
        </w:numPr>
      </w:pPr>
      <w:r>
        <w:t xml:space="preserve">Wasserstein: exact optimal transport via</w:t>
      </w:r>
      <w:r>
        <w:t xml:space="preserve"> </w:t>
      </w:r>
      <w:r>
        <w:rPr>
          <w:rStyle w:val="VerbatimChar"/>
        </w:rPr>
        <w:t xml:space="preserve">matchpairs</w:t>
      </w:r>
      <w:r>
        <w:t xml:space="preserve">, not sorted matching</w:t>
      </w:r>
    </w:p>
    <w:p>
      <w:pPr>
        <w:pStyle w:val="Compact"/>
        <w:numPr>
          <w:ilvl w:val="0"/>
          <w:numId w:val="1008"/>
        </w:numPr>
      </w:pPr>
      <w:r>
        <w:t xml:space="preserve">Fréchet mean/variance: W₂ throughout (Turner et al.)</w:t>
      </w:r>
    </w:p>
    <w:p>
      <w:pPr>
        <w:pStyle w:val="Compact"/>
        <w:numPr>
          <w:ilvl w:val="0"/>
          <w:numId w:val="1008"/>
        </w:numPr>
      </w:pPr>
      <w:r>
        <w:t xml:space="preserve">Noise: Gaussian (</w:t>
      </w:r>
      <w:r>
        <w:rPr>
          <w:rStyle w:val="VerbatimChar"/>
        </w:rPr>
        <w:t xml:space="preserve">randn</w:t>
      </w:r>
      <w:r>
        <w:t xml:space="preserve">), not uniform</w:t>
      </w:r>
    </w:p>
    <w:p>
      <w:pPr>
        <w:pStyle w:val="Compact"/>
        <w:numPr>
          <w:ilvl w:val="0"/>
          <w:numId w:val="1008"/>
        </w:numPr>
      </w:pPr>
      <w:r>
        <w:t xml:space="preserve">CUSUM: Monte Carlo calibration for 5% false-alarm rate</w:t>
      </w:r>
    </w:p>
    <w:p>
      <w:pPr>
        <w:pStyle w:val="Compact"/>
        <w:numPr>
          <w:ilvl w:val="0"/>
          <w:numId w:val="1008"/>
        </w:numPr>
      </w:pPr>
      <w:r>
        <w:t xml:space="preserve">Display scale δ₂ = 40 (was 22)</w:t>
      </w:r>
    </w:p>
    <w:p>
      <w:pPr>
        <w:pStyle w:val="Compact"/>
        <w:numPr>
          <w:ilvl w:val="0"/>
          <w:numId w:val="1008"/>
        </w:numPr>
      </w:pPr>
      <w:r>
        <w:t xml:space="preserve">Figure 7: stationary coupled vs independent comparison</w:t>
      </w:r>
    </w:p>
    <w:p>
      <w:pPr>
        <w:pStyle w:val="Compact"/>
        <w:numPr>
          <w:ilvl w:val="0"/>
          <w:numId w:val="1008"/>
        </w:numPr>
      </w:pPr>
      <w:r>
        <w:t xml:space="preserve">Figures 8 (Monte Carlo T2) and 9 (H₁ encirclement) added</w:t>
      </w:r>
    </w:p>
    <w:p>
      <w:r>
        <w:pict>
          <v:rect style="width:0;height:1.5pt" o:hralign="center" o:hrstd="t" o:hr="t"/>
        </w:pict>
      </w:r>
    </w:p>
    <w:bookmarkEnd w:id="37"/>
    <w:bookmarkEnd w:id="38"/>
    <w:bookmarkStart w:id="41" w:name="development-directions"/>
    <w:p>
      <w:pPr>
        <w:pStyle w:val="Heading2"/>
      </w:pPr>
      <w:r>
        <w:t xml:space="preserve">8. Development directions</w:t>
      </w:r>
    </w:p>
    <w:bookmarkStart w:id="39" w:name="immediate-extensions"/>
    <w:p>
      <w:pPr>
        <w:pStyle w:val="Heading3"/>
      </w:pPr>
      <w:r>
        <w:t xml:space="preserve">8.1 Immediate extensions</w:t>
      </w:r>
    </w:p>
    <w:p>
      <w:pPr>
        <w:pStyle w:val="Compact"/>
        <w:numPr>
          <w:ilvl w:val="0"/>
          <w:numId w:val="1009"/>
        </w:numPr>
      </w:pPr>
      <w:r>
        <w:rPr>
          <w:b/>
          <w:bCs/>
        </w:rPr>
        <w:t xml:space="preserve">MATLAB App Designer:</w:t>
      </w:r>
      <w:r>
        <w:t xml:space="preserve"> </w:t>
      </w:r>
      <w:r>
        <w:t xml:space="preserve">δ slider, time slider, live barcode, CUSUM display</w:t>
      </w:r>
    </w:p>
    <w:p>
      <w:pPr>
        <w:pStyle w:val="Compact"/>
        <w:numPr>
          <w:ilvl w:val="0"/>
          <w:numId w:val="1009"/>
        </w:numPr>
      </w:pPr>
      <w:r>
        <w:rPr>
          <w:b/>
          <w:bCs/>
        </w:rPr>
        <w:t xml:space="preserve">Ultrametric distance u_GH:</w:t>
      </w:r>
      <w:r>
        <w:t xml:space="preserve"> </w:t>
      </w:r>
      <w:r>
        <w:t xml:space="preserve">Mémoli–Smith–Wan dendrogram comparison metric</w:t>
      </w:r>
    </w:p>
    <w:bookmarkEnd w:id="39"/>
    <w:bookmarkStart w:id="40" w:name="standard-grant-extensions"/>
    <w:p>
      <w:pPr>
        <w:pStyle w:val="Heading3"/>
      </w:pPr>
      <w:r>
        <w:t xml:space="preserve">8.2 Standard Grant extensions</w:t>
      </w:r>
    </w:p>
    <w:p>
      <w:pPr>
        <w:pStyle w:val="Compact"/>
        <w:numPr>
          <w:ilvl w:val="0"/>
          <w:numId w:val="1010"/>
        </w:numPr>
      </w:pPr>
      <w:r>
        <w:t xml:space="preserve">Mean-field Fokker–Planck limit for T1</w:t>
      </w:r>
    </w:p>
    <w:p>
      <w:pPr>
        <w:pStyle w:val="Compact"/>
        <w:numPr>
          <w:ilvl w:val="0"/>
          <w:numId w:val="1010"/>
        </w:numPr>
      </w:pPr>
      <w:r>
        <w:t xml:space="preserve">Topology-conditional switching rate</w:t>
      </w:r>
      <w:r>
        <w:t xml:space="preserve"> </w:t>
      </w:r>
      <m:oMath>
        <m:r>
          <m:t>λ</m:t>
        </m:r>
        <m:r>
          <m:rPr>
            <m:sty m:val="p"/>
          </m:rPr>
          <m:t>(</m:t>
        </m:r>
        <m:r>
          <m:t>X</m:t>
        </m:r>
        <m:r>
          <m:rPr>
            <m:sty m:val="p"/>
          </m:rPr>
          <m:t>,</m:t>
        </m:r>
        <m:r>
          <m:t>b</m:t>
        </m:r>
        <m:r>
          <m:rPr>
            <m:sty m:val="p"/>
          </m:rPr>
          <m:t>)</m:t>
        </m:r>
        <m:r>
          <m:rPr>
            <m:sty m:val="p"/>
          </m:rPr>
          <m:t>=</m:t>
        </m:r>
        <m:sSub>
          <m:e>
            <m:r>
              <m:t>λ</m:t>
            </m:r>
          </m:e>
          <m:sub>
            <m:r>
              <m:t>0</m:t>
            </m:r>
          </m:sub>
        </m:sSub>
        <m:r>
          <m:rPr>
            <m:sty m:val="p"/>
          </m:rPr>
          <m:t>+</m:t>
        </m:r>
        <m:sSub>
          <m:e>
            <m:r>
              <m:t>λ</m:t>
            </m:r>
          </m:e>
          <m:sub>
            <m:r>
              <m:t>1</m:t>
            </m:r>
          </m:sub>
        </m:sSub>
        <m:r>
          <m:t>f</m:t>
        </m:r>
        <m:r>
          <m:rPr>
            <m:sty m:val="p"/>
          </m:rPr>
          <m:t>(</m:t>
        </m:r>
        <m:r>
          <m:t>φ</m:t>
        </m:r>
        <m:r>
          <m:rPr>
            <m:sty m:val="p"/>
          </m:rPr>
          <m:t>(</m:t>
        </m:r>
        <m:r>
          <m:t>X</m:t>
        </m:r>
        <m:r>
          <m:rPr>
            <m:sty m:val="p"/>
          </m:rPr>
          <m:t>)</m:t>
        </m:r>
        <m:r>
          <m:rPr>
            <m:sty m:val="p"/>
          </m:rPr>
          <m:t>)</m:t>
        </m:r>
      </m:oMath>
      <w:r>
        <w:t xml:space="preserve"> </w:t>
      </w:r>
      <w:r>
        <w:t xml:space="preserve">(Chat 2)</w:t>
      </w:r>
    </w:p>
    <w:p>
      <w:pPr>
        <w:pStyle w:val="Compact"/>
        <w:numPr>
          <w:ilvl w:val="0"/>
          <w:numId w:val="1010"/>
        </w:numPr>
      </w:pPr>
      <w:r>
        <w:t xml:space="preserve">Cross-domain O1 stability gate (threshold 0.80)</w:t>
      </w:r>
    </w:p>
    <w:p>
      <w:r>
        <w:pict>
          <v:rect style="width:0;height:1.5pt" o:hralign="center" o:hrstd="t" o:hr="t"/>
        </w:pict>
      </w:r>
    </w:p>
    <w:bookmarkEnd w:id="40"/>
    <w:bookmarkEnd w:id="41"/>
    <w:bookmarkStart w:id="42" w:name="key-mathematical-references"/>
    <w:p>
      <w:pPr>
        <w:pStyle w:val="Heading2"/>
      </w:pPr>
      <w:r>
        <w:t xml:space="preserve">9. Key mathematical references</w:t>
      </w:r>
    </w:p>
    <w:p>
      <w:pPr>
        <w:pStyle w:val="Compact"/>
        <w:numPr>
          <w:ilvl w:val="0"/>
          <w:numId w:val="1011"/>
        </w:numPr>
      </w:pPr>
      <w:r>
        <w:t xml:space="preserve">Carlsson &amp; Mémoli (2010) JMLR 11:1425 — ultrametric/dendrogram correspondence</w:t>
      </w:r>
    </w:p>
    <w:p>
      <w:pPr>
        <w:pStyle w:val="Compact"/>
        <w:numPr>
          <w:ilvl w:val="0"/>
          <w:numId w:val="1011"/>
        </w:numPr>
      </w:pPr>
      <w:r>
        <w:t xml:space="preserve">Cohen-Steiner et al. (2007) DCG 37:103 — W₁ stability</w:t>
      </w:r>
    </w:p>
    <w:p>
      <w:pPr>
        <w:pStyle w:val="Compact"/>
        <w:numPr>
          <w:ilvl w:val="0"/>
          <w:numId w:val="1011"/>
        </w:numPr>
      </w:pPr>
      <w:r>
        <w:t xml:space="preserve">Chazal et al. (2014) SoCG 474 — landscape convergence (T1)</w:t>
      </w:r>
    </w:p>
    <w:p>
      <w:pPr>
        <w:pStyle w:val="Compact"/>
        <w:numPr>
          <w:ilvl w:val="0"/>
          <w:numId w:val="1011"/>
        </w:numPr>
      </w:pPr>
      <w:r>
        <w:t xml:space="preserve">Turner et al. (2014) DCG 52:44 — Fréchet means (W₂)</w:t>
      </w:r>
    </w:p>
    <w:p>
      <w:pPr>
        <w:pStyle w:val="Compact"/>
        <w:numPr>
          <w:ilvl w:val="0"/>
          <w:numId w:val="1011"/>
        </w:numPr>
      </w:pPr>
      <w:r>
        <w:t xml:space="preserve">Cao &amp; Monod (2025) CG 128:102162 — Fréchet mean uniqueness</w:t>
      </w:r>
    </w:p>
    <w:p>
      <w:pPr>
        <w:pStyle w:val="Compact"/>
        <w:numPr>
          <w:ilvl w:val="0"/>
          <w:numId w:val="1011"/>
        </w:numPr>
      </w:pPr>
      <w:r>
        <w:t xml:space="preserve">MacPherson &amp; Schweinhart (2012) JMP 53:073516 — H₁ from embedding</w:t>
      </w:r>
    </w:p>
    <w:p>
      <w:pPr>
        <w:pStyle w:val="Compact"/>
        <w:numPr>
          <w:ilvl w:val="0"/>
          <w:numId w:val="1011"/>
        </w:numPr>
      </w:pPr>
      <w:r>
        <w:t xml:space="preserve">Schindler &amp; Barahona (2025) arXiv:2305.04281 — H₁ from cluster conflicts</w:t>
      </w:r>
    </w:p>
    <w:p>
      <w:pPr>
        <w:pStyle w:val="Compact"/>
        <w:numPr>
          <w:ilvl w:val="0"/>
          <w:numId w:val="1011"/>
        </w:numPr>
      </w:pPr>
      <w:r>
        <w:t xml:space="preserve">Skraba &amp; Turner (2024) arXiv:2006.16824 — Wasserstein stability (T2)</w:t>
      </w:r>
    </w:p>
    <w:p>
      <w:pPr>
        <w:pStyle w:val="Compact"/>
        <w:numPr>
          <w:ilvl w:val="0"/>
          <w:numId w:val="1011"/>
        </w:numPr>
      </w:pPr>
      <w:r>
        <w:t xml:space="preserve">Page (1954) Biometrika 41:100 — CUSUM</w:t>
      </w:r>
    </w:p>
    <w:p>
      <w:pPr>
        <w:pStyle w:val="Compact"/>
        <w:numPr>
          <w:ilvl w:val="0"/>
          <w:numId w:val="1011"/>
        </w:numPr>
      </w:pPr>
      <w:r>
        <w:t xml:space="preserve">Nguyen, Du &amp; Yin (2014) JDE 257:2078 — switching competitive systems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2026-08-21T14:25:27Z</dcterms:created>
  <dcterms:modified xsi:type="dcterms:W3CDTF">2026-08-21T14:25:27Z</dcterms:modified>
</cp:coreProperties>
</file>

<file path=docProps/custom.xml><?xml version="1.0" encoding="utf-8"?>
<Properties xmlns="http://schemas.openxmlformats.org/officeDocument/2006/custom-properties" xmlns:vt="http://schemas.openxmlformats.org/officeDocument/2006/docPropsVTypes"/>
</file>