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BC6F95" w14:textId="77777777" w:rsidR="0068102E" w:rsidRPr="0068102E" w:rsidRDefault="00DD2AB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D2ABE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5F70529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7A116936" w14:textId="77777777" w:rsidR="0068102E" w:rsidRPr="0068102E" w:rsidRDefault="0068102E" w:rsidP="0068102E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GRANT REVIEW ASSESSMENT (Format B, adapted to scheme criteria)</w:t>
      </w:r>
    </w:p>
    <w:p w14:paraId="08FE44C4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QUALITY / EXCELLENCE OF THE RESEARCH — primary criterion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Score: Excellent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(a genuine, well-situated methodological contribution held just below Outstanding by one central framing overclaim and one internal contradiction)</w:t>
      </w:r>
    </w:p>
    <w:p w14:paraId="1DA0C854" w14:textId="4A47CE04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core idea — that adversarial/competitive point clouds force geometrically distinct organisational scales to coexist in overlapping filtration ranges, and that stability-validated hierarchical decomposition provides a scalable,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falsifiable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 xml:space="preserve"> 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alternative to (currently unscalable) multiparameter persistence — is a real and timely contribution, and it is positioned carefully against the most relevant TDA literature (Topaz et al., Schindler &amp; Barahona, Gu et al., Botnan &amp; Lesnick, Bubenik, Chazal et al.). The three named contributions are distinct and each is defensible. The pilot is unusually thorough for a small grant.</w:t>
      </w:r>
    </w:p>
    <w:p w14:paraId="3C32100A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Two issues stop this from being Outstanding, both fixable without new science (see C-list and S1/S2).</w:t>
      </w:r>
    </w:p>
    <w:p w14:paraId="679E1B15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APPROACH — feasibility, methodology, work plan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Score: Very Good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(sound and well-sequenced, but pulled down by a compute-budget self-contradiction that a feasibility-minded panellist will catch, and by work-plan legibility)</w:t>
      </w:r>
    </w:p>
    <w:p w14:paraId="3781F176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objective structure (O1–O4), the go/no-go gate, the pre-registration, and the fallback routes are all strong. But the resource justification contradicts itself by roughly an order of magnitude (C1), and the schedule is carried entirely in dense prose where a Gantt chart is both allowed and would resolve several ambiguities at once (S7/S9).</w:t>
      </w:r>
    </w:p>
    <w:p w14:paraId="0F1906E0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NATIONAL IMPORTANCE — secondary-major criterion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Score: Good → Very Good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(all the raw material is present but it is scattered, and the criterion is never explicitly signposted)</w:t>
      </w:r>
    </w:p>
    <w:p w14:paraId="4E296C08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You have the ingredients a National Importance case needs — contribution to the health of the mathematical sciences (a reusable validated library for a class of system with no current reproducible workflow), UK economic/industry relevance (Championship analytics, a named commercial data partner, the UK sports-tech economy), and cross-disciplinary transfer (autonomous-vehicle coordination, ecological monitoring). But a panellist scoring this criterion has to assemble it themselves from three different paragraphs. See S6.</w:t>
      </w:r>
    </w:p>
    <w:p w14:paraId="262252A3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OVERALL RECOMMENDATION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Potentially fundable with revision.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The underlying science is competitive at this scheme and the reproducibility posture is a real asset. Two items (C1, C2) are genuine submission-blockers but require only reconciliation and confirmation, not new work. Resolve those, reframe the central "necessity" claim (S1), reconcile the complementarity statement (S2), and add two space-efficient visuals (S7), and this moves toward the top of the Quality-primary pile.</w:t>
      </w:r>
    </w:p>
    <w:p w14:paraId="0DC907FE" w14:textId="77777777" w:rsidR="0068102E" w:rsidRPr="0068102E" w:rsidRDefault="00DD2AB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DD2ABE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C4AD49C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74444767" w14:textId="77777777" w:rsidR="0068102E" w:rsidRPr="0068102E" w:rsidRDefault="0068102E" w:rsidP="0068102E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PRIORITISED ACTION LIST — Vision &amp; Approach (pre-compression reference draft, V1)</w:t>
      </w:r>
    </w:p>
    <w:p w14:paraId="7A743A18" w14:textId="77777777" w:rsidR="0068102E" w:rsidRPr="0068102E" w:rsidRDefault="0068102E" w:rsidP="0068102E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lang w:eastAsia="en-GB"/>
          <w14:ligatures w14:val="none"/>
        </w:rPr>
        <w:t>🔴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 xml:space="preserve"> CRITICAL (must resolve before submission)</w:t>
      </w:r>
    </w:p>
    <w:p w14:paraId="57E59856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C1. The compute budget contradicts itself by ~9×, and the underlying frame-rate assumption is unstated and inconsistent with the pilot.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Three figures appear for the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same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processing requirement:</w:t>
      </w:r>
    </w:p>
    <w:p w14:paraId="1E12118E" w14:textId="77777777" w:rsidR="0068102E" w:rsidRPr="0068102E" w:rsidRDefault="0068102E" w:rsidP="0068102E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Vision (O1): "</w:t>
      </w:r>
      <w:r w:rsidRPr="0068102E">
        <w:rPr>
          <w:rFonts w:ascii="Cambria Math" w:eastAsia="Times New Roman" w:hAnsi="Cambria Math" w:cs="Cambria Math"/>
          <w:color w:val="000000" w:themeColor="text1"/>
          <w:kern w:val="0"/>
          <w:lang w:eastAsia="en-GB"/>
          <w14:ligatures w14:val="none"/>
        </w:rPr>
        <w:t>∼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1,100 CPU-days total" — that is 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≈26,400 CPU-hours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p w14:paraId="36384728" w14:textId="77777777" w:rsidR="0068102E" w:rsidRPr="0068102E" w:rsidRDefault="0068102E" w:rsidP="0068102E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Methodology &amp; Feasibility: "</w:t>
      </w:r>
      <w:r w:rsidRPr="0068102E">
        <w:rPr>
          <w:rFonts w:ascii="Cambria Math" w:eastAsia="Times New Roman" w:hAnsi="Cambria Math" w:cs="Cambria Math"/>
          <w:color w:val="000000" w:themeColor="text1"/>
          <w:kern w:val="0"/>
          <w:lang w:eastAsia="en-GB"/>
          <w14:ligatures w14:val="none"/>
        </w:rPr>
        <w:t>∼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540 matches × </w:t>
      </w:r>
      <w:r w:rsidRPr="0068102E">
        <w:rPr>
          <w:rFonts w:ascii="Cambria Math" w:eastAsia="Times New Roman" w:hAnsi="Cambria Math" w:cs="Cambria Math"/>
          <w:color w:val="000000" w:themeColor="text1"/>
          <w:kern w:val="0"/>
          <w:lang w:eastAsia="en-GB"/>
          <w14:ligatures w14:val="none"/>
        </w:rPr>
        <w:t>∼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2,700 frames = </w:t>
      </w:r>
      <w:r w:rsidRPr="0068102E">
        <w:rPr>
          <w:rFonts w:ascii="Cambria Math" w:eastAsia="Times New Roman" w:hAnsi="Cambria Math" w:cs="Cambria Math"/>
          <w:color w:val="000000" w:themeColor="text1"/>
          <w:kern w:val="0"/>
          <w:lang w:eastAsia="en-GB"/>
          <w14:ligatures w14:val="none"/>
        </w:rPr>
        <w:t>∼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1.46M frames; at &lt;2 s per frame, </w:t>
      </w:r>
      <w:r w:rsidRPr="0068102E">
        <w:rPr>
          <w:rFonts w:ascii="Cambria Math" w:eastAsia="Times New Roman" w:hAnsi="Cambria Math" w:cs="Cambria Math"/>
          <w:b/>
          <w:bCs/>
          <w:color w:val="000000" w:themeColor="text1"/>
          <w:kern w:val="0"/>
          <w:lang w:eastAsia="en-GB"/>
          <w14:ligatures w14:val="none"/>
        </w:rPr>
        <w:t>∼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3,000 CPU-hours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," which "Supercomputing Wales initial allocation of 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5,000 core-hours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accommodates comfortably."</w:t>
      </w:r>
    </w:p>
    <w:p w14:paraId="280EA9D1" w14:textId="77777777" w:rsidR="0068102E" w:rsidRPr="0068102E" w:rsidRDefault="0068102E" w:rsidP="0068102E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Research Environment: repeats the "</w:t>
      </w:r>
      <w:r w:rsidRPr="0068102E">
        <w:rPr>
          <w:rFonts w:ascii="Cambria Math" w:eastAsia="Times New Roman" w:hAnsi="Cambria Math" w:cs="Cambria Math"/>
          <w:color w:val="000000" w:themeColor="text1"/>
          <w:kern w:val="0"/>
          <w:lang w:eastAsia="en-GB"/>
          <w14:ligatures w14:val="none"/>
        </w:rPr>
        <w:t>∼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1,100 CPU-day processing requirement."</w:t>
      </w:r>
    </w:p>
    <w:p w14:paraId="55957A0F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26,400 h and 3,000 h cannot both be right, and a 5,000-hour allocation covers the 3,000-hour figure but is ~5× short of the 26,400-hour figure. The likely root cause makes it worse: </w:t>
      </w:r>
      <w:r w:rsidRPr="0068102E">
        <w:rPr>
          <w:rFonts w:ascii="Cambria Math" w:eastAsia="Times New Roman" w:hAnsi="Cambria Math" w:cs="Cambria Math"/>
          <w:b/>
          <w:bCs/>
          <w:color w:val="000000" w:themeColor="text1"/>
          <w:kern w:val="0"/>
          <w:lang w:eastAsia="en-GB"/>
          <w14:ligatures w14:val="none"/>
        </w:rPr>
        <w:t>∼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2,700 frames per match implies ≈0.5 Hz sampling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(2,700 frames over a 90-minute match), yet the 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pilot was validated at 10 Hz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(≈54,000 frames/match). If the full season is actually processed at 10 Hz, the load is ≈16,000 CPU-hours (540 × 54,000 × 2 s / 3600), which neither reconciles with 3,000 h nor fits inside 5,000 h.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Why it's critical: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value-for-money and feasibility reviewers check resource justification first, this is arithmetic they can redo in ten seconds, and self-contradiction here is exactly the kind of thing that caps a Feasibility score — with no rebuttal stage to fix it.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Resolution: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pick one processing frame rate, justify it, show the single worked calculation, reconcile the "1,100 CPU-day" headline to it, and confirm the allocation covers it 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with margin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for the 20-match gate, any re-runs after a failed gate, and O3's landscape computation. If you are downsampling for the full season, that decision is itself a methodological claim (see S3).</w:t>
      </w:r>
    </w:p>
    <w:p w14:paraId="6278880F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C2. The live [confirm coverage] placeholder sits inside the Risk Management / Data Access entry.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"StatsBomb agreement confirmed 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[confirm coverage]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."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Why it's critical: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a visible placeholder in a submitted grant is an automatic credibility hit and undercuts the very risk it is meant to close, on a panel that gets no clarification opportunity.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Resolution: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replace with the confirmed StatsBomb agreement language (match coverage, season, label scope). This is already on your outstanding-actions list; it simply must not survive to the submitted PDF.</w:t>
      </w:r>
    </w:p>
    <w:p w14:paraId="450895E5" w14:textId="77777777" w:rsidR="0068102E" w:rsidRPr="0068102E" w:rsidRDefault="0068102E" w:rsidP="0068102E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lang w:eastAsia="en-GB"/>
          <w14:ligatures w14:val="none"/>
        </w:rPr>
        <w:t>🟠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 xml:space="preserve"> SIGNIFICANT (strongly recommended before submission)</w:t>
      </w:r>
    </w:p>
    <w:p w14:paraId="756B41FD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S1. "Hierarchical decomposition is mathematically necessary for adversarial point clouds" is an overclaim, and it undercuts your own novelty defence.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Multiparameter persistence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is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the mathematically principled route to simultaneous multi-scale structure, and you acknowledge it exists (only that it is not yet scalable). A multiparameter-persistence-literate panellist will read "necessary" and immediately produce the counterexample.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Resolution: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reframe as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structural inadequacy of single-parameter VR on the full cloud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+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impracticality of multiparameter persistence at this scale/temporal density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r w:rsidRPr="0068102E">
        <w:rPr>
          <w:rFonts w:ascii="Cambria Math" w:eastAsia="Times New Roman" w:hAnsi="Cambria Math" w:cs="Cambria Math"/>
          <w:color w:val="000000" w:themeColor="text1"/>
          <w:kern w:val="0"/>
          <w:lang w:eastAsia="en-GB"/>
          <w14:ligatures w14:val="none"/>
        </w:rPr>
        <w:t>⇒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hierarchical decomposition as a 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principled, scalable, falsifiably-validated alternative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 This is stronger, not weaker, and it protects the "not just clustering + PH" defence that currently leans on the word "necessary."</w:t>
      </w:r>
    </w:p>
    <w:p w14:paraId="2ECF71E9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S2. The scale-complementarity claim is internally contradictory: "a mathematical property… by construction" vs. an empirically measured ρ = 0.254 (positive correlation).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A partition of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filtration parameter space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guarantees the features are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distinct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but it says nothing about whether their temporal presence/persistence values are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uncorrelated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— and ρ = 0.254 [0.200, 0.314] is a genuine positive association, not independence. So "by construction" and "confirmed empirically" are doing incompatible jobs.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Resolution: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define "complementarity" operationally (presumably "non-redundant", i.e. ρ far from 1), drop "by construction" for the correlation claim, and separate the two statements: the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distinctness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of features is structural; their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low redundancy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is the empirical finding. This also fixes the comma splice (P2).</w:t>
      </w:r>
    </w:p>
    <w:p w14:paraId="6751B9CE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S3. The full-season frame rate (≈0.5 Hz, if 2,700 frames/match is intended) needs justification against transient H₁ features validated at 10 Hz.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You describe individual-scale loops as near-universal but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transient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; 20× downsampling could systematically miss exactly those.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Resolution: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either process at the validated rate (and fix the budget accordingly, C1), or justify the downsampling with a short frame-rate sensitivity check — ideally folded into the 20-match Month 1–2 gate.</w:t>
      </w:r>
    </w:p>
    <w:p w14:paraId="4551FC96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S4. The 270-match contingency preserves O1 but silently underpowers O2.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O2's power calculation needs n ≈ 180 matches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per tactical class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; the contingency of </w:t>
      </w:r>
      <w:r w:rsidRPr="0068102E">
        <w:rPr>
          <w:rFonts w:ascii="Cambria Math" w:eastAsia="Times New Roman" w:hAnsi="Cambria Math" w:cs="Cambria Math"/>
          <w:color w:val="000000" w:themeColor="text1"/>
          <w:kern w:val="0"/>
          <w:lang w:eastAsia="en-GB"/>
          <w14:ligatures w14:val="none"/>
        </w:rPr>
        <w:t>∼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270 matches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total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 cannot supply that for more than a single two-class contrast, and even then only 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marginally.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Resolution: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state explicitly which objectives survive the contingency — O1 distributional claims remain intact; O2 confirmatory fingerprinting drops to exploratory/underpowered — so the risk register is honest about what the downside scenario costs.</w:t>
      </w:r>
    </w:p>
    <w:p w14:paraId="7553DDC8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S5. Sharpen the mathematical deliverable of O3 — it is your strongest Quality asset and is currently the least specified.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For a Quality-primary maths panel, the landscape-path / CUSUM extension is the most novel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mathematical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content, yet it is described operationally rather than as a stated mathematical question.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Resolution: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state the mathematical object and result you expect (e.g. well-definedness of a Fréchet mean / a stability or limit statement for the sequential-landscape path model under the competitive setting), so the panel sees a crisp theoretical target, not only a pipeline. The Wasserstein fallback is good risk management and can stay.</w:t>
      </w:r>
    </w:p>
    <w:p w14:paraId="2D7032F3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S6. Give National Importance one explicit, signposted statement.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The material exists but is scattered across "Timeliness and Beneficiaries," "Translation to Impact," and "Research Environment."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Resolution: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add two or three sentences that tie the work directly to the criterion's language — health of the mathematical sciences, UK economic/industry relevance, cross-disciplinary transfer — so the panellist scoring NI does not have to reconstruct it.</w:t>
      </w:r>
    </w:p>
    <w:p w14:paraId="445F6054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S7. Add two visuals — both are permitted and, under 4→3-page compression, likely space-</w:t>
      </w:r>
      <w:r w:rsidRPr="0068102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lang w:eastAsia="en-GB"/>
          <w14:ligatures w14:val="none"/>
        </w:rPr>
        <w:t>saving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(a) A compact 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Gantt chart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would make O1–O4, the milestones (Month 2 gate, D1/D2/D3), FTE allocation, and dependencies legible at a glance and would resolve most of S9 for free. (b) A small 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pilot-results / three-scales figure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would let you lift the dense number-wall out of the Preliminary Validation prose. Feasibility legibility is a scored aspect of Approach, so this is high ROI.</w:t>
      </w:r>
    </w:p>
    <w:p w14:paraId="19FF5E5E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S8. Soften the "first" claims.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"the first rigorous framework for classifying stability regimes in competitive encounters" and similar invite a priority dispute you cannot rebut.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Resolution: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"to our knowledge, the first…" or reframe around the specific technical novelty rather than temporal primacy.</w:t>
      </w:r>
    </w:p>
    <w:p w14:paraId="74D40C8B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S9. Tighten the objective → deliverable → personnel mapping.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D2 is claimed by both O2 and O3 without a crisp split; O2's header reads "Months 6–9" but lists a Month-2 pre-registration milestone; the RA carries O1 finish and O3 start concurrently in Months 6–7. None of these is wrong, but together they make the plan harder to audit. A Gantt (S7a) plus one sentence on the RA's Month 6–7 overlap resolves it.</w:t>
      </w:r>
    </w:p>
    <w:p w14:paraId="05F22CE2" w14:textId="77777777" w:rsidR="0068102E" w:rsidRPr="0068102E" w:rsidRDefault="0068102E" w:rsidP="0068102E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lang w:eastAsia="en-GB"/>
          <w14:ligatures w14:val="none"/>
        </w:rPr>
        <w:t>🟡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 xml:space="preserve"> POLISH (improves quality, does not block submission)</w:t>
      </w:r>
    </w:p>
    <w:p w14:paraId="36B07B4C" w14:textId="77777777" w:rsidR="0068102E" w:rsidRPr="0068102E" w:rsidRDefault="0068102E" w:rsidP="0068102E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P1.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Split the paragraph-length sentences in Preliminary Validation and Timeliness; the results are excellent but the delivery buries the headline for a skimming panel.</w:t>
      </w:r>
    </w:p>
    <w:p w14:paraId="2B76D7FF" w14:textId="77777777" w:rsidR="0068102E" w:rsidRPr="0068102E" w:rsidRDefault="0068102E" w:rsidP="0068102E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P2.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Fix the comma splice in the complementarity sentence (subsumed by S2).</w:t>
      </w:r>
    </w:p>
    <w:p w14:paraId="09490CC2" w14:textId="77777777" w:rsidR="0068102E" w:rsidRPr="0068102E" w:rsidRDefault="0068102E" w:rsidP="0068102E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P3.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Hedge the causal verbs — "engagements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decrease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persistence" on event-window (associational) data reads as causal; "are associated with lower persistence" is safer.</w:t>
      </w:r>
    </w:p>
    <w:p w14:paraId="527B2E04" w14:textId="77777777" w:rsidR="0068102E" w:rsidRPr="0068102E" w:rsidRDefault="0068102E" w:rsidP="0068102E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P4.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Clarify the adaptive-filtration robustness line: insensitivity across P50–P95 is robustness of the </w:t>
      </w:r>
      <w:r w:rsidRPr="0068102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lang w:eastAsia="en-GB"/>
          <w14:ligatures w14:val="none"/>
        </w:rPr>
        <w:t>max-filtration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not evidence the adaptivity is inert — one clause prevents a reviewer asking "then why is it adaptive?"</w:t>
      </w:r>
    </w:p>
    <w:p w14:paraId="5AA12A7D" w14:textId="77777777" w:rsidR="0068102E" w:rsidRPr="0068102E" w:rsidRDefault="0068102E" w:rsidP="0068102E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P5.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Expand acronyms once for a mixed panel (JACT = Journal of Applied and Computational Topology), and add a one-line data-provenance note distinguishing the SkillCorner pilot from the StatsBomb/Swansea full-season data.</w:t>
      </w:r>
    </w:p>
    <w:p w14:paraId="73E7F1D9" w14:textId="77777777" w:rsidR="0068102E" w:rsidRPr="0068102E" w:rsidRDefault="0068102E" w:rsidP="0068102E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P6.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Confirm where the reference list lives: this scheme gives no separate references attachment, so 16 references count toward the 3 pages — worth verifying against your page-count check, since it tightens the compression.</w:t>
      </w:r>
    </w:p>
    <w:p w14:paraId="2435F603" w14:textId="77777777" w:rsidR="0068102E" w:rsidRPr="0068102E" w:rsidRDefault="0068102E" w:rsidP="0068102E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P7.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Match the ArXiv/JACT status to reality at submission ("submitted / under review" vs "will be submitted"), given the ArXiv posting is still an outstanding action.</w:t>
      </w:r>
    </w:p>
    <w:p w14:paraId="452BA562" w14:textId="77777777" w:rsidR="0068102E" w:rsidRPr="0068102E" w:rsidRDefault="0068102E" w:rsidP="0068102E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lang w:eastAsia="en-GB"/>
          <w14:ligatures w14:val="none"/>
        </w:rPr>
        <w:t>✅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 xml:space="preserve"> STRENGTHS (do not change these)</w:t>
      </w:r>
    </w:p>
    <w:p w14:paraId="367487B4" w14:textId="77777777" w:rsidR="0068102E" w:rsidRPr="0068102E" w:rsidRDefault="0068102E" w:rsidP="0068102E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lastRenderedPageBreak/>
        <w:t>The sample-size rationale is genuinely rigorous and the arithmetic checks out.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I re-derived both: O1's n ≈ 32 per subgroup (1.96 × 0.072 / 0.025 = 5.65, squared ≈ 32) and O2's n ≈ 180 per class (2 × (1.96 + 0.842)² / 0.30² ≈ 175, conservatively rounded up for FDR). Explicit, correct power reasoning is rare in a small-grant V&amp;A and it materially strengthens Approach.</w:t>
      </w:r>
    </w:p>
    <w:p w14:paraId="2F86DBD5" w14:textId="77777777" w:rsidR="0068102E" w:rsidRPr="0068102E" w:rsidRDefault="0068102E" w:rsidP="0068102E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The Month-2 stability gate is a concrete, falsifiable go/no-go criterion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("scores below 0.80 trigger cutoff re-derivation") that sensibly gates all downstream objectives — exactly what a feasibility reviewer wants to see.</w:t>
      </w:r>
    </w:p>
    <w:p w14:paraId="63AC533E" w14:textId="77777777" w:rsidR="0068102E" w:rsidRPr="0068102E" w:rsidRDefault="0068102E" w:rsidP="0068102E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Reproducibility posture is exemplary: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open-source pipeline, minted Zenodo DOI, OSF pre-registration, Apptainer containerisation, public pilot data.</w:t>
      </w:r>
    </w:p>
    <w:p w14:paraId="65025BB2" w14:textId="77777777" w:rsidR="0068102E" w:rsidRPr="0068102E" w:rsidRDefault="0068102E" w:rsidP="0068102E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Honest reporting of the borderline pilot result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(β̂₁ = −0.081, p = 0.079 / permutation 0.051) rather than dressing it up — this reads as credible rather than weak.</w:t>
      </w:r>
    </w:p>
    <w:p w14:paraId="2684A444" w14:textId="77777777" w:rsidR="0068102E" w:rsidRPr="0068102E" w:rsidRDefault="0068102E" w:rsidP="0068102E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Beneficiaries are specific and include a named industry co-development partner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(Swansea City AFC), which directly serves the stakeholder-relevance and National Importance criteria.</w:t>
      </w:r>
    </w:p>
    <w:p w14:paraId="499E8E0F" w14:textId="77777777" w:rsidR="0068102E" w:rsidRPr="0068102E" w:rsidRDefault="0068102E" w:rsidP="0068102E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The risk register has real fallbacks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(Wasserstein fallback for O3; dual-source κ-validated labels for O2), not box-ticking.</w:t>
      </w:r>
    </w:p>
    <w:p w14:paraId="62BCA89E" w14:textId="77777777" w:rsidR="0068102E" w:rsidRPr="0068102E" w:rsidRDefault="00DD2AB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noProof/>
        </w:rPr>
      </w:r>
      <w:r>
        <w:pict w14:anchorId="6F3BD37C">
          <v:rect id="Horizontal Line 13" o:spid="_x0000_s1026" style="width:451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Y20ntsAAAAHAQAADwAAAGRycy9kb3ducmV2Lnht&#13;&#10;bEyPwU7DMBBE70j8g7VI3KhDJBBN41ShpddKtJWAmxsvdtR4HcVuE/6ehQtcRhqNdvZNuZx8Jy44&#13;&#10;xDaQgvtZBgKpCaYlq+Cw39w9gYhJk9FdIFTwhRGW1fVVqQsTRnrFyy5ZwSUUC63ApdQXUsbGoddx&#13;&#10;Fnokzj7D4HViO1hpBj1yue9knmWP0uuW+IPTPa4cNqfd2St46T+29YONsn5L7v0UnseN21qlbm+m&#13;&#10;9YKlXoBIOKW/C/jZwPxQMdgxnMlE0SngNelXOZtnOdujghxkVcr//NU3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HWNtJ7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9DA710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Sections not yet reviewed / out of scope for this document: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the full Capability-to-Deliver / track-record narrative and the line-by-line Cost Justification are separate Funding Service attachments and were not part of this file — so I cannot sign those off, and the compute figures in C1 will also need to match whatever appears in your Justification of Resources.</w:t>
      </w:r>
    </w:p>
    <w:p w14:paraId="0D1EFFB6" w14:textId="77777777" w:rsidR="0068102E" w:rsidRPr="0068102E" w:rsidRDefault="0068102E" w:rsidP="0068102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single highest-value move is </w:t>
      </w:r>
      <w:r w:rsidRPr="0068102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C1</w:t>
      </w:r>
      <w:r w:rsidRPr="0068102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— it is arithmetic a panellist will redo, it currently contradicts itself three ways, and fixing it also forces the frame-rate decision (S3) into the open. If you want, I can take the next revision of just the compute/feasibility passage and the reframed novelty paragraph (S1/S2) as a Mode B targeted pass, or produce this report as a Word file for your records.</w:t>
      </w:r>
    </w:p>
    <w:p w14:paraId="28CA5683" w14:textId="77777777" w:rsidR="009F2263" w:rsidRPr="0068102E" w:rsidRDefault="009F2263" w:rsidP="0068102E">
      <w:pPr>
        <w:rPr>
          <w:color w:val="000000" w:themeColor="text1"/>
        </w:rPr>
      </w:pPr>
    </w:p>
    <w:sectPr w:rsidR="009F2263" w:rsidRPr="0068102E" w:rsidSect="00C436E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B8678C"/>
    <w:multiLevelType w:val="multilevel"/>
    <w:tmpl w:val="5CC4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44E93"/>
    <w:multiLevelType w:val="multilevel"/>
    <w:tmpl w:val="633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21ED3"/>
    <w:multiLevelType w:val="multilevel"/>
    <w:tmpl w:val="6E2C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A622D"/>
    <w:multiLevelType w:val="multilevel"/>
    <w:tmpl w:val="48F6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92729"/>
    <w:multiLevelType w:val="multilevel"/>
    <w:tmpl w:val="315E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0242B"/>
    <w:multiLevelType w:val="multilevel"/>
    <w:tmpl w:val="8012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526742">
    <w:abstractNumId w:val="5"/>
  </w:num>
  <w:num w:numId="2" w16cid:durableId="2103138110">
    <w:abstractNumId w:val="0"/>
  </w:num>
  <w:num w:numId="3" w16cid:durableId="1662155899">
    <w:abstractNumId w:val="1"/>
  </w:num>
  <w:num w:numId="4" w16cid:durableId="1801413557">
    <w:abstractNumId w:val="3"/>
  </w:num>
  <w:num w:numId="5" w16cid:durableId="105395145">
    <w:abstractNumId w:val="2"/>
  </w:num>
  <w:num w:numId="6" w16cid:durableId="171292345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2E"/>
    <w:rsid w:val="002A33A4"/>
    <w:rsid w:val="00395B8D"/>
    <w:rsid w:val="0039664B"/>
    <w:rsid w:val="005D7D6A"/>
    <w:rsid w:val="0068102E"/>
    <w:rsid w:val="00716867"/>
    <w:rsid w:val="00736938"/>
    <w:rsid w:val="008C5AD8"/>
    <w:rsid w:val="009F2263"/>
    <w:rsid w:val="00B03625"/>
    <w:rsid w:val="00B80347"/>
    <w:rsid w:val="00C436ED"/>
    <w:rsid w:val="00C63905"/>
    <w:rsid w:val="00C8460E"/>
    <w:rsid w:val="00DD2ABE"/>
    <w:rsid w:val="00EA1C93"/>
    <w:rsid w:val="00F406E1"/>
    <w:rsid w:val="00F9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FF9C87F"/>
  <w15:chartTrackingRefBased/>
  <w15:docId w15:val="{B19673D4-CFE4-E940-ADA7-47228B7A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1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1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0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0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0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102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8102E"/>
  </w:style>
  <w:style w:type="character" w:styleId="HTMLCode">
    <w:name w:val="HTML Code"/>
    <w:basedOn w:val="DefaultParagraphFont"/>
    <w:uiPriority w:val="99"/>
    <w:semiHidden/>
    <w:unhideWhenUsed/>
    <w:rsid w:val="0068102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10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10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102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6810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2008</Words>
  <Characters>11451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Brown</dc:creator>
  <cp:keywords/>
  <dc:description/>
  <cp:lastModifiedBy>Rowan Brown</cp:lastModifiedBy>
  <cp:revision>1</cp:revision>
  <dcterms:created xsi:type="dcterms:W3CDTF">2026-07-02T11:00:00Z</dcterms:created>
  <dcterms:modified xsi:type="dcterms:W3CDTF">2026-07-09T11:36:00Z</dcterms:modified>
</cp:coreProperties>
</file>