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a781f27ebc9b7c546c756fc4108a809fed5abe"/>
    <w:p>
      <w:pPr>
        <w:pStyle w:val="Heading1"/>
      </w:pPr>
      <w:r>
        <w:t xml:space="preserve">Simulation Methodology: Tunable Gel-Point via κ-Mixing Percolation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We model a viscoelastic gel using 3D site percolation on a cubic lattice, where the occupied sites represent the polymer network and the unoccupied (void) sites form the fluid phase through which probe particles diffuse. The gel-point corresponds to the occupation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at which the diffusion exponent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crosses 0.5 (the Winter–Chambon criterion,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). A nucleation-density parameter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controls the spatial morphology of the occupied network, enabling continuous tuning of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across a range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0.31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lattice-model"/>
    <w:p>
      <w:pPr>
        <w:pStyle w:val="Heading2"/>
      </w:pPr>
      <w:r>
        <w:t xml:space="preserve">2. Lattice Model</w:t>
      </w:r>
    </w:p>
    <w:bookmarkStart w:id="10" w:name="site-percolation"/>
    <w:p>
      <w:pPr>
        <w:pStyle w:val="Heading3"/>
      </w:pPr>
      <w:r>
        <w:t xml:space="preserve">2.1 Site Percolation</w:t>
      </w:r>
    </w:p>
    <w:p>
      <w:pPr>
        <w:pStyle w:val="FirstParagraph"/>
      </w:pPr>
      <w:r>
        <w:t xml:space="preserve">A three-dimensional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cubic lattice (production: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500</m:t>
        </m:r>
      </m:oMath>
      <w:r>
        <w:t xml:space="preserve">) is generated with periodic boundary conditions. Each lattice site is classified as</w:t>
      </w:r>
      <w:r>
        <w:t xml:space="preserve"> </w:t>
      </w:r>
      <w:r>
        <w:rPr>
          <w:b/>
          <w:bCs/>
        </w:rPr>
        <w:t xml:space="preserve">occupied</w:t>
      </w:r>
      <w:r>
        <w:t xml:space="preserve"> </w:t>
      </w:r>
      <w:r>
        <w:t xml:space="preserve">(polymer network) or</w:t>
      </w:r>
      <w:r>
        <w:t xml:space="preserve"> </w:t>
      </w:r>
      <w:r>
        <w:rPr>
          <w:b/>
          <w:bCs/>
        </w:rPr>
        <w:t xml:space="preserve">unoccupied</w:t>
      </w:r>
      <w:r>
        <w:t xml:space="preserve"> </w:t>
      </w:r>
      <w:r>
        <w:t xml:space="preserve">(void/fluid phase). The target occupation probability is</w:t>
      </w:r>
      <w:r>
        <w:t xml:space="preserve"> </w:t>
      </w:r>
      <m:oMath>
        <m:r>
          <m:t>p</m:t>
        </m:r>
      </m:oMath>
      <w:r>
        <w:t xml:space="preserve">, so the target number of occupied sites is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t>p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⌉</m:t>
        </m:r>
      </m:oMath>
      <w:r>
        <w:t xml:space="preserve">.</w:t>
      </w:r>
    </w:p>
    <w:bookmarkEnd w:id="10"/>
    <w:bookmarkStart w:id="11" w:name="κ-mixing-nucleation-density-model"/>
    <w:p>
      <w:pPr>
        <w:pStyle w:val="Heading3"/>
      </w:pPr>
      <w:r>
        <w:t xml:space="preserve">2.2 κ-Mixing Nucleation-Density Model</w:t>
      </w:r>
    </w:p>
    <w:p>
      <w:pPr>
        <w:pStyle w:val="FirstParagraph"/>
      </w:pPr>
      <w:r>
        <w:t xml:space="preserve">The morphology of the occupied network is controlled by the nucleation-density parameter</w:t>
      </w:r>
      <w:r>
        <w:t xml:space="preserve"> </w:t>
      </w:r>
      <m:oMath>
        <m:r>
          <m:t>κ</m:t>
        </m:r>
      </m:oMath>
      <w:r>
        <w:t xml:space="preserve">. At each value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the sweep, the lattice is built</w:t>
      </w:r>
      <w:r>
        <w:t xml:space="preserve"> </w:t>
      </w:r>
      <w:r>
        <w:rPr>
          <w:b/>
          <w:bCs/>
        </w:rPr>
        <w:t xml:space="preserve">cumulatively</w:t>
      </w:r>
      <w:r>
        <w:t xml:space="preserve"> </w:t>
      </w:r>
      <w:r>
        <w:t xml:space="preserve">from the lattice at the previous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value, so that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current</m:t>
            </m:r>
          </m:sub>
        </m:sSub>
      </m:oMath>
      <w:r>
        <w:t xml:space="preserve"> </w:t>
      </w:r>
      <w:r>
        <w:t xml:space="preserve">new sites are added.</w:t>
      </w:r>
    </w:p>
    <w:p>
      <w:pPr>
        <w:pStyle w:val="BodyText"/>
      </w:pPr>
      <w:r>
        <w:rPr>
          <w:b/>
          <w:bCs/>
        </w:rPr>
        <w:t xml:space="preserve">Step 1 — Seed placement.</w:t>
      </w:r>
      <w:r>
        <w:t xml:space="preserve"> </w:t>
      </w:r>
      <w:r>
        <w:t xml:space="preserve">A fraction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κ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 </w:t>
      </w:r>
      <w:r>
        <w:t xml:space="preserve">required sites are placed as</w:t>
      </w:r>
      <w:r>
        <w:t xml:space="preserve"> </w:t>
      </w:r>
      <w:r>
        <w:rPr>
          <w:b/>
          <w:bCs/>
        </w:rPr>
        <w:t xml:space="preserve">nucleation seeds</w:t>
      </w:r>
      <w:r>
        <w:t xml:space="preserve"> </w:t>
      </w:r>
      <w:r>
        <w:t xml:space="preserve">at uniformly random positions in the unoccupied volume: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seeds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sepChr m:val=""/>
              <m:endChr m:val="⌉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κ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seeds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new</m:t>
            </m:r>
          </m:sub>
        </m:sSub>
      </m:oMath>
      <w:r>
        <w:t xml:space="preserve">: all sites are seeded randomly, recovering</w:t>
      </w:r>
      <w:r>
        <w:t xml:space="preserve"> </w:t>
      </w:r>
      <w:r>
        <w:rPr>
          <w:b/>
          <w:bCs/>
        </w:rPr>
        <w:t xml:space="preserve">Bernoulli (random) percolation</w:t>
      </w:r>
      <w:r>
        <w:t xml:space="preserve">. If the lattice is empty 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, a single seed is planted to initialise growth.</w:t>
      </w:r>
    </w:p>
    <w:p>
      <w:pPr>
        <w:pStyle w:val="BodyText"/>
      </w:pPr>
      <w:r>
        <w:rPr>
          <w:b/>
          <w:bCs/>
        </w:rPr>
        <w:t xml:space="preserve">Step 2 — Adjacency growth.</w:t>
      </w:r>
      <w:r>
        <w:t xml:space="preserve"> </w:t>
      </w:r>
      <w:r>
        <w:t xml:space="preserve">The remaining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seeds</m:t>
            </m:r>
          </m:sub>
        </m:sSub>
      </m:oMath>
      <w:r>
        <w:t xml:space="preserve"> </w:t>
      </w:r>
      <w:r>
        <w:t xml:space="preserve">sites are filled by</w:t>
      </w:r>
      <w:r>
        <w:t xml:space="preserve"> </w:t>
      </w:r>
      <w:r>
        <w:rPr>
          <w:b/>
          <w:bCs/>
        </w:rPr>
        <w:t xml:space="preserve">6-neighbour (6N) adjacency growth</w:t>
      </w:r>
      <w:r>
        <w:t xml:space="preserve"> </w:t>
      </w:r>
      <w:r>
        <w:t xml:space="preserve">from the combined frontier of all occupied sites (existing cluster + new seeds). At each iteration, a random subset of frontier sites is selected and added. Growth continues until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  <w:r>
        <w:t xml:space="preserve"> </w:t>
      </w:r>
      <w:r>
        <w:t xml:space="preserve">is reached.</w:t>
      </w:r>
    </w:p>
    <w:p>
      <w:pPr>
        <w:pStyle w:val="BodyText"/>
      </w:pPr>
      <w:r>
        <w:t xml:space="preserve">This ensures</w:t>
      </w:r>
      <w:r>
        <w:t xml:space="preserve"> </w:t>
      </w:r>
      <w:r>
        <w:rPr>
          <w:b/>
          <w:bCs/>
        </w:rPr>
        <w:t xml:space="preserve">connectivity</w:t>
      </w:r>
      <w:r>
        <w:t xml:space="preserve">: every occupied site is reachable from at least one seed via a path of 6N adjacency steps. No isolated disconnected islands are created.</w:t>
      </w:r>
    </w:p>
    <w:p>
      <w:pPr>
        <w:pStyle w:val="BodyText"/>
      </w:pPr>
      <w:r>
        <w:rPr>
          <w:b/>
          <w:bCs/>
        </w:rPr>
        <w:t xml:space="preserve">Boundary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Seeds per step</w:t>
            </w:r>
          </w:p>
        </w:tc>
        <w:tc>
          <w:tcPr/>
          <w:p>
            <w:pPr>
              <w:pStyle w:val="Compact"/>
            </w:pPr>
            <w:r>
              <w:t xml:space="preserve">Morphology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required sites</w:t>
            </w:r>
          </w:p>
        </w:tc>
        <w:tc>
          <w:tcPr/>
          <w:p>
            <w:pPr>
              <w:pStyle w:val="Compact"/>
            </w:pPr>
            <w:r>
              <w:t xml:space="preserve">Bernoulli (spatially uniform)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0.683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50% seeded, 50% grown</w:t>
            </w:r>
          </w:p>
        </w:tc>
        <w:tc>
          <w:tcPr/>
          <w:p>
            <w:pPr>
              <w:pStyle w:val="Compact"/>
            </w:pPr>
            <w:r>
              <w:t xml:space="preserve">Intermediate clustering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0.73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seed (single origin)</w:t>
            </w:r>
          </w:p>
        </w:tc>
        <w:tc>
          <w:tcPr/>
          <w:p>
            <w:pPr>
              <w:pStyle w:val="Compact"/>
            </w:pPr>
            <w:r>
              <w:t xml:space="preserve">Eden-like compact cluster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0.993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Physical interpretation.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maps to the nucleation site density of the material. High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(few seeds) produces a spatially clustered, compact occupied network whose void channels remain open to high</w:t>
      </w:r>
      <w:r>
        <w:t xml:space="preserve"> </w:t>
      </w:r>
      <m:oMath>
        <m:r>
          <m:t>p</m:t>
        </m:r>
      </m:oMath>
      <w:r>
        <w:t xml:space="preserve">, delaying fragmentation. Low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(many seeds) distributes obstacles uniformly, fragmenting the void space at lower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The cumulative generation ensures lattices at successive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are nested: the lattice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contains the lattice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subset. This is physically consistent with progressive gelation.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matlab/generate_kappa_mixed_lattice.m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random-walk-simulation"/>
    <w:p>
      <w:pPr>
        <w:pStyle w:val="Heading2"/>
      </w:pPr>
      <w:r>
        <w:t xml:space="preserve">3. Random Walk Simulation</w:t>
      </w:r>
    </w:p>
    <w:bookmarkStart w:id="13" w:name="walker-protocol"/>
    <w:p>
      <w:pPr>
        <w:pStyle w:val="Heading3"/>
      </w:pPr>
      <w:r>
        <w:t xml:space="preserve">3.1 Walker Protocol</w:t>
      </w:r>
    </w:p>
    <w:p>
      <w:pPr>
        <w:pStyle w:val="FirstParagraph"/>
      </w:pPr>
      <w:r>
        <w:t xml:space="preserve">Random walkers are placed on</w:t>
      </w:r>
      <w:r>
        <w:t xml:space="preserve"> </w:t>
      </w:r>
      <w:r>
        <w:rPr>
          <w:b/>
          <w:bCs/>
        </w:rPr>
        <w:t xml:space="preserve">unoccupied sites</w:t>
      </w:r>
      <w:r>
        <w:t xml:space="preserve"> </w:t>
      </w:r>
      <w:r>
        <w:t xml:space="preserve">of the lattice, modelling the diffusion of microrheology probe particles through the fluid phase. For each</w:t>
      </w:r>
      <w:r>
        <w:t xml:space="preserve"> </w:t>
      </w:r>
      <m:oMath>
        <m:r>
          <m:rPr>
            <m:sty m:val="p"/>
          </m:rPr>
          <m:t>(</m:t>
        </m:r>
        <m:r>
          <m:t>κ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condition,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independent walkers are simulated for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At each step, a walker at position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attempts a move to one of the 6 nearest neighbours, chosen uniformly at random. The proposed position is accepted if the target site is unoccupied (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); otherwise the walker</w:t>
      </w:r>
      <w:r>
        <w:t xml:space="preserve"> </w:t>
      </w:r>
      <w:r>
        <w:rPr>
          <w:b/>
          <w:bCs/>
        </w:rPr>
        <w:t xml:space="preserve">waits</w:t>
      </w:r>
      <w:r>
        <w:t xml:space="preserve"> </w:t>
      </w:r>
      <w:r>
        <w:t xml:space="preserve">at its current position for a dwell time drawn from: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t> </m:t>
          </m:r>
          <m:r>
            <m:rPr>
              <m:nor/>
              <m:sty m:val="p"/>
            </m:rPr>
            <m:t>steps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This wait-time mechanism models the transient binding of probe particles to the polymer network and prevents artificial super-diffusion from immediate reflection.</w:t>
      </w:r>
    </w:p>
    <w:p>
      <w:pPr>
        <w:pStyle w:val="BodyText"/>
      </w:pPr>
      <w:r>
        <w:t xml:space="preserve">Periodic boundary conditions are applied to the wrapped lattice coordinate via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 The</w:t>
      </w:r>
      <w:r>
        <w:t xml:space="preserve"> </w:t>
      </w:r>
      <w:r>
        <w:rPr>
          <w:b/>
          <w:bCs/>
        </w:rPr>
        <w:t xml:space="preserve">unwrapped</w:t>
      </w:r>
      <w:r>
        <w:t xml:space="preserve"> </w:t>
      </w:r>
      <w:r>
        <w:t xml:space="preserve">coordinate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(accumulated displacement, no modulo) is recorded for MSD computation.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matlab/RW3D_P_SP.m</w:t>
      </w:r>
    </w:p>
    <w:bookmarkEnd w:id="13"/>
    <w:bookmarkStart w:id="14" w:name="ensemble-averaged-msd"/>
    <w:p>
      <w:pPr>
        <w:pStyle w:val="Heading3"/>
      </w:pPr>
      <w:r>
        <w:t xml:space="preserve">3.2 Ensemble-Averaged MSD</w:t>
      </w:r>
    </w:p>
    <w:p>
      <w:pPr>
        <w:pStyle w:val="FirstParagraph"/>
      </w:pPr>
      <w:r>
        <w:t xml:space="preserve">The mean squared displacement is computed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unwrapped displacement of walker</w:t>
      </w:r>
      <w:r>
        <w:t xml:space="preserve"> </w:t>
      </w:r>
      <m:oMath>
        <m:r>
          <m:t>i</m:t>
        </m:r>
      </m:oMath>
      <w:r>
        <w:t xml:space="preserve">. MSD is accumulated online via a</w:t>
      </w:r>
      <w:r>
        <w:t xml:space="preserve"> </w:t>
      </w:r>
      <w:r>
        <w:rPr>
          <w:rStyle w:val="VerbatimChar"/>
        </w:rPr>
        <w:t xml:space="preserve">parfor</w:t>
      </w:r>
      <w:r>
        <w:t xml:space="preserve"> </w:t>
      </w:r>
      <w:r>
        <w:t xml:space="preserve">reduction to avoid storing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position arrays (which would require $</w:t>
      </w:r>
      <w:r>
        <w:t xml:space="preserve">$36 GB at production scale).</w:t>
      </w:r>
    </w:p>
    <w:bookmarkEnd w:id="14"/>
    <w:bookmarkStart w:id="15" w:name="diffusion-exponent-α"/>
    <w:p>
      <w:pPr>
        <w:pStyle w:val="Heading3"/>
      </w:pPr>
      <w:r>
        <w:t xml:space="preserve">3.3 Diffusion Exponent α</w:t>
      </w:r>
    </w:p>
    <w:p>
      <w:pPr>
        <w:pStyle w:val="FirstParagraph"/>
      </w:pPr>
      <w:r>
        <w:t xml:space="preserve">The anomalous diffusion exponent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extracted from a power-law fit to the MSD in log–log space: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∝</m:t>
          </m:r>
          <m:sSup>
            <m:e>
              <m:r>
                <m:t>t</m:t>
              </m:r>
            </m:e>
            <m:sup>
              <m:r>
                <m:t>α</m:t>
              </m:r>
            </m:sup>
          </m:sSup>
        </m:oMath>
      </m:oMathPara>
    </w:p>
    <w:p>
      <w:pPr>
        <w:pStyle w:val="FirstParagraph"/>
      </w:pPr>
      <w:r>
        <w:t xml:space="preserve">The fit is performed over the intermediate time window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,</m:t>
        </m:r>
        <m:r>
          <m:t> 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(steps 10,000–100,000 for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), avoiding early-time transients and long-time saturation effects near the percolation threshold. A linear regression 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t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⟨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yields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 the slope. The coefficient of determination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recorded as a quality metric.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Physical regime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Normal (Fickian) diffusion — sol state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Anomalous sub-diffusion — approaching gel-point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Gel-point criterion (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rPr>
                  <m:sty m:val="p"/>
                </m:rPr>
                <m:t>°</m:t>
              </m:r>
            </m:oMath>
            <w:r>
              <w:t xml:space="preserve">, Winter–Chambon)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Localised / arrested — gel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gel-point-extraction"/>
    <w:p>
      <w:pPr>
        <w:pStyle w:val="Heading2"/>
      </w:pPr>
      <w:r>
        <w:t xml:space="preserve">4. Gel-Point Extraction</w:t>
      </w:r>
    </w:p>
    <w:p>
      <w:pPr>
        <w:pStyle w:val="FirstParagraph"/>
      </w:pPr>
      <w:r>
        <w:t xml:space="preserve">The gel-point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κ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occupation probability at which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 located by linear interpolation between the bracketing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crosses 0.5: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κ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0.5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α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&gt;</m:t>
        </m:r>
        <m:r>
          <m:t>α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each</w:t>
      </w:r>
      <w:r>
        <w:t xml:space="preserve"> </w:t>
      </w:r>
      <m:oMath>
        <m:r>
          <m:t>κ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independent random seeds (replicates) are simulated. The mean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over replicates is used for interpolation. Bracket widths (the</w:t>
      </w:r>
      <w:r>
        <w:t xml:space="preserve"> </w:t>
      </w:r>
      <m:oMath>
        <m:r>
          <m:t>p</m:t>
        </m:r>
      </m:oMath>
      <w:r>
        <w:t xml:space="preserve">-grid spacing at the crossing) are reported as the interpolation uncertainty.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matlab/analyze_kappa_gel_points.m</w:t>
      </w:r>
    </w:p>
    <w:p>
      <w:r>
        <w:pict>
          <v:rect style="width:0;height:1.5pt" o:hralign="center" o:hrstd="t" o:hr="t"/>
        </w:pict>
      </w:r>
    </w:p>
    <w:bookmarkEnd w:id="17"/>
    <w:bookmarkStart w:id="20" w:name="simulation-parameters"/>
    <w:p>
      <w:pPr>
        <w:pStyle w:val="Heading2"/>
      </w:pPr>
      <w:r>
        <w:t xml:space="preserve">5. Simulation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Quick run</w:t>
            </w:r>
          </w:p>
        </w:tc>
        <w:tc>
          <w:tcPr/>
          <w:p>
            <w:pPr>
              <w:pStyle w:val="Compact"/>
            </w:pPr>
            <w:r>
              <w:t xml:space="preserve">Production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Lattice side length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per walker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Walkers per condition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replicates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Wait-time mean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20 steps</w:t>
            </w:r>
          </w:p>
        </w:tc>
        <w:tc>
          <w:tcPr/>
          <w:p>
            <w:pPr>
              <w:pStyle w:val="Compact"/>
            </w:pPr>
            <w:r>
              <w:t xml:space="preserve">20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Wait-time std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 steps</w:t>
            </w:r>
          </w:p>
        </w:tc>
        <w:tc>
          <w:tcPr/>
          <w:p>
            <w:pPr>
              <w:pStyle w:val="Compact"/>
            </w:pPr>
            <w:r>
              <w:t xml:space="preserve">5 steps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 values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18 values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35 values, dense near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38 values, dense near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Total simulations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1,890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wall-clock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  <w:r>
              <w:t xml:space="preserve">$17 min (8 cores)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  <w:r>
              <w:t xml:space="preserve">$25 h (8 cores)</w:t>
            </w:r>
          </w:p>
        </w:tc>
      </w:tr>
    </w:tbl>
    <w:bookmarkStart w:id="18" w:name="κ-values-used"/>
    <w:p>
      <w:pPr>
        <w:pStyle w:val="Heading3"/>
      </w:pPr>
      <w:r>
        <w:t xml:space="preserve">κ values used</w:t>
      </w:r>
    </w:p>
    <w:p>
      <w:pPr>
        <w:pStyle w:val="FirstParagraph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0.00</m:t>
          </m:r>
          <m:r>
            <m:rPr>
              <m:sty m:val="p"/>
            </m:rPr>
            <m:t>,</m:t>
          </m:r>
          <m:r>
            <m:t> </m:t>
          </m:r>
          <m:r>
            <m:t>0.20</m:t>
          </m:r>
          <m:r>
            <m:rPr>
              <m:sty m:val="p"/>
            </m:rPr>
            <m:t>,</m:t>
          </m:r>
          <m:r>
            <m:t> </m:t>
          </m:r>
          <m:r>
            <m:t>0.40</m:t>
          </m:r>
          <m:r>
            <m:rPr>
              <m:sty m:val="p"/>
            </m:rPr>
            <m:t>,</m:t>
          </m:r>
          <m:r>
            <m:t> </m:t>
          </m:r>
          <m:r>
            <m:t>0.60</m:t>
          </m:r>
          <m:r>
            <m:rPr>
              <m:sty m:val="p"/>
            </m:rPr>
            <m:t>,</m:t>
          </m:r>
          <m:r>
            <m:t> </m:t>
          </m:r>
          <m:r>
            <m:t>0.70</m:t>
          </m:r>
          <m:r>
            <m:rPr>
              <m:sty m:val="p"/>
            </m:rPr>
            <m:t>,</m:t>
          </m:r>
          <m:r>
            <m:t> </m:t>
          </m:r>
          <m:r>
            <m:t>0.80</m:t>
          </m:r>
          <m:r>
            <m:rPr>
              <m:sty m:val="p"/>
            </m:rPr>
            <m:t>,</m:t>
          </m:r>
          <m:r>
            <m:t> </m:t>
          </m:r>
          <m:r>
            <m:t>0.85</m:t>
          </m:r>
          <m:r>
            <m:rPr>
              <m:sty m:val="p"/>
            </m:rPr>
            <m:t>,</m:t>
          </m:r>
          <m:r>
            <m:t> </m:t>
          </m:r>
          <m:r>
            <m:t>0.88</m:t>
          </m:r>
          <m:r>
            <m:rPr>
              <m:sty m:val="p"/>
            </m:rPr>
            <m:t>,</m:t>
          </m:r>
          <m:r>
            <m:t> </m:t>
          </m:r>
          <m:r>
            <m:t>0.91</m:t>
          </m:r>
          <m:r>
            <m:rPr>
              <m:sty m:val="p"/>
            </m:rPr>
            <m:t>,</m:t>
          </m:r>
          <m:r>
            <m:t> </m:t>
          </m:r>
          <m:r>
            <m:t>0.94</m:t>
          </m:r>
          <m:r>
            <m:rPr>
              <m:sty m:val="p"/>
            </m:rPr>
            <m:t>,</m:t>
          </m:r>
          <m:r>
            <m:t> </m:t>
          </m:r>
          <m:r>
            <m:t>0.97</m:t>
          </m:r>
          <m:r>
            <m:rPr>
              <m:sty m:val="p"/>
            </m:rPr>
            <m:t>,</m:t>
          </m:r>
          <m:r>
            <m:t> </m:t>
          </m:r>
          <m:r>
            <m:t>0.98</m:t>
          </m:r>
          <m:r>
            <m:rPr>
              <m:sty m:val="p"/>
            </m:rPr>
            <m:t>,</m:t>
          </m:r>
          <m:r>
            <m:t> </m:t>
          </m:r>
          <m:r>
            <m:t>0.99</m:t>
          </m:r>
          <m:r>
            <m:rPr>
              <m:sty m:val="p"/>
            </m:rPr>
            <m:t>,</m:t>
          </m:r>
          <m:r>
            <m:t> </m:t>
          </m:r>
          <m:r>
            <m:t>0.995</m:t>
          </m:r>
          <m:r>
            <m:rPr>
              <m:sty m:val="p"/>
            </m:rPr>
            <m:t>,</m:t>
          </m:r>
          <m:r>
            <m:t> </m:t>
          </m:r>
          <m:r>
            <m:t>0.996</m:t>
          </m:r>
          <m:r>
            <m:rPr>
              <m:sty m:val="p"/>
            </m:rPr>
            <m:t>,</m:t>
          </m:r>
          <m:r>
            <m:t> </m:t>
          </m:r>
          <m:r>
            <m:t>0.997</m:t>
          </m:r>
          <m:r>
            <m:rPr>
              <m:sty m:val="p"/>
            </m:rPr>
            <m:t>,</m:t>
          </m:r>
          <m:r>
            <m:t> </m:t>
          </m:r>
          <m:r>
            <m:t>0.998</m:t>
          </m:r>
          <m:r>
            <m:rPr>
              <m:sty m:val="p"/>
            </m:rPr>
            <m:t>,</m:t>
          </m:r>
          <m:r>
            <m:t> </m:t>
          </m:r>
          <m:r>
            <m:t>1.00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Spacing is deliberately denser for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0.95</m:t>
        </m:r>
      </m:oMath>
      <w:r>
        <w:t xml:space="preserve"> </w:t>
      </w:r>
      <w:r>
        <w:t xml:space="preserve">to resolve the steep transition region where seed count per increment drops below $</w:t>
      </w:r>
      <w:r>
        <w:t xml:space="preserve">$5% of new sites.</w:t>
      </w:r>
    </w:p>
    <w:bookmarkEnd w:id="18"/>
    <w:bookmarkStart w:id="19" w:name="p-value-grid"/>
    <w:p>
      <w:pPr>
        <w:pStyle w:val="Heading3"/>
      </w:pPr>
      <w:r>
        <w:t xml:space="preserve">p-value grid</w:t>
      </w:r>
    </w:p>
    <w:p>
      <w:pPr>
        <w:pStyle w:val="FirstParagraph"/>
      </w:pPr>
      <w:r>
        <w:t xml:space="preserve">Dense sampling near both gel-point regions: 13 points in</w:t>
      </w:r>
      <w:r>
        <w:t xml:space="preserve"> </w:t>
      </w:r>
      <m:oMath>
        <m:r>
          <m:rPr>
            <m:sty m:val="p"/>
          </m:rPr>
          <m:t>[</m:t>
        </m:r>
        <m:r>
          <m:t>0.60</m:t>
        </m:r>
        <m:r>
          <m:rPr>
            <m:sty m:val="p"/>
          </m:rPr>
          <m:t>,</m:t>
        </m:r>
        <m:r>
          <m:t>0.70</m:t>
        </m:r>
        <m:r>
          <m:rPr>
            <m:sty m:val="p"/>
          </m:rPr>
          <m:t>]</m:t>
        </m:r>
      </m:oMath>
      <w:r>
        <w:t xml:space="preserve"> </w:t>
      </w:r>
      <w:r>
        <w:t xml:space="preserve">(bracketing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0.683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) and 15 points in</w:t>
      </w:r>
      <w:r>
        <w:t xml:space="preserve"> </w:t>
      </w:r>
      <m:oMath>
        <m:r>
          <m:rPr>
            <m:sty m:val="p"/>
          </m:rPr>
          <m:t>[</m:t>
        </m:r>
        <m:r>
          <m:t>0.84</m:t>
        </m:r>
        <m:r>
          <m:rPr>
            <m:sty m:val="p"/>
          </m:rPr>
          <m:t>,</m:t>
        </m:r>
        <m:r>
          <m:t>0.995</m:t>
        </m:r>
        <m:r>
          <m:rPr>
            <m:sty m:val="p"/>
          </m:rPr>
          <m:t>]</m:t>
        </m:r>
      </m:oMath>
      <w:r>
        <w:t xml:space="preserve"> </w:t>
      </w:r>
      <w:r>
        <w:t xml:space="preserve">(bracketing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[</m:t>
        </m:r>
        <m:r>
          <m:t>0.88</m:t>
        </m:r>
        <m:r>
          <m:rPr>
            <m:sty m:val="p"/>
          </m:rPr>
          <m:t>,</m:t>
        </m:r>
        <m:r>
          <m:t>0.993</m:t>
        </m:r>
        <m:r>
          <m:rPr>
            <m:sty m:val="p"/>
          </m:rPr>
          <m:t>]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0.99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mputational-implementation"/>
    <w:p>
      <w:pPr>
        <w:pStyle w:val="Heading2"/>
      </w:pPr>
      <w:r>
        <w:t xml:space="preserve">6. Computational Implementation</w:t>
      </w:r>
    </w:p>
    <w:p>
      <w:pPr>
        <w:pStyle w:val="FirstParagraph"/>
      </w:pPr>
      <w:r>
        <w:t xml:space="preserve">All simulations were performed in MATLAB R2025a. Walker simulations were parallelised over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parfor</w:t>
      </w:r>
      <w:r>
        <w:t xml:space="preserve"> </w:t>
      </w:r>
      <w:r>
        <w:t xml:space="preserve">(Parallel Computing Toolbox), with MSD accumulated as a reduction variable to avoid memory overflow at production scale. Lattice generation and analysis were performed serially. Each</w:t>
      </w:r>
      <w:r>
        <w:t xml:space="preserve"> </w:t>
      </w:r>
      <m:oMath>
        <m:r>
          <m:rPr>
            <m:sty m:val="p"/>
          </m:rPr>
          <m:t>(</m:t>
        </m:r>
        <m:r>
          <m:t>κ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rPr>
            <m:nor/>
            <m:sty m:val="p"/>
          </m:rPr>
          <m:t>seed</m:t>
        </m:r>
        <m:r>
          <m:rPr>
            <m:sty m:val="p"/>
          </m:rPr>
          <m:t>)</m:t>
        </m:r>
      </m:oMath>
      <w:r>
        <w:t xml:space="preserve"> </w:t>
      </w:r>
      <w:r>
        <w:t xml:space="preserve">simulation was saved as an individual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file, enabling graceful resumption after interruption.</w:t>
      </w:r>
    </w:p>
    <w:p>
      <w:pPr>
        <w:pStyle w:val="BodyText"/>
      </w:pPr>
      <w:r>
        <w:rPr>
          <w:b/>
          <w:bCs/>
        </w:rPr>
        <w:t xml:space="preserve">Script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generate_kappa_mixed_lattice.m</w:t>
            </w:r>
          </w:p>
        </w:tc>
        <w:tc>
          <w:tcPr/>
          <w:p>
            <w:pPr>
              <w:pStyle w:val="Compact"/>
            </w:pPr>
            <w:r>
              <w:t xml:space="preserve">Nucleation-density lattice generation (function)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RW3D_P_SP.m</w:t>
            </w:r>
          </w:p>
        </w:tc>
        <w:tc>
          <w:tcPr/>
          <w:p>
            <w:pPr>
              <w:pStyle w:val="Compact"/>
            </w:pPr>
            <w:r>
              <w:t xml:space="preserve">Single-walker random walk (function)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RW3D_kappa_mixing_study.m</w:t>
            </w:r>
          </w:p>
        </w:tc>
        <w:tc>
          <w:tcPr/>
          <w:p>
            <w:pPr>
              <w:pStyle w:val="Compact"/>
            </w:pPr>
            <w:r>
              <w:t xml:space="preserve">Main simulation loop (script)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analyze_kappa_gel_points.m</w:t>
            </w:r>
          </w:p>
        </w:tc>
        <w:tc>
          <w:tcPr/>
          <w:p>
            <w:pPr>
              <w:pStyle w:val="Compact"/>
            </w:pPr>
            <w:r>
              <w:t xml:space="preserve">Gel-point extraction and figures (function)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run_kappa_study.m</w:t>
            </w:r>
          </w:p>
        </w:tc>
        <w:tc>
          <w:tcPr/>
          <w:p>
            <w:pPr>
              <w:pStyle w:val="Compact"/>
            </w:pPr>
            <w:r>
              <w:t xml:space="preserve">Entry-point wrapper: pool startup → simulation →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sults-summary"/>
    <w:p>
      <w:pPr>
        <w:pStyle w:val="Heading2"/>
      </w:pPr>
      <w:r>
        <w:t xml:space="preserve">7.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Bracket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0.6826</w:t>
            </w:r>
          </w:p>
        </w:tc>
        <w:tc>
          <w:tcPr/>
          <w:p>
            <w:pPr>
              <w:pStyle w:val="Compact"/>
            </w:pPr>
            <w:r>
              <w:t xml:space="preserve">0.0084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0.6867</w:t>
            </w:r>
          </w:p>
        </w:tc>
        <w:tc>
          <w:tcPr/>
          <w:p>
            <w:pPr>
              <w:pStyle w:val="Compact"/>
            </w:pPr>
            <w:r>
              <w:t xml:space="preserve">0.0084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0.4000</w:t>
            </w:r>
          </w:p>
        </w:tc>
        <w:tc>
          <w:tcPr/>
          <w:p>
            <w:pPr>
              <w:pStyle w:val="Compact"/>
            </w:pPr>
            <w:r>
              <w:t xml:space="preserve">0.6921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0.7025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0.7000</w:t>
            </w:r>
          </w:p>
        </w:tc>
        <w:tc>
          <w:tcPr/>
          <w:p>
            <w:pPr>
              <w:pStyle w:val="Compact"/>
            </w:pPr>
            <w:r>
              <w:t xml:space="preserve">0.7094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0.8000</w:t>
            </w:r>
          </w:p>
        </w:tc>
        <w:tc>
          <w:tcPr/>
          <w:p>
            <w:pPr>
              <w:pStyle w:val="Compact"/>
            </w:pPr>
            <w:r>
              <w:t xml:space="preserve">0.7205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0.8500</w:t>
            </w:r>
          </w:p>
        </w:tc>
        <w:tc>
          <w:tcPr/>
          <w:p>
            <w:pPr>
              <w:pStyle w:val="Compact"/>
            </w:pPr>
            <w:r>
              <w:t xml:space="preserve">0.7333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0.8800</w:t>
            </w:r>
          </w:p>
        </w:tc>
        <w:tc>
          <w:tcPr/>
          <w:p>
            <w:pPr>
              <w:pStyle w:val="Compact"/>
            </w:pPr>
            <w:r>
              <w:t xml:space="preserve">0.7436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0.9100</w:t>
            </w:r>
          </w:p>
        </w:tc>
        <w:tc>
          <w:tcPr/>
          <w:p>
            <w:pPr>
              <w:pStyle w:val="Compact"/>
            </w:pPr>
            <w:r>
              <w:t xml:space="preserve">0.7509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0.9400</w:t>
            </w:r>
          </w:p>
        </w:tc>
        <w:tc>
          <w:tcPr/>
          <w:p>
            <w:pPr>
              <w:pStyle w:val="Compact"/>
            </w:pPr>
            <w:r>
              <w:t xml:space="preserve">0.7729</w:t>
            </w:r>
          </w:p>
        </w:tc>
        <w:tc>
          <w:tcPr/>
          <w:p>
            <w:pPr>
              <w:pStyle w:val="Compact"/>
            </w:pPr>
            <w:r>
              <w:t xml:space="preserve">0.0300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0.9700</w:t>
            </w:r>
          </w:p>
        </w:tc>
        <w:tc>
          <w:tcPr/>
          <w:p>
            <w:pPr>
              <w:pStyle w:val="Compact"/>
            </w:pPr>
            <w:r>
              <w:t xml:space="preserve">0.8063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0.9800</w:t>
            </w:r>
          </w:p>
        </w:tc>
        <w:tc>
          <w:tcPr/>
          <w:p>
            <w:pPr>
              <w:pStyle w:val="Compact"/>
            </w:pPr>
            <w:r>
              <w:t xml:space="preserve">0.8243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0.8517</w:t>
            </w:r>
          </w:p>
        </w:tc>
        <w:tc>
          <w:tcPr/>
          <w:p>
            <w:pPr>
              <w:pStyle w:val="Compact"/>
            </w:pPr>
            <w:r>
              <w:t xml:space="preserve">0.0100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0.9950</w:t>
            </w:r>
          </w:p>
        </w:tc>
        <w:tc>
          <w:tcPr/>
          <w:p>
            <w:pPr>
              <w:pStyle w:val="Compact"/>
            </w:pPr>
            <w:r>
              <w:t xml:space="preserve">0.8795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0.9960</w:t>
            </w:r>
          </w:p>
        </w:tc>
        <w:tc>
          <w:tcPr/>
          <w:p>
            <w:pPr>
              <w:pStyle w:val="Compact"/>
            </w:pPr>
            <w:r>
              <w:t xml:space="preserve">0.8878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0.9970</w:t>
            </w:r>
          </w:p>
        </w:tc>
        <w:tc>
          <w:tcPr/>
          <w:p>
            <w:pPr>
              <w:pStyle w:val="Compact"/>
            </w:pPr>
            <w:r>
              <w:t xml:space="preserve">0.9023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0.9980</w:t>
            </w:r>
          </w:p>
        </w:tc>
        <w:tc>
          <w:tcPr/>
          <w:p>
            <w:pPr>
              <w:pStyle w:val="Compact"/>
            </w:pPr>
            <w:r>
              <w:t xml:space="preserve">0.9098</w:t>
            </w:r>
          </w:p>
        </w:tc>
        <w:tc>
          <w:tcPr/>
          <w:p>
            <w:pPr>
              <w:pStyle w:val="Compac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≈ 0.993</w:t>
            </w:r>
          </w:p>
        </w:tc>
        <w:tc>
          <w:tcPr/>
          <w:p>
            <w:pPr>
              <w:pStyle w:val="Compact"/>
            </w:pPr>
            <w:r>
              <w:t xml:space="preserve">(extrapolated; p-grid extension pending)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Tunable range: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κ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0.683</m:t>
        </m:r>
        <m:r>
          <m:rPr>
            <m:sty m:val="p"/>
          </m:rPr>
          <m:t>,</m:t>
        </m:r>
        <m:r>
          <m:t> </m:t>
        </m:r>
        <m:r>
          <m:t>0.993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0.31</m:t>
        </m:r>
      </m:oMath>
    </w:p>
    <w:p>
      <w:pPr>
        <w:pStyle w:val="BodyText"/>
      </w:pPr>
      <w:r>
        <w:t xml:space="preserve">The gel-point increases monotonically with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across the full range. Two physical regimes are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Random-like regime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≲</m:t>
        </m:r>
        <m:r>
          <m:t>0.99</m:t>
        </m:r>
      </m:oMath>
      <w:r>
        <w:t xml:space="preserve">, seed fraction</w:t>
      </w:r>
      <w:r>
        <w:t xml:space="preserve"> </w:t>
      </w:r>
      <m:oMath>
        <m:r>
          <m:rPr>
            <m:sty m:val="p"/>
          </m:rPr>
          <m:t>≳</m:t>
        </m:r>
        <m:r>
          <m:t>1</m:t>
        </m:r>
        <m:r>
          <m:rPr>
            <m:sty m:val="p"/>
          </m:rPr>
          <m:t>%</m:t>
        </m:r>
      </m:oMath>
      <w:r>
        <w:t xml:space="preserve">):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increases gradually from 0.683 to 0.88 as nucleation density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Eden regime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≳</m:t>
        </m:r>
        <m:r>
          <m:t>0.99</m:t>
        </m:r>
      </m:oMath>
      <w:r>
        <w:t xml:space="preserve">, seed fraction</w:t>
      </w:r>
      <w:r>
        <w:t xml:space="preserve"> </w:t>
      </w:r>
      <m:oMath>
        <m:r>
          <m:rPr>
            <m:sty m:val="p"/>
          </m:rPr>
          <m:t>≲</m:t>
        </m:r>
        <m:r>
          <m:t>1</m:t>
        </m:r>
        <m:r>
          <m:rPr>
            <m:sty m:val="p"/>
          </m:rPr>
          <m:t>%</m:t>
        </m:r>
      </m:oMath>
      <w:r>
        <w:t xml:space="preserve">): cluster morphology transitions to a compact, single-origin Eden-like growth;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rises steeply to</w:t>
      </w:r>
      <w:r>
        <w:t xml:space="preserve"> </w:t>
      </w:r>
      <m:oMath>
        <m:r>
          <m:rPr>
            <m:sty m:val="p"/>
          </m:rPr>
          <m:t>≈</m:t>
        </m:r>
        <m:r>
          <m:t>0.993</m:t>
        </m:r>
      </m:oMath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2026-09-06T13:55:06Z</dcterms:created>
  <dcterms:modified xsi:type="dcterms:W3CDTF">2026-09-06T13:55:06Z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