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Calibri" w:cs="Calibri" w:eastAsia="Calibri" w:hAnsi="Calibri"/>
          <w:b/>
          <w:bCs/>
          <w:sz w:val="36"/>
          <w:szCs w:val="36"/>
        </w:rPr>
        <w:t xml:space="preserve">P-adic Clustering: Review of the Idealised Model and Extensions to Sport and Public Health</w:t>
      </w:r>
    </w:p>
    <w:p>
      <w:pPr>
        <w:spacing w:after="360" w:before="0"/>
        <w:jc w:val="center"/>
      </w:pPr>
      <w:r>
        <w:rPr>
          <w:rFonts w:ascii="Calibri" w:cs="Calibri" w:eastAsia="Calibri" w:hAnsi="Calibri"/>
          <w:i/>
          <w:iCs/>
          <w:sz w:val="22"/>
          <w:szCs w:val="22"/>
        </w:rPr>
        <w:t xml:space="preserve">Working paper, April 2026 (revised: PEF reframe)</w:t>
      </w:r>
    </w:p>
    <w:p>
      <w:pPr>
        <w:spacing w:after="120" w:before="60" w:line="300"/>
        <w:jc w:val="both"/>
      </w:pPr>
      <w:r>
        <w:rPr>
          <w:rFonts w:ascii="Calibri" w:cs="Calibri" w:eastAsia="Calibri" w:hAnsi="Calibri"/>
          <w:b/>
          <w:bCs/>
          <w:sz w:val="22"/>
          <w:szCs w:val="22"/>
        </w:rPr>
        <w:t xml:space="preserve">Revision note (April 2026). </w:t>
      </w:r>
      <w:r>
        <w:rPr>
          <w:rFonts w:ascii="Calibri" w:cs="Calibri" w:eastAsia="Calibri" w:hAnsi="Calibri"/>
          <w:sz w:val="22"/>
          <w:szCs w:val="22"/>
        </w:rPr>
        <w:t xml:space="preserve">This version incorporates the Paired Efficiency Factor (PEF) framework from the companion methodology paper. The original abs/rel synthesis (the "UP1 environmental noise cancellation" framing) is preserved as a special case but is now embedded in the more general PEF taxonomy, which makes per-dimension feature decisions principled rather than heuristic and gives a quantitative replacement for the previously unjustified exponential weights.</w:t>
      </w:r>
    </w:p>
    <w:p>
      <w:pPr>
        <w:pStyle w:val="Heading2"/>
        <w:spacing w:after="140" w:before="280"/>
      </w:pPr>
      <w:r>
        <w:rPr>
          <w:rFonts w:ascii="Calibri" w:cs="Calibri" w:eastAsia="Calibri" w:hAnsi="Calibri"/>
          <w:b/>
          <w:bCs/>
          <w:sz w:val="26"/>
          <w:szCs w:val="26"/>
        </w:rPr>
        <w:t xml:space="preserve">Abstract</w:t>
      </w:r>
    </w:p>
    <w:p>
      <w:pPr>
        <w:spacing w:after="120" w:before="60" w:line="300"/>
        <w:jc w:val="both"/>
      </w:pPr>
      <w:r>
        <w:rPr>
          <w:rFonts w:ascii="Calibri" w:cs="Calibri" w:eastAsia="Calibri" w:hAnsi="Calibri"/>
          <w:sz w:val="22"/>
          <w:szCs w:val="22"/>
        </w:rPr>
        <w:t xml:space="preserve">A p-adic clustering pipeline for sports analytics has been developed and validated on European rugby data, achieving a silhouette score of 0.7083 across 1 128 matches and sixteen teams over four seasons — a 126.7% improvement over an absolute-metric-only baseline and approximately 73% of the ceiling estimated from a perfectly hierarchical synthetic system. The pipeline rests on three ideas: an idealised generative model ("Hierarchical Dominion") that guarantees ultrametric structure by construction; the Paired Efficiency Factor (PEF) framework that replaces the original abs/rel synthesis with a quantitative, distribution-free criterion η = (1+κ)/(1+κ − 2√κ ρ) for per-dimension feature decisions; and information-content weighting that maps the resulting features to base-p digit strings with reproducible weights. The rugby result is properly understood as a worked Q4 demonstration of PEF — relative features beat absolute features even though several individual KPIs have η &lt; 1, exploiting the efficiency–power tension that PEF formalises. This paper reviews the framework and proposes two extensions. In sport, it is mapped onto talent pathways and tournament bracket structure, both of which are intrinsically tree-like and span Q1–Q4 of the (κ, ρ) plane. In public health, it is mapped onto healthcare delivery hierarchies (region → trust → hospital → ward) and onto population health risk stratification — domains where within-region pairings sit deep in Q1/Q2 and across-region pairings drift toward Q4, and where existing multimorbidity and patient-stratification literatures dominantly use Euclidean methods that ignore the deep nested structure of clinical and demographic data. Connections are drawn to the Murtagh / Contreras programme of ultrametric data analysis and to Khrennikov's ultrametric epidemic modelling, with PEF supplying an empirical estimator for Khrennikov's social-barrier height parameter. A staged research roadmap is proposed.</w:t>
      </w:r>
    </w:p>
    <w:p>
      <w:pPr>
        <w:pStyle w:val="Heading1"/>
        <w:spacing w:after="180" w:before="360"/>
      </w:pPr>
      <w:r>
        <w:rPr>
          <w:rFonts w:ascii="Calibri" w:cs="Calibri" w:eastAsia="Calibri" w:hAnsi="Calibri"/>
          <w:b/>
          <w:bCs/>
          <w:sz w:val="32"/>
          <w:szCs w:val="32"/>
        </w:rPr>
        <w:t xml:space="preserve">1. Where the project currently stands</w:t>
      </w:r>
    </w:p>
    <w:p>
      <w:pPr>
        <w:spacing w:after="120" w:before="60" w:line="300"/>
        <w:jc w:val="both"/>
      </w:pPr>
      <w:r>
        <w:rPr>
          <w:rFonts w:ascii="Calibri" w:cs="Calibri" w:eastAsia="Calibri" w:hAnsi="Calibri"/>
          <w:sz w:val="22"/>
          <w:szCs w:val="22"/>
        </w:rPr>
        <w:t xml:space="preserve">Across the rugby paper draft and the prior design notes, the project has crystallised around three components.</w:t>
      </w:r>
    </w:p>
    <w:p>
      <w:pPr>
        <w:pStyle w:val="ListParagraph"/>
        <w:numPr>
          <w:ilvl w:val="0"/>
          <w:numId w:val="2"/>
        </w:numPr>
        <w:spacing w:after="80" w:before="40" w:line="280"/>
      </w:pPr>
      <w:r>
        <w:rPr>
          <w:rFonts w:ascii="Calibri" w:cs="Calibri" w:eastAsia="Calibri" w:hAnsi="Calibri"/>
          <w:b/>
          <w:bCs/>
          <w:sz w:val="22"/>
          <w:szCs w:val="22"/>
        </w:rPr>
        <w:t xml:space="preserve">An idealised generative model — "Hierarchical Dominion". </w:t>
      </w:r>
      <w:r>
        <w:rPr>
          <w:rFonts w:ascii="Calibri" w:cs="Calibri" w:eastAsia="Calibri" w:hAnsi="Calibri"/>
          <w:sz w:val="22"/>
          <w:szCs w:val="22"/>
        </w:rPr>
        <w:t xml:space="preserve">Sixteen teams arranged in four levels of four (powers of two), with deterministic between-level dominance and discrete within-level strategic choices encoded over distinct primes — philosophy at p = 2, formation at p = 3, resources at p = 5. Distance is taken as the maximum p-adic norm across the strategic dimensions, so the ultrametric inequality d(A, C) ≤ max{d(A, B), d(B, C)} holds by construction. The whole point of the construction is that it guarantees a silhouette score above 0.95 — it is a proof-of-concept that p-adic clustering can perfectly recover hierarchy when the data really is hierarchical.</w:t>
      </w:r>
    </w:p>
    <w:p>
      <w:pPr>
        <w:pStyle w:val="ListParagraph"/>
        <w:numPr>
          <w:ilvl w:val="0"/>
          <w:numId w:val="2"/>
        </w:numPr>
        <w:spacing w:after="80" w:before="40" w:line="280"/>
      </w:pPr>
      <w:r>
        <w:rPr>
          <w:rFonts w:ascii="Calibri" w:cs="Calibri" w:eastAsia="Calibri" w:hAnsi="Calibri"/>
          <w:b/>
          <w:bCs/>
          <w:sz w:val="22"/>
          <w:szCs w:val="22"/>
        </w:rPr>
        <w:t xml:space="preserve">PEF (Paired Efficiency Factor) as the formal underpinning for abs vs. rel feature construction. </w:t>
      </w:r>
      <w:r>
        <w:rPr>
          <w:rFonts w:ascii="Calibri" w:cs="Calibri" w:eastAsia="Calibri" w:hAnsi="Calibri"/>
          <w:sz w:val="22"/>
          <w:szCs w:val="22"/>
        </w:rPr>
        <w:t xml:space="preserve">What was originally framed as an "abs/rel synthesis" with the verbal "UP1 environmental noise cancellation" intuition is in fact a special case of a more general result. PEF generalises Fisher's classical paired-efficiency formula 1/(1−ρ) to unequal variances via η = (1+κ)/(1+κ − 2√κ ρ), where κ = σ²_B / σ²_A is the variance ratio and ρ is the within-pair correlation. This gives a quantitative, distribution-free criterion for whether to use a relative feature (X_A − X_B) or to keep absolute features: η &gt; 1 means pairing reduces variance and rel is preferred; η = 1 is the Fisher baseline; η &lt; 1 means pairing amplifies variance, in which case rel may still be preferred if the information content I(X; Y) under a Gaussian discriminant model justifies it (the efficiency–power tension). Sport KPIs span all four quadrants of the (κ, ρ) plane: KPIs with positive ρ from shared environment (e.g. kicks-from-hand, carries) sit in Q1/Q2 with η &gt; 1 — exactly the UP1 noise-cancellation case; KPIs with negative ρ from competitive dynamics (e.g. turnovers won, penalties conceded) sit in Q3/Q4 with η ≤ 1, and rugby's most non-trivial result is that rel still beats abs in Q4. Concrete consequences for the seven-dimensional vector: (a) abs vs. rel for each dimension becomes a quadrant-conditional decision computed from data, not a fixed design choice; (b) the exponential weights (10 000 / 100 / 50 / 25 / 12 / 6 / 3) are replaced by per-dimension information content I(X_k; Y), which keeps the desired lexicographic structure but for a principled reason; (c) the empirical PEF-to-ML mapping ΔML = 0.234(η − 1) + 0.089(η − 1)² gives per-dimension predicted contributions to separability before any clustering is run.</w:t>
      </w:r>
    </w:p>
    <w:p>
      <w:pPr>
        <w:pStyle w:val="ListParagraph"/>
        <w:numPr>
          <w:ilvl w:val="0"/>
          <w:numId w:val="2"/>
        </w:numPr>
        <w:spacing w:after="80" w:before="40" w:line="280"/>
      </w:pPr>
      <w:r>
        <w:rPr>
          <w:rFonts w:ascii="Calibri" w:cs="Calibri" w:eastAsia="Calibri" w:hAnsi="Calibri"/>
          <w:b/>
          <w:bCs/>
          <w:sz w:val="22"/>
          <w:szCs w:val="22"/>
        </w:rPr>
        <w:t xml:space="preserve">A real-data validation. </w:t>
      </w:r>
      <w:r>
        <w:rPr>
          <w:rFonts w:ascii="Calibri" w:cs="Calibri" w:eastAsia="Calibri" w:hAnsi="Calibri"/>
          <w:sz w:val="22"/>
          <w:szCs w:val="22"/>
        </w:rPr>
        <w:t xml:space="preserve">1 128 matches across sixteen URC / Pro14-era rugby teams over four seasons. The enhanced pipeline reaches a silhouette of 0.7083 at p = 2, k = 6 — a 126.7% improvement over the abs-only baseline (0.3125) and roughly 73% of the theoretical perfect-data ceiling (0.9746). Companion PEF analysis (URC, n = 240 games) reports mean η = 1.845 across 25 KPI studies, with KPIs distributed across all four (κ, ρ) quadrants — so the rugby clustering result is, properly understood, a worked Q4 demonstration of PEF where rel features beat abs even though several individual KPIs have η &lt; 1. The recovered clusters are tactically interpretable.</w:t>
      </w:r>
    </w:p>
    <w:p>
      <w:pPr>
        <w:spacing w:after="120" w:before="240"/>
      </w:pPr>
      <w:r>
        <w:rPr>
          <w:rFonts w:ascii="Calibri" w:cs="Calibri" w:eastAsia="Calibri" w:hAnsi="Calibri"/>
          <w:b/>
          <w:bCs/>
          <w:sz w:val="22"/>
          <w:szCs w:val="22"/>
        </w:rPr>
        <w:t xml:space="preserve">Table 1. Performance relative to theoretical ceiling.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2000"/>
        <w:gridCol w:w="2860"/>
      </w:tblGrid>
      <w:tr>
        <w:trPr>
          <w:tblHeader/>
        </w:trPr>
        <w:tc>
          <w:tcPr>
            <w:tcW w:type="dxa" w:w="45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rFonts w:ascii="Calibri" w:cs="Calibri" w:eastAsia="Calibri" w:hAnsi="Calibri"/>
                <w:b/>
                <w:bCs/>
                <w:sz w:val="20"/>
                <w:szCs w:val="20"/>
              </w:rPr>
              <w:t xml:space="preserve">System</w:t>
            </w:r>
          </w:p>
        </w:tc>
        <w:tc>
          <w:tcPr>
            <w:tcW w:type="dxa" w:w="20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rFonts w:ascii="Calibri" w:cs="Calibri" w:eastAsia="Calibri" w:hAnsi="Calibri"/>
                <w:b/>
                <w:bCs/>
                <w:sz w:val="20"/>
                <w:szCs w:val="20"/>
              </w:rPr>
              <w:t xml:space="preserve">Silhouette</w:t>
            </w:r>
          </w:p>
        </w:tc>
        <w:tc>
          <w:tcPr>
            <w:tcW w:type="dxa" w:w="28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rFonts w:ascii="Calibri" w:cs="Calibri" w:eastAsia="Calibri" w:hAnsi="Calibri"/>
                <w:b/>
                <w:bCs/>
                <w:sz w:val="20"/>
                <w:szCs w:val="20"/>
              </w:rPr>
              <w:t xml:space="preserve">% of perfect ceiling</w:t>
            </w:r>
          </w:p>
        </w:tc>
      </w:tr>
      <w:tr>
        <w:trPr>
          <w:tblHeader w:val="false"/>
        </w:trP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Perfect synthetic (Hierarchical Dominion)</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0.9746</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100%</w:t>
            </w:r>
          </w:p>
        </w:tc>
      </w:tr>
      <w:tr>
        <w:trPr>
          <w:tblHeader w:val="false"/>
        </w:trP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Enhanced abs/rel — real rugby (p = 2, k = 6)</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0.7083</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72.7%</w:t>
            </w:r>
          </w:p>
        </w:tc>
      </w:tr>
      <w:tr>
        <w:trPr>
          <w:tblHeader w:val="false"/>
        </w:trP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Original abs-only — real rugby</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0.3125</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32.1%</w:t>
            </w:r>
          </w:p>
        </w:tc>
      </w:tr>
      <w:tr>
        <w:trPr>
          <w:tblHeader w:val="false"/>
        </w:trP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Traditional k-means — real rugby</w:t>
            </w:r>
          </w:p>
        </w:tc>
        <w:tc>
          <w:tcPr>
            <w:tcW w:type="dxa" w:w="2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0.2500</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25.7%</w:t>
            </w:r>
          </w:p>
        </w:tc>
      </w:tr>
    </w:tbl>
    <w:p>
      <w:pPr>
        <w:spacing w:after="120" w:before="280"/>
      </w:pPr>
      <w:r>
        <w:rPr>
          <w:rFonts w:ascii="Calibri" w:cs="Calibri" w:eastAsia="Calibri" w:hAnsi="Calibri"/>
          <w:b/>
          <w:bCs/>
          <w:sz w:val="22"/>
          <w:szCs w:val="22"/>
        </w:rPr>
        <w:t xml:space="preserve">Table 2. Recovered rugby clusters (p = 2, k =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3300"/>
        <w:gridCol w:w="5260"/>
      </w:tblGrid>
      <w:tr>
        <w:trPr>
          <w:tblHeader/>
        </w:trPr>
        <w:tc>
          <w:tcPr>
            <w:tcW w:type="dxa" w:w="8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rFonts w:ascii="Calibri" w:cs="Calibri" w:eastAsia="Calibri" w:hAnsi="Calibri"/>
                <w:b/>
                <w:bCs/>
                <w:sz w:val="20"/>
                <w:szCs w:val="20"/>
              </w:rPr>
              <w:t xml:space="preserve">Cluster</w:t>
            </w:r>
          </w:p>
        </w:tc>
        <w:tc>
          <w:tcPr>
            <w:tcW w:type="dxa" w:w="330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rFonts w:ascii="Calibri" w:cs="Calibri" w:eastAsia="Calibri" w:hAnsi="Calibri"/>
                <w:b/>
                <w:bCs/>
                <w:sz w:val="20"/>
                <w:szCs w:val="20"/>
              </w:rPr>
              <w:t xml:space="preserve">Teams</w:t>
            </w:r>
          </w:p>
        </w:tc>
        <w:tc>
          <w:tcPr>
            <w:tcW w:type="dxa" w:w="5260"/>
            <w:tcBorders>
              <w:top w:val="single" w:color="999999" w:sz="4"/>
              <w:left w:val="single" w:color="999999" w:sz="4"/>
              <w:bottom w:val="single" w:color="999999" w:sz="4"/>
              <w:right w:val="single" w:color="999999" w:sz="4"/>
            </w:tcBorders>
            <w:shd w:fill="D9E2F3" w:val="clear"/>
            <w:tcMar>
              <w:top w:type="dxa" w:w="80"/>
              <w:left w:type="dxa" w:w="120"/>
              <w:bottom w:type="dxa" w:w="80"/>
              <w:right w:type="dxa" w:w="120"/>
            </w:tcMar>
          </w:tcPr>
          <w:p>
            <w:pPr>
              <w:jc w:val="center"/>
            </w:pPr>
            <w:r>
              <w:rPr>
                <w:rFonts w:ascii="Calibri" w:cs="Calibri" w:eastAsia="Calibri" w:hAnsi="Calibri"/>
                <w:b/>
                <w:bCs/>
                <w:sz w:val="20"/>
                <w:szCs w:val="20"/>
              </w:rPr>
              <w:t xml:space="preserve">Strategic profile</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1</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Ulster, Bulls</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Strong, forward-dominant, high kicking</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2</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Stormers, Edinburgh, Glasgow</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Strong, balanced-forward, high kicking</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3</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Munster</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Strong, balanced-forward, less disciplined</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4</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Dragons, Zebre</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Developing, forward-dominant, undisciplined</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5</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Seven mid-table teams</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Competitive, forward-dominant, disciplined</w:t>
            </w:r>
          </w:p>
        </w:tc>
      </w:tr>
      <w:tr>
        <w:trPr>
          <w:tblHeader w:val="false"/>
        </w:trPr>
        <w:tc>
          <w:tcPr>
            <w:tcW w:type="dxa" w:w="8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6</w:t>
            </w:r>
          </w:p>
        </w:tc>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Leinster</w:t>
            </w:r>
          </w:p>
        </w:tc>
        <w:tc>
          <w:tcPr>
            <w:tcW w:type="dxa" w:w="5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jc w:val="left"/>
            </w:pPr>
            <w:r>
              <w:rPr>
                <w:rFonts w:ascii="Calibri" w:cs="Calibri" w:eastAsia="Calibri" w:hAnsi="Calibri"/>
                <w:b w:val="false"/>
                <w:bCs w:val="false"/>
                <w:sz w:val="20"/>
                <w:szCs w:val="20"/>
              </w:rPr>
              <w:t xml:space="preserve">Elite, forward-dominant, strong breakdown</w:t>
            </w:r>
          </w:p>
        </w:tc>
      </w:tr>
    </w:tbl>
    <w:p>
      <w:pPr>
        <w:pStyle w:val="Heading2"/>
        <w:spacing w:after="140" w:before="280"/>
      </w:pPr>
      <w:r>
        <w:rPr>
          <w:rFonts w:ascii="Calibri" w:cs="Calibri" w:eastAsia="Calibri" w:hAnsi="Calibri"/>
          <w:b/>
          <w:bCs/>
          <w:sz w:val="26"/>
          <w:szCs w:val="26"/>
        </w:rPr>
        <w:t xml:space="preserve">1.1 Gaps in the current draft</w:t>
      </w:r>
    </w:p>
    <w:p>
      <w:pPr>
        <w:spacing w:after="120" w:before="60" w:line="300"/>
        <w:jc w:val="both"/>
      </w:pPr>
      <w:r>
        <w:rPr>
          <w:rFonts w:ascii="Calibri" w:cs="Calibri" w:eastAsia="Calibri" w:hAnsi="Calibri"/>
          <w:sz w:val="22"/>
          <w:szCs w:val="22"/>
        </w:rPr>
        <w:t xml:space="preserve">Before extending, it is worth being explicit about what is not yet nailed down — these are the holes the extensions can be structured to fill.</w:t>
      </w:r>
    </w:p>
    <w:p>
      <w:pPr>
        <w:pStyle w:val="ListParagraph"/>
        <w:numPr>
          <w:ilvl w:val="0"/>
          <w:numId w:val="2"/>
        </w:numPr>
        <w:spacing w:after="80" w:before="40" w:line="280"/>
      </w:pPr>
      <w:r>
        <w:rPr>
          <w:rFonts w:ascii="Calibri" w:cs="Calibri" w:eastAsia="Calibri" w:hAnsi="Calibri"/>
          <w:b/>
          <w:bCs/>
          <w:sz w:val="22"/>
          <w:szCs w:val="22"/>
        </w:rPr>
        <w:t xml:space="preserve">Single-baseline comparison. </w:t>
      </w:r>
      <w:r>
        <w:rPr>
          <w:rFonts w:ascii="Calibri" w:cs="Calibri" w:eastAsia="Calibri" w:hAnsi="Calibri"/>
          <w:sz w:val="22"/>
          <w:szCs w:val="22"/>
        </w:rPr>
        <w:t xml:space="preserve">The 126.7% improvement is computed against an abs-only version of the same pipeline. To convince a reviewer, the comparison set should include Ward's hierarchical clustering with Euclidean distance, k-means, and Gaussian mixtures on the same seven-dimensional feature vector, plus p-adic on a non-categorised version of the same data, so we can attribute gains separately to (i) categorisation, (ii) ultrametric distance, and (iii) abs/rel synthesis.</w:t>
      </w:r>
    </w:p>
    <w:p>
      <w:pPr>
        <w:pStyle w:val="ListParagraph"/>
        <w:numPr>
          <w:ilvl w:val="0"/>
          <w:numId w:val="2"/>
        </w:numPr>
        <w:spacing w:after="80" w:before="40" w:line="280"/>
      </w:pPr>
      <w:r>
        <w:rPr>
          <w:rFonts w:ascii="Calibri" w:cs="Calibri" w:eastAsia="Calibri" w:hAnsi="Calibri"/>
          <w:b/>
          <w:bCs/>
          <w:sz w:val="22"/>
          <w:szCs w:val="22"/>
        </w:rPr>
        <w:t xml:space="preserve">The exponential weights now have a principled replacement under PEF. </w:t>
      </w:r>
      <w:r>
        <w:rPr>
          <w:rFonts w:ascii="Calibri" w:cs="Calibri" w:eastAsia="Calibri" w:hAnsi="Calibri"/>
          <w:sz w:val="22"/>
          <w:szCs w:val="22"/>
        </w:rPr>
        <w:t xml:space="preserve">The weights (10 000 → 3) do the right qualitative job but were originally unprincipled. PEF supplies the natural fix: weight each dimension k by its information content I(X_k; Y) under the Gaussian discriminant model, computed from per-dimension (κ̂_k, ρ̂_k, δ̂_k) via the PEF–information-content relationship. This preserves the lexicographic property the original weights wanted — high-information dimensions dominate the encoding — while making the weight schedule reproducible from the data.</w:t>
      </w:r>
    </w:p>
    <w:p>
      <w:pPr>
        <w:pStyle w:val="ListParagraph"/>
        <w:numPr>
          <w:ilvl w:val="0"/>
          <w:numId w:val="2"/>
        </w:numPr>
        <w:spacing w:after="80" w:before="40" w:line="280"/>
      </w:pPr>
      <w:r>
        <w:rPr>
          <w:rFonts w:ascii="Calibri" w:cs="Calibri" w:eastAsia="Calibri" w:hAnsi="Calibri"/>
          <w:b/>
          <w:bCs/>
          <w:sz w:val="22"/>
          <w:szCs w:val="22"/>
        </w:rPr>
        <w:t xml:space="preserve">Sensitivity to prime choice. </w:t>
      </w:r>
      <w:r>
        <w:rPr>
          <w:rFonts w:ascii="Calibri" w:cs="Calibri" w:eastAsia="Calibri" w:hAnsi="Calibri"/>
          <w:sz w:val="22"/>
          <w:szCs w:val="22"/>
        </w:rPr>
        <w:t xml:space="preserve">A sweep across p ∈ {2, 3, 5, 7, 11, 13} on silhouette and Davies–Bouldin, with a story about why the optimum lands where it does, is the more publishable form of the result.</w:t>
      </w:r>
    </w:p>
    <w:p>
      <w:pPr>
        <w:pStyle w:val="ListParagraph"/>
        <w:numPr>
          <w:ilvl w:val="0"/>
          <w:numId w:val="2"/>
        </w:numPr>
        <w:spacing w:after="80" w:before="40" w:line="280"/>
      </w:pPr>
      <w:r>
        <w:rPr>
          <w:rFonts w:ascii="Calibri" w:cs="Calibri" w:eastAsia="Calibri" w:hAnsi="Calibri"/>
          <w:b/>
          <w:bCs/>
          <w:sz w:val="22"/>
          <w:szCs w:val="22"/>
        </w:rPr>
        <w:t xml:space="preserve">Cluster stability unvalidated. </w:t>
      </w:r>
      <w:r>
        <w:rPr>
          <w:rFonts w:ascii="Calibri" w:cs="Calibri" w:eastAsia="Calibri" w:hAnsi="Calibri"/>
          <w:sz w:val="22"/>
          <w:szCs w:val="22"/>
        </w:rPr>
        <w:t xml:space="preserve">Bootstrap resampling, Jaccard cluster stability, and leave-one-season-out CV on the 1 128-match panel would substantially strengthen the empirical claim.</w:t>
      </w:r>
    </w:p>
    <w:p>
      <w:pPr>
        <w:pStyle w:val="ListParagraph"/>
        <w:numPr>
          <w:ilvl w:val="0"/>
          <w:numId w:val="2"/>
        </w:numPr>
        <w:spacing w:after="80" w:before="40" w:line="280"/>
      </w:pPr>
      <w:r>
        <w:rPr>
          <w:rFonts w:ascii="Calibri" w:cs="Calibri" w:eastAsia="Calibri" w:hAnsi="Calibri"/>
          <w:b/>
          <w:bCs/>
          <w:sz w:val="22"/>
          <w:szCs w:val="22"/>
        </w:rPr>
        <w:t xml:space="preserve">Idealised-vs-real curve unquantified. </w:t>
      </w:r>
      <w:r>
        <w:rPr>
          <w:rFonts w:ascii="Calibri" w:cs="Calibri" w:eastAsia="Calibri" w:hAnsi="Calibri"/>
          <w:sz w:val="22"/>
          <w:szCs w:val="22"/>
        </w:rPr>
        <w:t xml:space="preserve">The progressive approximation idea (perfect → 10% noise → 20% strategic variance → continuous metrics → real) is a powerful narrative but is not yet shown empirically as a curve. Inject increasing noise into Hierarchical Dominion data and watch silhouette degrade — that lets real rugby be located on that curve.</w:t>
      </w:r>
    </w:p>
    <w:p>
      <w:pPr>
        <w:pStyle w:val="ListParagraph"/>
        <w:numPr>
          <w:ilvl w:val="0"/>
          <w:numId w:val="2"/>
        </w:numPr>
        <w:spacing w:after="80" w:before="40" w:line="280"/>
      </w:pPr>
      <w:r>
        <w:rPr>
          <w:rFonts w:ascii="Calibri" w:cs="Calibri" w:eastAsia="Calibri" w:hAnsi="Calibri"/>
          <w:b/>
          <w:bCs/>
          <w:sz w:val="22"/>
          <w:szCs w:val="22"/>
        </w:rPr>
        <w:t xml:space="preserve">No outcome validation. </w:t>
      </w:r>
      <w:r>
        <w:rPr>
          <w:rFonts w:ascii="Calibri" w:cs="Calibri" w:eastAsia="Calibri" w:hAnsi="Calibri"/>
          <w:sz w:val="22"/>
          <w:szCs w:val="22"/>
        </w:rPr>
        <w:t xml:space="preserve">Cluster membership has not been tested as a predictor of anything external. Predicting next-season league position, derby surprises, or play-off qualification from cluster membership would show the geometry captures something real. The PEF-to-ML mapping ΔML = 0.234(η − 1) + 0.089(η − 1)² also gives a predicted per-dimension contribution to ML accuracy that can be validated dimension by dimension before clustering is run.</w:t>
      </w:r>
    </w:p>
    <w:p>
      <w:pPr>
        <w:pStyle w:val="ListParagraph"/>
        <w:numPr>
          <w:ilvl w:val="0"/>
          <w:numId w:val="2"/>
        </w:numPr>
        <w:spacing w:after="80" w:before="40" w:line="280"/>
      </w:pPr>
      <w:r>
        <w:rPr>
          <w:rFonts w:ascii="Calibri" w:cs="Calibri" w:eastAsia="Calibri" w:hAnsi="Calibri"/>
          <w:b/>
          <w:bCs/>
          <w:sz w:val="22"/>
          <w:szCs w:val="22"/>
        </w:rPr>
        <w:t xml:space="preserve">Per-dimension quadrant placement of the seven constructed dimensions. </w:t>
      </w:r>
      <w:r>
        <w:rPr>
          <w:rFonts w:ascii="Calibri" w:cs="Calibri" w:eastAsia="Calibri" w:hAnsi="Calibri"/>
          <w:sz w:val="22"/>
          <w:szCs w:val="22"/>
        </w:rPr>
        <w:t xml:space="preserve">The PEF paper places 25 raw KPIs in the (κ, ρ) plane; the rugby p-adic pipeline operates on seven constructed dimensions (e.g. abs_carries+passes, abs_scrums+lineouts). Summation changes (κ, ρ): Var(X+Y) = σ²_X + σ²_Y + 2 ρ σ_X σ_Y. The natural next experiment is to place each constructed dimension individually in the (κ, ρ) plane, report η values, and inspect quadrant heterogeneity. Expectation: performance tier and breakdown mastery sit deep in Q1; territory and set piece sit in Q2; discipline and penetration likely span Q3/Q4. If the prediction holds, the abs/rel choices in the current pipeline are approximately right by accident — but explicit PEF placement makes them defensible.</w:t>
      </w:r>
    </w:p>
    <w:p>
      <w:pPr>
        <w:pStyle w:val="Heading1"/>
        <w:spacing w:after="180" w:before="360"/>
      </w:pPr>
      <w:r>
        <w:rPr>
          <w:rFonts w:ascii="Calibri" w:cs="Calibri" w:eastAsia="Calibri" w:hAnsi="Calibri"/>
          <w:b/>
          <w:bCs/>
          <w:sz w:val="32"/>
          <w:szCs w:val="32"/>
        </w:rPr>
        <w:t xml:space="preserve">2. What the literature actually contains</w:t>
      </w:r>
    </w:p>
    <w:p>
      <w:pPr>
        <w:spacing w:after="120" w:before="60" w:line="300"/>
        <w:jc w:val="both"/>
      </w:pPr>
      <w:r>
        <w:rPr>
          <w:rFonts w:ascii="Calibri" w:cs="Calibri" w:eastAsia="Calibri" w:hAnsi="Calibri"/>
          <w:sz w:val="22"/>
          <w:szCs w:val="22"/>
        </w:rPr>
        <w:t xml:space="preserve">Three observations from the literature shape the positioning, plus a fourth that follows from the in-house PEF methodology paper.</w:t>
      </w:r>
    </w:p>
    <w:p>
      <w:pPr>
        <w:spacing w:after="120" w:before="60" w:line="300"/>
        <w:jc w:val="both"/>
      </w:pPr>
      <w:r>
        <w:rPr>
          <w:rFonts w:ascii="Calibri" w:cs="Calibri" w:eastAsia="Calibri" w:hAnsi="Calibri"/>
          <w:b/>
          <w:bCs/>
          <w:sz w:val="22"/>
          <w:szCs w:val="22"/>
        </w:rPr>
        <w:t xml:space="preserve">Observation 1. </w:t>
      </w:r>
      <w:r>
        <w:rPr>
          <w:rFonts w:ascii="Calibri" w:cs="Calibri" w:eastAsia="Calibri" w:hAnsi="Calibri"/>
          <w:sz w:val="22"/>
          <w:szCs w:val="22"/>
        </w:rPr>
        <w:t xml:space="preserve">There is a small, mature literature on p-adic and ultrametric clustering as a general method, but virtually none of it is applied to sport. The methodological backbone goes back to Fionn Murtagh's programme on ultrametric topology, Baire-metric clustering with linear-time complexity, and the explicit linkage between p-adic encodings and hierarchical classification (</w:t>
      </w:r>
      <w:hyperlink w:history="1" r:id="rIdcxq5nbocxmrieihuejvwk">
        <w:r>
          <w:rPr>
            <w:rStyle w:val="Hyperlink"/>
            <w:rFonts w:ascii="Calibri" w:cs="Calibri" w:eastAsia="Calibri" w:hAnsi="Calibri"/>
            <w:sz w:val="22"/>
            <w:szCs w:val="22"/>
          </w:rPr>
          <w:t xml:space="preserve">Murtagh 2007, SIAM J. Sci. Comput.</w:t>
        </w:r>
      </w:hyperlink>
      <w:r>
        <w:rPr>
          <w:rFonts w:ascii="Calibri" w:cs="Calibri" w:eastAsia="Calibri" w:hAnsi="Calibri"/>
          <w:sz w:val="22"/>
          <w:szCs w:val="22"/>
        </w:rPr>
        <w:t xml:space="preserve">; </w:t>
      </w:r>
      <w:hyperlink w:history="1" r:id="rIdrhrsivaw09huc5ct344mv">
        <w:r>
          <w:rPr>
            <w:rStyle w:val="Hyperlink"/>
            <w:rFonts w:ascii="Calibri" w:cs="Calibri" w:eastAsia="Calibri" w:hAnsi="Calibri"/>
            <w:sz w:val="22"/>
            <w:szCs w:val="22"/>
          </w:rPr>
          <w:t xml:space="preserve">Murtagh &amp; Contreras 2012</w:t>
        </w:r>
      </w:hyperlink>
      <w:r>
        <w:rPr>
          <w:rFonts w:ascii="Calibri" w:cs="Calibri" w:eastAsia="Calibri" w:hAnsi="Calibri"/>
          <w:sz w:val="22"/>
          <w:szCs w:val="22"/>
        </w:rPr>
        <w:t xml:space="preserve">; </w:t>
      </w:r>
      <w:hyperlink w:history="1" r:id="rIdk92suacva2nrff7q4qsyk">
        <w:r>
          <w:rPr>
            <w:rStyle w:val="Hyperlink"/>
            <w:rFonts w:ascii="Calibri" w:cs="Calibri" w:eastAsia="Calibri" w:hAnsi="Calibri"/>
            <w:sz w:val="22"/>
            <w:szCs w:val="22"/>
          </w:rPr>
          <w:t xml:space="preserve">Murtagh, "Thinking ultrametrically, thinking p-adically"</w:t>
        </w:r>
      </w:hyperlink>
      <w:r>
        <w:rPr>
          <w:rFonts w:ascii="Calibri" w:cs="Calibri" w:eastAsia="Calibri" w:hAnsi="Calibri"/>
          <w:sz w:val="22"/>
          <w:szCs w:val="22"/>
        </w:rPr>
        <w:t xml:space="preserve">). More recent work continues to refine this — </w:t>
      </w:r>
      <w:hyperlink w:history="1" r:id="rIdxmzwwv9d5fx65s8hvbazj">
        <w:r>
          <w:rPr>
            <w:rStyle w:val="Hyperlink"/>
            <w:rFonts w:ascii="Calibri" w:cs="Calibri" w:eastAsia="Calibri" w:hAnsi="Calibri"/>
            <w:sz w:val="22"/>
            <w:szCs w:val="22"/>
          </w:rPr>
          <w:t xml:space="preserve">Bradley 2025</w:t>
        </w:r>
      </w:hyperlink>
      <w:r>
        <w:rPr>
          <w:rFonts w:ascii="Calibri" w:cs="Calibri" w:eastAsia="Calibri" w:hAnsi="Calibri"/>
          <w:sz w:val="22"/>
          <w:szCs w:val="22"/>
        </w:rPr>
        <w:t xml:space="preserve"> on norm-based p-adic operations for robust information processing, and </w:t>
      </w:r>
      <w:hyperlink w:history="1" r:id="rIdpvy3i8ha3_ty3dp0yde-r">
        <w:r>
          <w:rPr>
            <w:rStyle w:val="Hyperlink"/>
            <w:rFonts w:ascii="Calibri" w:cs="Calibri" w:eastAsia="Calibri" w:hAnsi="Calibri"/>
            <w:sz w:val="22"/>
            <w:szCs w:val="22"/>
          </w:rPr>
          <w:t xml:space="preserve">"On the local ultrametricity of finite metric data" 2025, J. Classification</w:t>
        </w:r>
      </w:hyperlink>
      <w:r>
        <w:rPr>
          <w:rFonts w:ascii="Calibri" w:cs="Calibri" w:eastAsia="Calibri" w:hAnsi="Calibri"/>
          <w:sz w:val="22"/>
          <w:szCs w:val="22"/>
        </w:rPr>
        <w:t xml:space="preserve">, which tests ultrametricity through p-adic Mumford curves. There is one direct domain analogue in commerce — </w:t>
      </w:r>
      <w:hyperlink w:history="1" r:id="rIdhsssa4mppjqzehtqsdkn6">
        <w:r>
          <w:rPr>
            <w:rStyle w:val="Hyperlink"/>
            <w:rFonts w:ascii="Calibri" w:cs="Calibri" w:eastAsia="Calibri" w:hAnsi="Calibri"/>
            <w:sz w:val="22"/>
            <w:szCs w:val="22"/>
          </w:rPr>
          <w:t xml:space="preserve">Nilaish 2024 SSRN</w:t>
        </w:r>
      </w:hyperlink>
      <w:r>
        <w:rPr>
          <w:rFonts w:ascii="Calibri" w:cs="Calibri" w:eastAsia="Calibri" w:hAnsi="Calibri"/>
          <w:sz w:val="22"/>
          <w:szCs w:val="22"/>
        </w:rPr>
        <w:t xml:space="preserve"> on p-adic ultrametrics for customer segmentation — which is structurally identical to what the rugby paper is doing for teams, but in a different vertical. The rugby paper is therefore plausibly the first applied p-adic clustering paper in sports analytics.</w:t>
      </w:r>
    </w:p>
    <w:p>
      <w:pPr>
        <w:spacing w:after="120" w:before="60" w:line="300"/>
        <w:jc w:val="both"/>
      </w:pPr>
      <w:r>
        <w:rPr>
          <w:rFonts w:ascii="Calibri" w:cs="Calibri" w:eastAsia="Calibri" w:hAnsi="Calibri"/>
          <w:b/>
          <w:bCs/>
          <w:sz w:val="22"/>
          <w:szCs w:val="22"/>
        </w:rPr>
        <w:t xml:space="preserve">Observation 2. </w:t>
      </w:r>
      <w:r>
        <w:rPr>
          <w:rFonts w:ascii="Calibri" w:cs="Calibri" w:eastAsia="Calibri" w:hAnsi="Calibri"/>
          <w:sz w:val="22"/>
          <w:szCs w:val="22"/>
        </w:rPr>
        <w:t xml:space="preserve">The talent identification and tournament-design literatures are crying out for hierarchy-respecting methods, even if they do not know it yet. Talent ID systematic reviews (</w:t>
      </w:r>
      <w:hyperlink w:history="1" r:id="rIdbyaujsl7hwmlau8wymjfa">
        <w:r>
          <w:rPr>
            <w:rStyle w:val="Hyperlink"/>
            <w:rFonts w:ascii="Calibri" w:cs="Calibri" w:eastAsia="Calibri" w:hAnsi="Calibri"/>
            <w:sz w:val="22"/>
            <w:szCs w:val="22"/>
          </w:rPr>
          <w:t xml:space="preserve">Faber et al. 2023, racket sports</w:t>
        </w:r>
      </w:hyperlink>
      <w:r>
        <w:rPr>
          <w:rFonts w:ascii="Calibri" w:cs="Calibri" w:eastAsia="Calibri" w:hAnsi="Calibri"/>
          <w:sz w:val="22"/>
          <w:szCs w:val="22"/>
        </w:rPr>
        <w:t xml:space="preserve">; </w:t>
      </w:r>
      <w:hyperlink w:history="1" r:id="rIduhflhwx1zvpnmswydqcez">
        <w:r>
          <w:rPr>
            <w:rStyle w:val="Hyperlink"/>
            <w:rFonts w:ascii="Calibri" w:cs="Calibri" w:eastAsia="Calibri" w:hAnsi="Calibri"/>
            <w:sz w:val="22"/>
            <w:szCs w:val="22"/>
          </w:rPr>
          <w:t xml:space="preserve">thirty-year longitudinal review 2024</w:t>
        </w:r>
      </w:hyperlink>
      <w:r>
        <w:rPr>
          <w:rFonts w:ascii="Calibri" w:cs="Calibri" w:eastAsia="Calibri" w:hAnsi="Calibri"/>
          <w:sz w:val="22"/>
          <w:szCs w:val="22"/>
        </w:rPr>
        <w:t xml:space="preserve">; </w:t>
      </w:r>
      <w:hyperlink w:history="1" r:id="rId2hazqh0eoieisqsy_cmrg">
        <w:r>
          <w:rPr>
            <w:rStyle w:val="Hyperlink"/>
            <w:rFonts w:ascii="Calibri" w:cs="Calibri" w:eastAsia="Calibri" w:hAnsi="Calibri"/>
            <w:sz w:val="22"/>
            <w:szCs w:val="22"/>
          </w:rPr>
          <w:t xml:space="preserve">team-sports ML systematic review 2025</w:t>
        </w:r>
      </w:hyperlink>
      <w:r>
        <w:rPr>
          <w:rFonts w:ascii="Calibri" w:cs="Calibri" w:eastAsia="Calibri" w:hAnsi="Calibri"/>
          <w:sz w:val="22"/>
          <w:szCs w:val="22"/>
        </w:rPr>
        <w:t xml:space="preserve">) converge on the same complaint: athlete data is intrinsically multidimensional and longitudinal, and current methods either use Euclidean clustering that treats all dimensions as commensurable, or supervised ML that requires a label and so cannot detect novel pathway types. Talent pathways are by their structure tree-like; the </w:t>
      </w:r>
      <w:hyperlink w:history="1" r:id="rIdoi_nvy_jou5opz6bcyqe8">
        <w:r>
          <w:rPr>
            <w:rStyle w:val="Hyperlink"/>
            <w:rFonts w:ascii="Calibri" w:cs="Calibri" w:eastAsia="Calibri" w:hAnsi="Calibri"/>
            <w:sz w:val="22"/>
            <w:szCs w:val="22"/>
          </w:rPr>
          <w:t xml:space="preserve">talent-transfer paper clustering 34 sports</w:t>
        </w:r>
      </w:hyperlink>
      <w:r>
        <w:rPr>
          <w:rFonts w:ascii="Calibri" w:cs="Calibri" w:eastAsia="Calibri" w:hAnsi="Calibri"/>
          <w:sz w:val="22"/>
          <w:szCs w:val="22"/>
        </w:rPr>
        <w:t xml:space="preserve"> shows that clustering sports themselves yields useful transfer recommendations. Tournament design has its own rich literature on fairness axioms (</w:t>
      </w:r>
      <w:hyperlink w:history="1" r:id="rIdfsi5gq-90feikt2q4amm9">
        <w:r>
          <w:rPr>
            <w:rStyle w:val="Hyperlink"/>
            <w:rFonts w:ascii="Calibri" w:cs="Calibri" w:eastAsia="Calibri" w:hAnsi="Calibri"/>
            <w:sz w:val="22"/>
            <w:szCs w:val="22"/>
          </w:rPr>
          <w:t xml:space="preserve">Schwenk 2000</w:t>
        </w:r>
      </w:hyperlink>
      <w:r>
        <w:rPr>
          <w:rFonts w:ascii="Calibri" w:cs="Calibri" w:eastAsia="Calibri" w:hAnsi="Calibri"/>
          <w:sz w:val="22"/>
          <w:szCs w:val="22"/>
        </w:rPr>
        <w:t xml:space="preserve">; </w:t>
      </w:r>
      <w:hyperlink w:history="1" r:id="rId1b0bn1ywx8qlkrhbmgkly">
        <w:r>
          <w:rPr>
            <w:rStyle w:val="Hyperlink"/>
            <w:rFonts w:ascii="Calibri" w:cs="Calibri" w:eastAsia="Calibri" w:hAnsi="Calibri"/>
            <w:sz w:val="22"/>
            <w:szCs w:val="22"/>
          </w:rPr>
          <w:t xml:space="preserve">Karpov, Heidelberg DP</w:t>
        </w:r>
      </w:hyperlink>
      <w:r>
        <w:rPr>
          <w:rFonts w:ascii="Calibri" w:cs="Calibri" w:eastAsia="Calibri" w:hAnsi="Calibri"/>
          <w:sz w:val="22"/>
          <w:szCs w:val="22"/>
        </w:rPr>
        <w:t xml:space="preserve">; </w:t>
      </w:r>
      <w:hyperlink w:history="1" r:id="rIdv3-_vxpex9fkshqjbfedu">
        <w:r>
          <w:rPr>
            <w:rStyle w:val="Hyperlink"/>
            <w:rFonts w:ascii="Calibri" w:cs="Calibri" w:eastAsia="Calibri" w:hAnsi="Calibri"/>
            <w:sz w:val="22"/>
            <w:szCs w:val="22"/>
          </w:rPr>
          <w:t xml:space="preserve">Toukmaji 2022 chalk index, CMSAC</w:t>
        </w:r>
      </w:hyperlink>
      <w:r>
        <w:rPr>
          <w:rFonts w:ascii="Calibri" w:cs="Calibri" w:eastAsia="Calibri" w:hAnsi="Calibri"/>
          <w:sz w:val="22"/>
          <w:szCs w:val="22"/>
        </w:rPr>
        <w:t xml:space="preserve">) and on bracket placement algebra (i + j = 2^r + 1) — but the connection between bracket structure and ultrametric distance is, to my reading, never made explicit.</w:t>
      </w:r>
    </w:p>
    <w:p>
      <w:pPr>
        <w:spacing w:after="120" w:before="60" w:line="300"/>
        <w:jc w:val="both"/>
      </w:pPr>
      <w:r>
        <w:rPr>
          <w:rFonts w:ascii="Calibri" w:cs="Calibri" w:eastAsia="Calibri" w:hAnsi="Calibri"/>
          <w:b/>
          <w:bCs/>
          <w:sz w:val="22"/>
          <w:szCs w:val="22"/>
        </w:rPr>
        <w:t xml:space="preserve">Observation 3. </w:t>
      </w:r>
      <w:r>
        <w:rPr>
          <w:rFonts w:ascii="Calibri" w:cs="Calibri" w:eastAsia="Calibri" w:hAnsi="Calibri"/>
          <w:sz w:val="22"/>
          <w:szCs w:val="22"/>
        </w:rPr>
        <w:t xml:space="preserve">In public health, the p-adic / ultrametric epidemic literature already exists; the p-adic clinical literature does not. Andrei Khrennikov's COVID-era series (</w:t>
      </w:r>
      <w:hyperlink w:history="1" r:id="rIdu0fhw3s1u2w0xspkknxwe">
        <w:r>
          <w:rPr>
            <w:rStyle w:val="Hyperlink"/>
            <w:rFonts w:ascii="Calibri" w:cs="Calibri" w:eastAsia="Calibri" w:hAnsi="Calibri"/>
            <w:sz w:val="22"/>
            <w:szCs w:val="22"/>
          </w:rPr>
          <w:t xml:space="preserve">Khrennikov &amp; Oleschko 2021, Physica A</w:t>
        </w:r>
      </w:hyperlink>
      <w:r>
        <w:rPr>
          <w:rFonts w:ascii="Calibri" w:cs="Calibri" w:eastAsia="Calibri" w:hAnsi="Calibri"/>
          <w:sz w:val="22"/>
          <w:szCs w:val="22"/>
        </w:rPr>
        <w:t xml:space="preserve">; </w:t>
      </w:r>
      <w:hyperlink w:history="1" r:id="rIdfcq23jim5tnbbqfmitpyu">
        <w:r>
          <w:rPr>
            <w:rStyle w:val="Hyperlink"/>
            <w:rFonts w:ascii="Calibri" w:cs="Calibri" w:eastAsia="Calibri" w:hAnsi="Calibri"/>
            <w:sz w:val="22"/>
            <w:szCs w:val="22"/>
          </w:rPr>
          <w:t xml:space="preserve">Khrennikov 2020, ultrametric SIR random walk</w:t>
        </w:r>
      </w:hyperlink>
      <w:r>
        <w:rPr>
          <w:rFonts w:ascii="Calibri" w:cs="Calibri" w:eastAsia="Calibri" w:hAnsi="Calibri"/>
          <w:sz w:val="22"/>
          <w:szCs w:val="22"/>
        </w:rPr>
        <w:t xml:space="preserve">; </w:t>
      </w:r>
      <w:hyperlink w:history="1" r:id="rId61xk7_3dwdo2ewn5u5h6g">
        <w:r>
          <w:rPr>
            <w:rStyle w:val="Hyperlink"/>
            <w:rFonts w:ascii="Calibri" w:cs="Calibri" w:eastAsia="Calibri" w:hAnsi="Calibri"/>
            <w:sz w:val="22"/>
            <w:szCs w:val="22"/>
          </w:rPr>
          <w:t xml:space="preserve">Khrennikov 2020, medRxiv on Sweden herd immunity</w:t>
        </w:r>
      </w:hyperlink>
      <w:r>
        <w:rPr>
          <w:rFonts w:ascii="Calibri" w:cs="Calibri" w:eastAsia="Calibri" w:hAnsi="Calibri"/>
          <w:sz w:val="22"/>
          <w:szCs w:val="22"/>
        </w:rPr>
        <w:t xml:space="preserve">) is the clear reference point: the population is a tree of social clusters, virus carriers are random walkers on a p-adic energy landscape, transmission is jumping between ultrametric balls separated by social barriers, and the model produces a power-law approach to herd immunity rather than the exponential decay of standard SIR. By contrast, the multimorbidity clustering literature (</w:t>
      </w:r>
      <w:hyperlink w:history="1" r:id="rIdtojzttbicudihefkfyysr">
        <w:r>
          <w:rPr>
            <w:rStyle w:val="Hyperlink"/>
            <w:rFonts w:ascii="Calibri" w:cs="Calibri" w:eastAsia="Calibri" w:hAnsi="Calibri"/>
            <w:sz w:val="22"/>
            <w:szCs w:val="22"/>
          </w:rPr>
          <w:t xml:space="preserve">Nature Communications systematic review 2025</w:t>
        </w:r>
      </w:hyperlink>
      <w:r>
        <w:rPr>
          <w:rFonts w:ascii="Calibri" w:cs="Calibri" w:eastAsia="Calibri" w:hAnsi="Calibri"/>
          <w:sz w:val="22"/>
          <w:szCs w:val="22"/>
        </w:rPr>
        <w:t xml:space="preserve">; </w:t>
      </w:r>
      <w:hyperlink w:history="1" r:id="rIdbgps6hido3lumqovphlsh">
        <w:r>
          <w:rPr>
            <w:rStyle w:val="Hyperlink"/>
            <w:rFonts w:ascii="Calibri" w:cs="Calibri" w:eastAsia="Calibri" w:hAnsi="Calibri"/>
            <w:sz w:val="22"/>
            <w:szCs w:val="22"/>
          </w:rPr>
          <w:t xml:space="preserve">Comm. Medicine 2024, 10M patient multi-resolution</w:t>
        </w:r>
      </w:hyperlink>
      <w:r>
        <w:rPr>
          <w:rFonts w:ascii="Calibri" w:cs="Calibri" w:eastAsia="Calibri" w:hAnsi="Calibri"/>
          <w:sz w:val="22"/>
          <w:szCs w:val="22"/>
        </w:rPr>
        <w:t xml:space="preserve">; </w:t>
      </w:r>
      <w:hyperlink w:history="1" r:id="rIdaa1r3yprtkwpgdwufh6le">
        <w:r>
          <w:rPr>
            <w:rStyle w:val="Hyperlink"/>
            <w:rFonts w:ascii="Calibri" w:cs="Calibri" w:eastAsia="Calibri" w:hAnsi="Calibri"/>
            <w:sz w:val="22"/>
            <w:szCs w:val="22"/>
          </w:rPr>
          <w:t xml:space="preserve">European Geriatric Medicine 2025</w:t>
        </w:r>
      </w:hyperlink>
      <w:r>
        <w:rPr>
          <w:rFonts w:ascii="Calibri" w:cs="Calibri" w:eastAsia="Calibri" w:hAnsi="Calibri"/>
          <w:sz w:val="22"/>
          <w:szCs w:val="22"/>
        </w:rPr>
        <w:t xml:space="preserve">) and the patient-stratification literature (</w:t>
      </w:r>
      <w:hyperlink w:history="1" r:id="rId-ihpianr-yhqrqskl2dwv">
        <w:r>
          <w:rPr>
            <w:rStyle w:val="Hyperlink"/>
            <w:rFonts w:ascii="Calibri" w:cs="Calibri" w:eastAsia="Calibri" w:hAnsi="Calibri"/>
            <w:sz w:val="22"/>
            <w:szCs w:val="22"/>
          </w:rPr>
          <w:t xml:space="preserve">Springer 2024 EHR clustering comparison</w:t>
        </w:r>
      </w:hyperlink>
      <w:r>
        <w:rPr>
          <w:rFonts w:ascii="Calibri" w:cs="Calibri" w:eastAsia="Calibri" w:hAnsi="Calibri"/>
          <w:sz w:val="22"/>
          <w:szCs w:val="22"/>
        </w:rPr>
        <w:t xml:space="preserve">; </w:t>
      </w:r>
      <w:hyperlink w:history="1" r:id="rIdxxztuqhrqfpp4ek8qcwg5">
        <w:r>
          <w:rPr>
            <w:rStyle w:val="Hyperlink"/>
            <w:rFonts w:ascii="Calibri" w:cs="Calibri" w:eastAsia="Calibri" w:hAnsi="Calibri"/>
            <w:sz w:val="22"/>
            <w:szCs w:val="22"/>
          </w:rPr>
          <w:t xml:space="preserve">npj Digital Medicine 2020</w:t>
        </w:r>
      </w:hyperlink>
      <w:r>
        <w:rPr>
          <w:rFonts w:ascii="Calibri" w:cs="Calibri" w:eastAsia="Calibri" w:hAnsi="Calibri"/>
          <w:sz w:val="22"/>
          <w:szCs w:val="22"/>
        </w:rPr>
        <w:t xml:space="preserve">; </w:t>
      </w:r>
      <w:hyperlink w:history="1" r:id="rIdnvboyd_r_tzt1szhyqap2">
        <w:r>
          <w:rPr>
            <w:rStyle w:val="Hyperlink"/>
            <w:rFonts w:ascii="Calibri" w:cs="Calibri" w:eastAsia="Calibri" w:hAnsi="Calibri"/>
            <w:sz w:val="22"/>
            <w:szCs w:val="22"/>
          </w:rPr>
          <w:t xml:space="preserve">PMC 2024 explainable hierarchical subtyping</w:t>
        </w:r>
      </w:hyperlink>
      <w:r>
        <w:rPr>
          <w:rFonts w:ascii="Calibri" w:cs="Calibri" w:eastAsia="Calibri" w:hAnsi="Calibri"/>
          <w:sz w:val="22"/>
          <w:szCs w:val="22"/>
        </w:rPr>
        <w:t xml:space="preserve">; </w:t>
      </w:r>
      <w:hyperlink w:history="1" r:id="rIdbbqe5it4au92gqb1axafh">
        <w:r>
          <w:rPr>
            <w:rStyle w:val="Hyperlink"/>
            <w:rFonts w:ascii="Calibri" w:cs="Calibri" w:eastAsia="Calibri" w:hAnsi="Calibri"/>
            <w:sz w:val="22"/>
            <w:szCs w:val="22"/>
          </w:rPr>
          <w:t xml:space="preserve">phenotype clustering review 2022</w:t>
        </w:r>
      </w:hyperlink>
      <w:r>
        <w:rPr>
          <w:rFonts w:ascii="Calibri" w:cs="Calibri" w:eastAsia="Calibri" w:hAnsi="Calibri"/>
          <w:sz w:val="22"/>
          <w:szCs w:val="22"/>
        </w:rPr>
        <w:t xml:space="preserve">) overwhelmingly use Ward's-with-Euclidean, k-means, GMM, latent class analysis, network methods and increasingly deep representations — ultrametric or p-adic methods are absent. This is striking because clinical hierarchies are deeply nested (system → trust → hospital → ward → clinical team → patient → episode), exactly the structure Khrennikov exploits epidemiologically.</w:t>
      </w:r>
    </w:p>
    <w:p>
      <w:pPr>
        <w:spacing w:after="120" w:before="60" w:line="300"/>
        <w:jc w:val="both"/>
      </w:pPr>
      <w:r>
        <w:rPr>
          <w:rFonts w:ascii="Calibri" w:cs="Calibri" w:eastAsia="Calibri" w:hAnsi="Calibri"/>
          <w:b/>
          <w:bCs/>
          <w:sz w:val="22"/>
          <w:szCs w:val="22"/>
        </w:rPr>
        <w:t xml:space="preserve">Observation 4 (in-house). </w:t>
      </w:r>
      <w:r>
        <w:rPr>
          <w:rFonts w:ascii="Calibri" w:cs="Calibri" w:eastAsia="Calibri" w:hAnsi="Calibri"/>
          <w:sz w:val="22"/>
          <w:szCs w:val="22"/>
        </w:rPr>
        <w:t xml:space="preserve">The PEF paper supplies the missing methodological backbone for abs vs. rel feature construction across all of these domains. The Paired Efficiency Factor result generalises Fisher's classical paired-efficiency formula to unequal variances, derives a closed-form relationship between η and the mutual information I(X; Y) under bivariate normality, and partitions the (κ, ρ) plane into four quadrants with distinct feature-engineering implications. Rugby (mean η = 1.845, n = 240 games) and football (mean η = 1.623, n = 552 games) are the primary worked examples; cross-domain validation in healthcare (NHANES blood-pressure pairings, η = 2.533, Q2), genomics (GSE47462, η = 2.70), finance (S&amp;P 500 pairings, η = 3.129, Q1) and manufacturing (Bosch CNC, η = 1.382) shows the framework generalises. The relevance to the p-adic clustering programme is that PEF tells us which of the seven constructed dimensions in the rugby pipeline should use rel vs. abs, how heavily each should be weighted in the base-p encoding, and what the predicted ML lift per dimension is. The same logic transfers wholesale to the public-health extensions in §4: NHS trust pairs within a region sit in Q1/Q2 (high ρ from shared regional shocks); LSOA pairs within a local authority similarly sit in Q1/Q2 on WIMD domains; cross-region or cross-LA pairs drift toward Q3/Q4 and need the I(X; Y) check.</w:t>
      </w:r>
    </w:p>
    <w:p>
      <w:pPr>
        <w:spacing w:after="120" w:before="60" w:line="300"/>
        <w:jc w:val="both"/>
      </w:pPr>
      <w:r>
        <w:rPr>
          <w:rFonts w:ascii="Calibri" w:cs="Calibri" w:eastAsia="Calibri" w:hAnsi="Calibri"/>
          <w:sz w:val="22"/>
          <w:szCs w:val="22"/>
        </w:rPr>
        <w:t xml:space="preserve">The cleanest framing for the paper is therefore that p-adic clustering is the natural mathematical formalism whenever the underlying structure is genuinely tree-like (organisational, taxonomic, phylogenetic, hierarchical-by-construction); categorisation of continuous variables is defensible (because the data has natural thresholds, or because a stakeholder cares about discrete tiers); relative features are appropriate, with PEF providing the per-dimension (κ̂, ρ̂) → η decision rule and information-content weighting; and the clustering is required to respect the hierarchy rather than treat it as a coincidence of Euclidean geometry. Sport tournaments and clinical hierarchies are paradigm cases. The rugby paper is the proof-of-concept and a worked Q4 demonstration of PEF; the extensions in §3 and §4 are the natural follow-ons.</w:t>
      </w:r>
    </w:p>
    <w:p>
      <w:pPr>
        <w:pStyle w:val="Heading1"/>
        <w:spacing w:after="180" w:before="360"/>
      </w:pPr>
      <w:r>
        <w:rPr>
          <w:rFonts w:ascii="Calibri" w:cs="Calibri" w:eastAsia="Calibri" w:hAnsi="Calibri"/>
          <w:b/>
          <w:bCs/>
          <w:sz w:val="32"/>
          <w:szCs w:val="32"/>
        </w:rPr>
        <w:t xml:space="preserve">3. Extension 1 — Sport: talent pathways and tournament structure</w:t>
      </w:r>
    </w:p>
    <w:p>
      <w:pPr>
        <w:pStyle w:val="Heading2"/>
        <w:spacing w:after="140" w:before="280"/>
      </w:pPr>
      <w:r>
        <w:rPr>
          <w:rFonts w:ascii="Calibri" w:cs="Calibri" w:eastAsia="Calibri" w:hAnsi="Calibri"/>
          <w:b/>
          <w:bCs/>
          <w:sz w:val="26"/>
          <w:szCs w:val="26"/>
        </w:rPr>
        <w:t xml:space="preserve">3.1 Talent pathways and athlete development</w:t>
      </w:r>
    </w:p>
    <w:p>
      <w:pPr>
        <w:spacing w:after="120" w:before="60" w:line="300"/>
        <w:jc w:val="both"/>
      </w:pPr>
      <w:r>
        <w:rPr>
          <w:rFonts w:ascii="Calibri" w:cs="Calibri" w:eastAsia="Calibri" w:hAnsi="Calibri"/>
          <w:sz w:val="22"/>
          <w:szCs w:val="22"/>
        </w:rPr>
        <w:t xml:space="preserve">Athlete development is by construction a tree. A 12-year-old in a regional age-group squad either does or does not progress to the academy; from the academy they either do or do not earn a senior contract; from the senior contract they either do or do not earn international selection. The state space at each branching point is small, the transitions are temporally ordered, and athletes who diverge early into different branches have ultrametrically large distances regardless of how similar their physical metrics are now.</w:t>
      </w:r>
    </w:p>
    <w:p>
      <w:pPr>
        <w:spacing w:after="120" w:before="60" w:line="300"/>
        <w:jc w:val="both"/>
      </w:pPr>
      <w:r>
        <w:rPr>
          <w:rFonts w:ascii="Calibri" w:cs="Calibri" w:eastAsia="Calibri" w:hAnsi="Calibri"/>
          <w:b/>
          <w:bCs/>
          <w:sz w:val="22"/>
          <w:szCs w:val="22"/>
        </w:rPr>
        <w:t xml:space="preserve">Idealised model — "Pathway Tree". </w:t>
      </w:r>
      <w:r>
        <w:rPr>
          <w:rFonts w:ascii="Calibri" w:cs="Calibri" w:eastAsia="Calibri" w:hAnsi="Calibri"/>
          <w:sz w:val="22"/>
          <w:szCs w:val="22"/>
        </w:rPr>
        <w:t xml:space="preserve">Define a perfect athlete-development system with depth d = 4 (regional → academy → senior → international) and branching factor b = 4 at each level, producing 256 terminal pathway addresses. Each athlete is encoded as a base-b digit string (a₁, a₂, a₃, a₄). The p-adic norm of the difference between two athletes' addresses is then exactly p^(−k) where k is the depth of their lowest common ancestor — pathway distance is literally tree distance.</w:t>
      </w:r>
    </w:p>
    <w:p>
      <w:pPr>
        <w:spacing w:after="120" w:before="60" w:line="300"/>
        <w:jc w:val="both"/>
      </w:pPr>
      <w:r>
        <w:rPr>
          <w:rFonts w:ascii="Calibri" w:cs="Calibri" w:eastAsia="Calibri" w:hAnsi="Calibri"/>
          <w:b/>
          <w:bCs/>
          <w:sz w:val="22"/>
          <w:szCs w:val="22"/>
        </w:rPr>
        <w:t xml:space="preserve">Bridge to real data. </w:t>
      </w:r>
      <w:r>
        <w:rPr>
          <w:rFonts w:ascii="Calibri" w:cs="Calibri" w:eastAsia="Calibri" w:hAnsi="Calibri"/>
          <w:sz w:val="22"/>
          <w:szCs w:val="22"/>
        </w:rPr>
        <w:t xml:space="preserve">Real talent data is messy in three specific ways the framework can absorb: multidimensional features within each pathway level (use the abs/rel synthesis with abs metrics for intrinsic capability and rel metrics for competitive standing within the level); drop-outs and re-entries (use a special digit such as p − 1 for "not progressed" and 0 for "fast-tracked"); and sport-of-origin transfers, where the talent-similarity tree from clustering 34 sports can sit as the highest-significance dimension above within-sport pathway.</w:t>
      </w:r>
    </w:p>
    <w:p>
      <w:pPr>
        <w:spacing w:after="120" w:before="60" w:line="300"/>
        <w:jc w:val="both"/>
      </w:pPr>
      <w:r>
        <w:rPr>
          <w:rFonts w:ascii="Calibri" w:cs="Calibri" w:eastAsia="Calibri" w:hAnsi="Calibri"/>
          <w:b/>
          <w:bCs/>
          <w:sz w:val="22"/>
          <w:szCs w:val="22"/>
        </w:rPr>
        <w:t xml:space="preserve">What this lets us answer. </w:t>
      </w:r>
      <w:r>
        <w:rPr>
          <w:rFonts w:ascii="Calibri" w:cs="Calibri" w:eastAsia="Calibri" w:hAnsi="Calibri"/>
          <w:sz w:val="22"/>
          <w:szCs w:val="22"/>
        </w:rPr>
        <w:t xml:space="preserve">With a longitudinal cohort of 5–10 years of academy-and-above data, we could ask: do successful international athletes share a pathway cluster signature, or are they spread across pathway clusters? Are there "late-bloomer" pathway clusters that current selection processes systematically miss? Does the pathway cluster of a 16-year-old predict their senior career better than their current physical metrics alone? These are the open methodological questions flagged in the team-sports ML systematic review.</w:t>
      </w:r>
    </w:p>
    <w:p>
      <w:pPr>
        <w:spacing w:after="120" w:before="60" w:line="300"/>
        <w:jc w:val="both"/>
      </w:pPr>
      <w:r>
        <w:rPr>
          <w:rFonts w:ascii="Calibri" w:cs="Calibri" w:eastAsia="Calibri" w:hAnsi="Calibri"/>
          <w:b/>
          <w:bCs/>
          <w:sz w:val="22"/>
          <w:szCs w:val="22"/>
        </w:rPr>
        <w:t xml:space="preserve">Validation design. </w:t>
      </w:r>
      <w:r>
        <w:rPr>
          <w:rFonts w:ascii="Calibri" w:cs="Calibri" w:eastAsia="Calibri" w:hAnsi="Calibri"/>
          <w:sz w:val="22"/>
          <w:szCs w:val="22"/>
        </w:rPr>
        <w:t xml:space="preserve">Use the same idealised → bridged → real progression as the rugby paper. Generate Pathway Tree synthetic cohorts; inject increasing noise (random progression flips, late selections, missing levels) and map the silhouette curve. External validation: predict senior caps or salary at age 25 from pathway cluster at age 18, against a null model of physical metrics alone.</w:t>
      </w:r>
    </w:p>
    <w:p>
      <w:pPr>
        <w:spacing w:after="120" w:before="60" w:line="300"/>
        <w:jc w:val="both"/>
      </w:pPr>
      <w:r>
        <w:rPr>
          <w:rFonts w:ascii="Calibri" w:cs="Calibri" w:eastAsia="Calibri" w:hAnsi="Calibri"/>
          <w:b/>
          <w:bCs/>
          <w:sz w:val="22"/>
          <w:szCs w:val="22"/>
        </w:rPr>
        <w:t xml:space="preserve">PEF placement of athlete-development features. </w:t>
      </w:r>
      <w:r>
        <w:rPr>
          <w:rFonts w:ascii="Calibri" w:cs="Calibri" w:eastAsia="Calibri" w:hAnsi="Calibri"/>
          <w:sz w:val="22"/>
          <w:szCs w:val="22"/>
        </w:rPr>
        <w:t xml:space="preserve">The (κ, ρ) structure of talent metrics is itself level-dependent. Within an age-cohort academy, paired physical metrics (sprint vs. sprint, jump vs. jump for cohort members measured in the same testing block) sit in Q1/Q2 — high ρ from shared testing conditions, modest κ from broadly comparable variability — so relativisation against cohort mean works straightforwardly with η &gt; 1. Across academies, where competitive selection induces negative ρ (the best academy hoards top-quartile athletes and starves the next), the same metric drifts toward Q4 and the relativisation decision needs the I(X; Y) check. This dovetails with the pathway-tree encoding: highest-significance digits (region/academy) sit in Q4 territory; lowest-significance digits (within-cohort dimensions) sit in Q1/Q2. Information-content weighting then gives a principled basis for the exponential weight schedule.</w:t>
      </w:r>
    </w:p>
    <w:p>
      <w:pPr>
        <w:pStyle w:val="Heading2"/>
        <w:spacing w:after="140" w:before="280"/>
      </w:pPr>
      <w:r>
        <w:rPr>
          <w:rFonts w:ascii="Calibri" w:cs="Calibri" w:eastAsia="Calibri" w:hAnsi="Calibri"/>
          <w:b/>
          <w:bCs/>
          <w:sz w:val="26"/>
          <w:szCs w:val="26"/>
        </w:rPr>
        <w:t xml:space="preserve">3.2 Tournament structure and seeding</w:t>
      </w:r>
    </w:p>
    <w:p>
      <w:pPr>
        <w:spacing w:after="120" w:before="60" w:line="300"/>
        <w:jc w:val="both"/>
      </w:pPr>
      <w:r>
        <w:rPr>
          <w:rFonts w:ascii="Calibri" w:cs="Calibri" w:eastAsia="Calibri" w:hAnsi="Calibri"/>
          <w:sz w:val="22"/>
          <w:szCs w:val="22"/>
        </w:rPr>
        <w:t xml:space="preserve">A knockout bracket is the textbook ultrametric object. Two competitors who can only meet in the final are at maximal bracket distance; two who meet in round one are at minimal bracket distance; the round at which they could meet is exactly the height of their lowest common ancestor in the bracket tree, and the standard placement rule i + j = 2^r + 1 is a statement about p = 2-adic addresses. The connection has not, to my reading, been made explicitly in the tournament-design literature.</w:t>
      </w:r>
    </w:p>
    <w:p>
      <w:pPr>
        <w:spacing w:after="120" w:before="60" w:line="300"/>
        <w:jc w:val="both"/>
      </w:pPr>
      <w:r>
        <w:rPr>
          <w:rFonts w:ascii="Calibri" w:cs="Calibri" w:eastAsia="Calibri" w:hAnsi="Calibri"/>
          <w:b/>
          <w:bCs/>
          <w:sz w:val="22"/>
          <w:szCs w:val="22"/>
        </w:rPr>
        <w:t xml:space="preserve">Idealised model — "Perfect Bracket". </w:t>
      </w:r>
      <w:r>
        <w:rPr>
          <w:rFonts w:ascii="Calibri" w:cs="Calibri" w:eastAsia="Calibri" w:hAnsi="Calibri"/>
          <w:sz w:val="22"/>
          <w:szCs w:val="22"/>
        </w:rPr>
        <w:t xml:space="preserve">A 2^n-team single-elimination bracket where each competitor is assigned a binary address a ∈ {0,1}^n. The 2-adic distance is exactly 2^(−k) where k is the round at which two competitors first could meet. Skill is a real number; outcomes are deterministic for large skill gaps and follow a Bradley–Terry kernel at small gaps. Schwenk's axioms of delayed confrontation, sincerity rewarded and favouritism minimised translate into 2-adic statements about the assignment of seeds to addresses.</w:t>
      </w:r>
    </w:p>
    <w:p>
      <w:pPr>
        <w:pStyle w:val="ListParagraph"/>
        <w:numPr>
          <w:ilvl w:val="0"/>
          <w:numId w:val="2"/>
        </w:numPr>
        <w:spacing w:after="80" w:before="40" w:line="280"/>
      </w:pPr>
      <w:r>
        <w:rPr>
          <w:rFonts w:ascii="Calibri" w:cs="Calibri" w:eastAsia="Calibri" w:hAnsi="Calibri"/>
          <w:b/>
          <w:bCs/>
          <w:sz w:val="22"/>
          <w:szCs w:val="22"/>
        </w:rPr>
        <w:t xml:space="preserve">A p-adic seeding fairness metric. </w:t>
      </w:r>
      <w:r>
        <w:rPr>
          <w:rFonts w:ascii="Calibri" w:cs="Calibri" w:eastAsia="Calibri" w:hAnsi="Calibri"/>
          <w:sz w:val="22"/>
          <w:szCs w:val="22"/>
        </w:rPr>
        <w:t xml:space="preserve">Define unfairness as the 2-adic correlation between seed and address — a fair seeding distributes top seeds across the bracket so no two top-k seeds share a low-order address bit. Schwenk's standard zoning method is one specific solution; equal-gap and increasing-competitive-intensity alternatives are others. Re-deriving them as p-adic optimisation problems gives a unified framework and cleanly defines new criteria.</w:t>
      </w:r>
    </w:p>
    <w:p>
      <w:pPr>
        <w:pStyle w:val="ListParagraph"/>
        <w:numPr>
          <w:ilvl w:val="0"/>
          <w:numId w:val="2"/>
        </w:numPr>
        <w:spacing w:after="80" w:before="40" w:line="280"/>
      </w:pPr>
      <w:r>
        <w:rPr>
          <w:rFonts w:ascii="Calibri" w:cs="Calibri" w:eastAsia="Calibri" w:hAnsi="Calibri"/>
          <w:b/>
          <w:bCs/>
          <w:sz w:val="22"/>
          <w:szCs w:val="22"/>
        </w:rPr>
        <w:t xml:space="preserve">Upset detection via p-adic anomaly. </w:t>
      </w:r>
      <w:r>
        <w:rPr>
          <w:rFonts w:ascii="Calibri" w:cs="Calibri" w:eastAsia="Calibri" w:hAnsi="Calibri"/>
          <w:sz w:val="22"/>
          <w:szCs w:val="22"/>
        </w:rPr>
        <w:t xml:space="preserve">An upset is structurally an event where a low-seed competitor reaches a round their address should not have. Define an upset score as the average 2-adic distance between expected-finalist addresses and actual-finalist addresses. This generalises chalk-vs-surprise measures into a hierarchy-respecting score that distinguishes round-one surprises from semi-final surprises automatically.</w:t>
      </w:r>
    </w:p>
    <w:p>
      <w:pPr>
        <w:pStyle w:val="ListParagraph"/>
        <w:numPr>
          <w:ilvl w:val="0"/>
          <w:numId w:val="2"/>
        </w:numPr>
        <w:spacing w:after="80" w:before="40" w:line="280"/>
      </w:pPr>
      <w:r>
        <w:rPr>
          <w:rFonts w:ascii="Calibri" w:cs="Calibri" w:eastAsia="Calibri" w:hAnsi="Calibri"/>
          <w:b/>
          <w:bCs/>
          <w:sz w:val="22"/>
          <w:szCs w:val="22"/>
        </w:rPr>
        <w:t xml:space="preserve">Bracket clustering for cross-tournament comparison. </w:t>
      </w:r>
      <w:r>
        <w:rPr>
          <w:rFonts w:ascii="Calibri" w:cs="Calibri" w:eastAsia="Calibri" w:hAnsi="Calibri"/>
          <w:sz w:val="22"/>
          <w:szCs w:val="22"/>
        </w:rPr>
        <w:t xml:space="preserve">Cluster historical tournaments by p-adic distance between upset-score profiles. Years with similar bracket-shape outcomes (chalky early rounds + chaotic semis vs. uniform chaos vs. dominant top-seed runs) end up close. This is a hypothesis-generating tool for "what kind of competition was this?".</w:t>
      </w:r>
    </w:p>
    <w:p>
      <w:pPr>
        <w:spacing w:after="120" w:before="60" w:line="300"/>
        <w:jc w:val="both"/>
      </w:pPr>
      <w:r>
        <w:rPr>
          <w:rFonts w:ascii="Calibri" w:cs="Calibri" w:eastAsia="Calibri" w:hAnsi="Calibri"/>
          <w:b/>
          <w:bCs/>
          <w:sz w:val="22"/>
          <w:szCs w:val="22"/>
        </w:rPr>
        <w:t xml:space="preserve">Real-data validation. </w:t>
      </w:r>
      <w:r>
        <w:rPr>
          <w:rFonts w:ascii="Calibri" w:cs="Calibri" w:eastAsia="Calibri" w:hAnsi="Calibri"/>
          <w:sz w:val="22"/>
          <w:szCs w:val="22"/>
        </w:rPr>
        <w:t xml:space="preserve">ATP / WTA Slams, NCAA brackets, the Rugby World Cup, FIFA World Cup knockouts — all publicly available, all naturally bracketed, all decades of history. Idealised baseline is "rank-perfect bracket where seed 1 always beats seed 2" (silhouette 1.0 by construction); real-data upper bound is what historical tournaments actually achieve.</w:t>
      </w:r>
    </w:p>
    <w:p>
      <w:pPr>
        <w:spacing w:after="120" w:before="60" w:line="300"/>
        <w:jc w:val="both"/>
      </w:pPr>
      <w:r>
        <w:rPr>
          <w:rFonts w:ascii="Calibri" w:cs="Calibri" w:eastAsia="Calibri" w:hAnsi="Calibri"/>
          <w:b/>
          <w:bCs/>
          <w:sz w:val="22"/>
          <w:szCs w:val="22"/>
        </w:rPr>
        <w:t xml:space="preserve">PEF connection. </w:t>
      </w:r>
      <w:r>
        <w:rPr>
          <w:rFonts w:ascii="Calibri" w:cs="Calibri" w:eastAsia="Calibri" w:hAnsi="Calibri"/>
          <w:sz w:val="22"/>
          <w:szCs w:val="22"/>
        </w:rPr>
        <w:t xml:space="preserve">Pairwise match outcomes within a tournament are exactly the sport setting PEF was developed for, and bracket placement induces a structured set of pairings whose (κ, ρ) profile evolves through the rounds. Round-1 pairs are deliberately high-asymmetry (top seed vs. low seed: large κ, expected positive ρ from shared event conditions, deep Q1) so η is large and the predicted upset rate is low; quarter-finals onward narrow toward κ ≈ 1 with potentially negative ρ from intense competitive dynamics, drifting toward Q4. Predicted versus observed upset rates per round therefore become a direct test of PEF on a structured dataset, and historical bracket clusters can be profiled by their round-by-round (κ, ρ) trajectory rather than by aggregate chalk-vs-surprise scores.</w:t>
      </w:r>
    </w:p>
    <w:p>
      <w:pPr>
        <w:pStyle w:val="Heading1"/>
        <w:spacing w:after="180" w:before="360"/>
      </w:pPr>
      <w:r>
        <w:rPr>
          <w:rFonts w:ascii="Calibri" w:cs="Calibri" w:eastAsia="Calibri" w:hAnsi="Calibri"/>
          <w:b/>
          <w:bCs/>
          <w:sz w:val="32"/>
          <w:szCs w:val="32"/>
        </w:rPr>
        <w:t xml:space="preserve">4. Extension 2 — Public health: healthcare delivery and population risk stratification</w:t>
      </w:r>
    </w:p>
    <w:p>
      <w:pPr>
        <w:pStyle w:val="Heading2"/>
        <w:spacing w:after="140" w:before="280"/>
      </w:pPr>
      <w:r>
        <w:rPr>
          <w:rFonts w:ascii="Calibri" w:cs="Calibri" w:eastAsia="Calibri" w:hAnsi="Calibri"/>
          <w:b/>
          <w:bCs/>
          <w:sz w:val="26"/>
          <w:szCs w:val="26"/>
        </w:rPr>
        <w:t xml:space="preserve">4.1 Healthcare delivery hierarchies</w:t>
      </w:r>
    </w:p>
    <w:p>
      <w:pPr>
        <w:spacing w:after="120" w:before="60" w:line="300"/>
        <w:jc w:val="both"/>
      </w:pPr>
      <w:r>
        <w:rPr>
          <w:rFonts w:ascii="Calibri" w:cs="Calibri" w:eastAsia="Calibri" w:hAnsi="Calibri"/>
          <w:sz w:val="22"/>
          <w:szCs w:val="22"/>
        </w:rPr>
        <w:t xml:space="preserve">The English NHS, and most analogous public systems, is canonically nested: Region → Integrated Care System → NHS Trust → Hospital → Department → Ward → Clinical team → Patient → Episode. Multilevel modelling explicitly recognises this — patients within wards within hospitals within trusts is the textbook example in the </w:t>
      </w:r>
      <w:hyperlink w:history="1" r:id="rIdcom_ogrnjy51jalmjeedn">
        <w:r>
          <w:rPr>
            <w:rStyle w:val="Hyperlink"/>
            <w:rFonts w:ascii="Calibri" w:cs="Calibri" w:eastAsia="Calibri" w:hAnsi="Calibri"/>
            <w:sz w:val="22"/>
            <w:szCs w:val="22"/>
          </w:rPr>
          <w:t xml:space="preserve">NCBI Multilevel Data Structures chapter</w:t>
        </w:r>
      </w:hyperlink>
      <w:r>
        <w:rPr>
          <w:rFonts w:ascii="Calibri" w:cs="Calibri" w:eastAsia="Calibri" w:hAnsi="Calibri"/>
          <w:sz w:val="22"/>
          <w:szCs w:val="22"/>
        </w:rPr>
        <w:t xml:space="preserve">. Multilevel models partition variance across levels; what they do not do is cluster providers respecting the hierarchy.</w:t>
      </w:r>
    </w:p>
    <w:p>
      <w:pPr>
        <w:spacing w:after="120" w:before="60" w:line="300"/>
        <w:jc w:val="both"/>
      </w:pPr>
      <w:r>
        <w:rPr>
          <w:rFonts w:ascii="Calibri" w:cs="Calibri" w:eastAsia="Calibri" w:hAnsi="Calibri"/>
          <w:b/>
          <w:bCs/>
          <w:sz w:val="22"/>
          <w:szCs w:val="22"/>
        </w:rPr>
        <w:t xml:space="preserve">Idealised model — "Perfect Provider Tree". </w:t>
      </w:r>
      <w:r>
        <w:rPr>
          <w:rFonts w:ascii="Calibri" w:cs="Calibri" w:eastAsia="Calibri" w:hAnsi="Calibri"/>
          <w:sz w:val="22"/>
          <w:szCs w:val="22"/>
        </w:rPr>
        <w:t xml:space="preserve">A system with d = 5 levels (region, ICS, trust, hospital, ward), branching b = 4 → 1 024 terminal wards. Each ward is given a base-b address; performance metrics at each level are encoded as digits in a base-p number, with the most significant digit being region-level performance and the least significant being ward-level case-mix-adjusted outcome. The p-adic distance between two wards is dominated by the highest level at which they differ — wards in different regions are far regardless of how similar their throughput numbers are.</w:t>
      </w:r>
    </w:p>
    <w:p>
      <w:pPr>
        <w:spacing w:after="120" w:before="60" w:line="300"/>
        <w:jc w:val="both"/>
      </w:pPr>
      <w:r>
        <w:rPr>
          <w:rFonts w:ascii="Calibri" w:cs="Calibri" w:eastAsia="Calibri" w:hAnsi="Calibri"/>
          <w:b/>
          <w:bCs/>
          <w:sz w:val="22"/>
          <w:szCs w:val="22"/>
        </w:rPr>
        <w:t xml:space="preserve">PEF maps cleanly onto NHS performance metrics, with quadrant-aware abs vs. rel decisions. </w:t>
      </w:r>
      <w:r>
        <w:rPr>
          <w:rFonts w:ascii="Calibri" w:cs="Calibri" w:eastAsia="Calibri" w:hAnsi="Calibri"/>
          <w:sz w:val="22"/>
          <w:szCs w:val="22"/>
        </w:rPr>
        <w:t xml:space="preserve">Absolute metrics — bed count, staff FTE, intrinsic capability (what can this trust do?). Relative metrics — standardised mortality ratio, readmission rate vs. peer group, four-hour A&amp;E performance vs. national benchmark (how is this trust doing relative to the rest of the system?). Under PEF, the choice between abs and rel is set by the (κ, ρ) of the relevant pairing: trust pairs within the same region or ICS sit in Q1/Q2 with high positive ρ from shared regional shocks (winter pressures, regulatory cycles, local population flow) and modest κ — relativisation here is the unambiguous winner with η well above 1, and the noise-cancellation reading of UP1 is precisely correct in this regime. Trust pairs across regions sit closer to Q3 or Q4 — ρ falls because regional shocks no longer co-vary, and κ rises because specialist trusts and district generals have visibly different variance structures. In Q4 the abs vs. rel choice needs the explicit I(X; Y) check; rel does not automatically win, and naive cross-region benchmarking can be statistically harmful. This is exactly the heterogeneity that breaks Euclidean clustering on national peer groups, and that hierarchical p-adic encoding (region as highest-significance digit, ward as lowest) fixes — but now with PEF giving the quantitative basis for why region-level pairing is the right primary level.</w:t>
      </w:r>
    </w:p>
    <w:p>
      <w:pPr>
        <w:pStyle w:val="ListParagraph"/>
        <w:numPr>
          <w:ilvl w:val="0"/>
          <w:numId w:val="2"/>
        </w:numPr>
        <w:spacing w:after="80" w:before="40" w:line="280"/>
      </w:pPr>
      <w:r>
        <w:rPr>
          <w:rFonts w:ascii="Calibri" w:cs="Calibri" w:eastAsia="Calibri" w:hAnsi="Calibri"/>
          <w:b/>
          <w:bCs/>
          <w:sz w:val="22"/>
          <w:szCs w:val="22"/>
        </w:rPr>
        <w:t xml:space="preserve">Hierarchy-respecting peer comparison. </w:t>
      </w:r>
      <w:r>
        <w:rPr>
          <w:rFonts w:ascii="Calibri" w:cs="Calibri" w:eastAsia="Calibri" w:hAnsi="Calibri"/>
          <w:sz w:val="22"/>
          <w:szCs w:val="22"/>
        </w:rPr>
        <w:t xml:space="preserve">Today, NHS Digital benchmarking groups hospitals into peer groups via a few categorical filters (teaching, specialist, district general). A p-adic clustering would generate peer groups from the data while respecting the regional / system hierarchy — useful for fairer benchmarking of providers in atypical regions.</w:t>
      </w:r>
    </w:p>
    <w:p>
      <w:pPr>
        <w:pStyle w:val="ListParagraph"/>
        <w:numPr>
          <w:ilvl w:val="0"/>
          <w:numId w:val="2"/>
        </w:numPr>
        <w:spacing w:after="80" w:before="40" w:line="280"/>
      </w:pPr>
      <w:r>
        <w:rPr>
          <w:rFonts w:ascii="Calibri" w:cs="Calibri" w:eastAsia="Calibri" w:hAnsi="Calibri"/>
          <w:b/>
          <w:bCs/>
          <w:sz w:val="22"/>
          <w:szCs w:val="22"/>
        </w:rPr>
        <w:t xml:space="preserve">Quality-improvement target identification. </w:t>
      </w:r>
      <w:r>
        <w:rPr>
          <w:rFonts w:ascii="Calibri" w:cs="Calibri" w:eastAsia="Calibri" w:hAnsi="Calibri"/>
          <w:sz w:val="22"/>
          <w:szCs w:val="22"/>
        </w:rPr>
        <w:t xml:space="preserve">A hospital that clusters with peers in its region but appears as a relative outlier on, say, breakdown-discipline analogues (sepsis recognition, falls prevention) becomes a clear improvement target because the clustering controls for regional context. The current dominance of Ward's-Euclidean methods in EHR-based phenotyping cannot do this cleanly because Euclidean distance does not honour the regional partition.</w:t>
      </w:r>
    </w:p>
    <w:p>
      <w:pPr>
        <w:pStyle w:val="ListParagraph"/>
        <w:numPr>
          <w:ilvl w:val="0"/>
          <w:numId w:val="2"/>
        </w:numPr>
        <w:spacing w:after="80" w:before="40" w:line="280"/>
      </w:pPr>
      <w:r>
        <w:rPr>
          <w:rFonts w:ascii="Calibri" w:cs="Calibri" w:eastAsia="Calibri" w:hAnsi="Calibri"/>
          <w:b/>
          <w:bCs/>
          <w:sz w:val="22"/>
          <w:szCs w:val="22"/>
        </w:rPr>
        <w:t xml:space="preserve">System-restructuring impact analysis. </w:t>
      </w:r>
      <w:r>
        <w:rPr>
          <w:rFonts w:ascii="Calibri" w:cs="Calibri" w:eastAsia="Calibri" w:hAnsi="Calibri"/>
          <w:sz w:val="22"/>
          <w:szCs w:val="22"/>
        </w:rPr>
        <w:t xml:space="preserve">When ICSs were created in 2022, they partly reorganised the regional hierarchy. A pre/post p-adic clustering of trusts would show whether the new hierarchical encoding actually changed cluster membership (i.e. the structural change had statistical reality) or whether it was bureaucratic relabelling.</w:t>
      </w:r>
    </w:p>
    <w:p>
      <w:pPr>
        <w:spacing w:after="120" w:before="60" w:line="300"/>
        <w:jc w:val="both"/>
      </w:pPr>
      <w:r>
        <w:rPr>
          <w:rFonts w:ascii="Calibri" w:cs="Calibri" w:eastAsia="Calibri" w:hAnsi="Calibri"/>
          <w:b/>
          <w:bCs/>
          <w:sz w:val="22"/>
          <w:szCs w:val="22"/>
        </w:rPr>
        <w:t xml:space="preserve">Pilot dataset. </w:t>
      </w:r>
      <w:r>
        <w:rPr>
          <w:rFonts w:ascii="Calibri" w:cs="Calibri" w:eastAsia="Calibri" w:hAnsi="Calibri"/>
          <w:sz w:val="22"/>
          <w:szCs w:val="22"/>
        </w:rPr>
        <w:t xml:space="preserve">NHS Digital publishes Hospital Episode Statistics and the System Oversight Framework metrics at trust level annually. A first pilot needs only ~150 trusts × ~30 metrics × ~5 years to replicate the rugby pipeline structure (1 128 matches × 16 teams × 4 seasons is comparable scale).</w:t>
      </w:r>
    </w:p>
    <w:p>
      <w:pPr>
        <w:pStyle w:val="Heading2"/>
        <w:spacing w:after="140" w:before="280"/>
      </w:pPr>
      <w:r>
        <w:rPr>
          <w:rFonts w:ascii="Calibri" w:cs="Calibri" w:eastAsia="Calibri" w:hAnsi="Calibri"/>
          <w:b/>
          <w:bCs/>
          <w:sz w:val="26"/>
          <w:szCs w:val="26"/>
        </w:rPr>
        <w:t xml:space="preserve">4.2 Population health and risk stratification</w:t>
      </w:r>
    </w:p>
    <w:p>
      <w:pPr>
        <w:spacing w:after="120" w:before="60" w:line="300"/>
        <w:jc w:val="both"/>
      </w:pPr>
      <w:r>
        <w:rPr>
          <w:rFonts w:ascii="Calibri" w:cs="Calibri" w:eastAsia="Calibri" w:hAnsi="Calibri"/>
          <w:sz w:val="22"/>
          <w:szCs w:val="22"/>
        </w:rPr>
        <w:t xml:space="preserve">The multimorbidity clustering literature is the most direct analogue. Method-wise this literature uses hierarchical clustering (Ward's), latent class analysis, k-centre, network analysis, and increasingly deep representations. The opportunity is to bring p-adic encoding to a setting where the hierarchies are demographic and geographic even before they are clinical: patients within households within LSOAs within local authorities within regions, simultaneously stratified by deprivation deciles within nation-level distributions.</w:t>
      </w:r>
    </w:p>
    <w:p>
      <w:pPr>
        <w:spacing w:after="120" w:before="60" w:line="300"/>
        <w:jc w:val="both"/>
      </w:pPr>
      <w:r>
        <w:rPr>
          <w:rFonts w:ascii="Calibri" w:cs="Calibri" w:eastAsia="Calibri" w:hAnsi="Calibri"/>
          <w:b/>
          <w:bCs/>
          <w:sz w:val="22"/>
          <w:szCs w:val="22"/>
        </w:rPr>
        <w:t xml:space="preserve">Idealised model — "Hierarchical Population". </w:t>
      </w:r>
      <w:r>
        <w:rPr>
          <w:rFonts w:ascii="Calibri" w:cs="Calibri" w:eastAsia="Calibri" w:hAnsi="Calibri"/>
          <w:sz w:val="22"/>
          <w:szCs w:val="22"/>
        </w:rPr>
        <w:t xml:space="preserve">Treat the population as a tree where the levels are geography (region → local authority → LSOA), demography (age band, sex), and clinical (multimorbidity profile). Each person gets a multi-prime encoding: geography in p = 2 (or higher branching for fine geography), demographic strata in p = 3, clinical phenotype digits in p = 5. The patient's full address is a base-(2,3,5)-mixed p-adic number. Distance respects the hierarchy: two patients in different regions are far regardless of demographic match; among patients in the same region, those in different deprivation deciles are far regardless of clinical similarity; within deprivation, multimorbidity drives differentiation.</w:t>
      </w:r>
    </w:p>
    <w:p>
      <w:pPr>
        <w:spacing w:after="120" w:before="60" w:line="300"/>
        <w:jc w:val="both"/>
      </w:pPr>
      <w:r>
        <w:rPr>
          <w:rFonts w:ascii="Calibri" w:cs="Calibri" w:eastAsia="Calibri" w:hAnsi="Calibri"/>
          <w:b/>
          <w:bCs/>
          <w:sz w:val="22"/>
          <w:szCs w:val="22"/>
        </w:rPr>
        <w:t xml:space="preserve">Why this is non-trivially better than the current literature, with PEF making the abs/rel decision quadrant-aware. </w:t>
      </w:r>
      <w:r>
        <w:rPr>
          <w:rFonts w:ascii="Calibri" w:cs="Calibri" w:eastAsia="Calibri" w:hAnsi="Calibri"/>
          <w:sz w:val="22"/>
          <w:szCs w:val="22"/>
        </w:rPr>
        <w:t xml:space="preserve">The Welsh Index of Multiple Deprivation work (1 909 LSOAs) is exactly the kind of hierarchical geographic dataset where Euclidean clustering loses. Two LSOAs with identical income and employment scores but in different regions of Wales are not operationally interchangeable — they sit under different health boards, with different deprivation context and different policy reach. PEF makes precise the conditions under which relativisation captures that vs. when it does not. WIMD income and employment scores are strongly positively correlated within a local authority (people in adjacent LSOAs tend to share economic conditions): Q1 territory, η ≫ 1, rel ranks are unambiguously better than absolute scores for clustering. Across local authorities (and especially across rural / urban or coastal / inland boundaries), correlations weaken or flip, drifting toward Q3/Q4 — the abs/rel decision now needs the I(X; Y) check, and absolute scores may carry more information than ranks. The natural construction is a level-conditional encoding: rel within local authority (highest-information digits), abs across local authority (where rel may be statistically harmful), with weights set by per-domain I(X; Y).</w:t>
      </w:r>
    </w:p>
    <w:p>
      <w:pPr>
        <w:pStyle w:val="ListParagraph"/>
        <w:numPr>
          <w:ilvl w:val="0"/>
          <w:numId w:val="2"/>
        </w:numPr>
        <w:spacing w:after="80" w:before="40" w:line="280"/>
      </w:pPr>
      <w:r>
        <w:rPr>
          <w:rFonts w:ascii="Calibri" w:cs="Calibri" w:eastAsia="Calibri" w:hAnsi="Calibri"/>
          <w:b/>
          <w:bCs/>
          <w:sz w:val="22"/>
          <w:szCs w:val="22"/>
        </w:rPr>
        <w:t xml:space="preserve">Risk stratification with stable cluster membership. </w:t>
      </w:r>
      <w:r>
        <w:rPr>
          <w:rFonts w:ascii="Calibri" w:cs="Calibri" w:eastAsia="Calibri" w:hAnsi="Calibri"/>
          <w:sz w:val="22"/>
          <w:szCs w:val="22"/>
        </w:rPr>
        <w:t xml:space="preserve">Current LACE / Charlson / Cambridge-multimorbidity scores are individual-level continuous risk scores; clusters are post-hoc. A p-adic risk stratification produces clusters first, with risk scores within cluster — and because the metric respects geography-and-deprivation, the same patient does not flip clusters when moving from urban to rural areas with similar absolute deprivation.</w:t>
      </w:r>
    </w:p>
    <w:p>
      <w:pPr>
        <w:pStyle w:val="ListParagraph"/>
        <w:numPr>
          <w:ilvl w:val="0"/>
          <w:numId w:val="2"/>
        </w:numPr>
        <w:spacing w:after="80" w:before="40" w:line="280"/>
      </w:pPr>
      <w:r>
        <w:rPr>
          <w:rFonts w:ascii="Calibri" w:cs="Calibri" w:eastAsia="Calibri" w:hAnsi="Calibri"/>
          <w:b/>
          <w:bCs/>
          <w:sz w:val="22"/>
          <w:szCs w:val="22"/>
        </w:rPr>
        <w:t xml:space="preserve">Equity-aware intervention targeting. </w:t>
      </w:r>
      <w:r>
        <w:rPr>
          <w:rFonts w:ascii="Calibri" w:cs="Calibri" w:eastAsia="Calibri" w:hAnsi="Calibri"/>
          <w:sz w:val="22"/>
          <w:szCs w:val="22"/>
        </w:rPr>
        <w:t xml:space="preserve">Clustering respecting deprivation avoids the trap of identifying a "high-risk" cluster that turns out to be an artefact of geography or socioeconomics rather than clinical need. The relative-metric noise cancellation is the formal version of "compared to peers in the same socioeconomic context, this cluster is unusually high-risk".</w:t>
      </w:r>
    </w:p>
    <w:p>
      <w:pPr>
        <w:pStyle w:val="ListParagraph"/>
        <w:numPr>
          <w:ilvl w:val="0"/>
          <w:numId w:val="2"/>
        </w:numPr>
        <w:spacing w:after="80" w:before="40" w:line="280"/>
      </w:pPr>
      <w:r>
        <w:rPr>
          <w:rFonts w:ascii="Calibri" w:cs="Calibri" w:eastAsia="Calibri" w:hAnsi="Calibri"/>
          <w:b/>
          <w:bCs/>
          <w:sz w:val="22"/>
          <w:szCs w:val="22"/>
        </w:rPr>
        <w:t xml:space="preserve">Outbreak and surveillance early signal — quantified through PEF. </w:t>
      </w:r>
      <w:r>
        <w:rPr>
          <w:rFonts w:ascii="Calibri" w:cs="Calibri" w:eastAsia="Calibri" w:hAnsi="Calibri"/>
          <w:sz w:val="22"/>
          <w:szCs w:val="22"/>
        </w:rPr>
        <w:t xml:space="preserve">Khrennikov's ultrametric diffusion model applies to this stratification directly: if a population is p-adically encoded by social / geographic structure, his treelike diffusion equation models the propagation of a disease across cluster boundaries with a parameter that controls between-level "social barriers". PEF gives a tractable empirical handle on this parameter: between-cluster KPI pairs (case counts, contact frequencies, syndromic signal levels for adjacent LSOAs or ICSs) have a measurable (κ̂, ρ̂), and Khrennikov's social-barrier height is directly proportional to the strength of decoupling — i.e. to (1 − ρ) for the matched cross-cluster pair. So the diffusion parameter is no longer a fitted heuristic; it can be estimated from the same paired data PEF already analyses. This connects population stratification to epidemic surveillance in one mathematical framework, with a quantitative form the current public-health literature has not articulated.</w:t>
      </w:r>
    </w:p>
    <w:p>
      <w:pPr>
        <w:spacing w:after="120" w:before="60" w:line="300"/>
        <w:jc w:val="both"/>
      </w:pPr>
      <w:r>
        <w:rPr>
          <w:rFonts w:ascii="Calibri" w:cs="Calibri" w:eastAsia="Calibri" w:hAnsi="Calibri"/>
          <w:b/>
          <w:bCs/>
          <w:sz w:val="22"/>
          <w:szCs w:val="22"/>
        </w:rPr>
        <w:t xml:space="preserve">Validation strategy. </w:t>
      </w:r>
      <w:r>
        <w:rPr>
          <w:rFonts w:ascii="Calibri" w:cs="Calibri" w:eastAsia="Calibri" w:hAnsi="Calibri"/>
          <w:sz w:val="22"/>
          <w:szCs w:val="22"/>
        </w:rPr>
        <w:t xml:space="preserve">Synthetic Hierarchical Population data → noise injection → real data from a cohort like CPRD Aurum (~13M English primary-care patients) or SAIL (Welsh population data with WIMD linkage). External validation: predict 12-month emergency admission, mortality, or COVID outcomes from cluster membership, against a null model of LACE alone.</w:t>
      </w:r>
    </w:p>
    <w:p>
      <w:pPr>
        <w:pStyle w:val="Heading1"/>
        <w:spacing w:after="180" w:before="360"/>
      </w:pPr>
      <w:r>
        <w:rPr>
          <w:rFonts w:ascii="Calibri" w:cs="Calibri" w:eastAsia="Calibri" w:hAnsi="Calibri"/>
          <w:b/>
          <w:bCs/>
          <w:sz w:val="32"/>
          <w:szCs w:val="32"/>
        </w:rPr>
        <w:t xml:space="preserve">5. A unifying synthesis</w:t>
      </w:r>
    </w:p>
    <w:p>
      <w:pPr>
        <w:spacing w:after="120" w:before="60" w:line="300"/>
        <w:jc w:val="both"/>
      </w:pPr>
      <w:r>
        <w:rPr>
          <w:rFonts w:ascii="Calibri" w:cs="Calibri" w:eastAsia="Calibri" w:hAnsi="Calibri"/>
          <w:sz w:val="22"/>
          <w:szCs w:val="22"/>
        </w:rPr>
        <w:t xml:space="preserve">What sport tournaments, talent pathways, hospital systems, and population health share is not "hierarchy" in a loose narrative sense — it is the specific mathematical property that the meaningful distance between entities is dominated by the highest level at which they differ. Two academy players in different sports are far apart no matter how similar their sprint times. Two trusts in different regions are far apart no matter how similar their bed numbers. Two LSOAs in different deprivation deciles are far apart no matter how similar their employment scores. This is exactly the ultrametric inequality d(A, C) ≤ max{d(A, B), d(B, C)}, which is exactly the defining property of the p-adic norm.</w:t>
      </w:r>
    </w:p>
    <w:p>
      <w:pPr>
        <w:spacing w:after="120" w:before="60" w:line="300"/>
        <w:jc w:val="both"/>
      </w:pPr>
      <w:r>
        <w:rPr>
          <w:rFonts w:ascii="Calibri" w:cs="Calibri" w:eastAsia="Calibri" w:hAnsi="Calibri"/>
          <w:sz w:val="22"/>
          <w:szCs w:val="22"/>
        </w:rPr>
        <w:t xml:space="preserve">PEF does the orthogonal work of deciding, per dimension, whether the relevant signal lives in the absolute measurement or in the difference of paired measurements — and at what weight, via the information content under a Gaussian discriminant model. The abs/rel synthesis the project originally articulated is the verbal Q1/Q2 case of PEF (positive ρ, η &gt; 1, rel wins through noise cancellation); the more interesting Q4 case (negative ρ, η &lt; 1, rel still wins on information-content grounds) gives the rugby pipeline its non-trivial result. Categorisation with information-content weighting puts the per-dimension PEF decisions into a fixed-precision base-p encoding so that ordinal levels never get drowned out by within-level wobble. Clustering on the resulting p-adic distance respects the hierarchy by construction.</w:t>
      </w:r>
    </w:p>
    <w:p>
      <w:pPr>
        <w:spacing w:after="120" w:before="60" w:line="300"/>
        <w:jc w:val="both"/>
      </w:pPr>
      <w:r>
        <w:rPr>
          <w:rFonts w:ascii="Calibri" w:cs="Calibri" w:eastAsia="Calibri" w:hAnsi="Calibri"/>
          <w:sz w:val="22"/>
          <w:szCs w:val="22"/>
        </w:rPr>
        <w:t xml:space="preserve">The methodological payoff is practical: better separated clusters (the rugby silhouette result), interpretable cluster boundaries (each cluster is a base-p digit pattern, readable as a strategic profile), and external-validation hooks (predict outcomes from cluster membership). The publication payoff is positional: the rugby paper plus these extensions together stake out p-adic clustering as a generalist hierarchy-respecting method, with worked applications in two underserved domains (talent ID and clinical hierarchies).</w:t>
      </w:r>
    </w:p>
    <w:p>
      <w:pPr>
        <w:pStyle w:val="Heading2"/>
        <w:spacing w:after="140" w:before="280"/>
      </w:pPr>
      <w:r>
        <w:rPr>
          <w:rFonts w:ascii="Calibri" w:cs="Calibri" w:eastAsia="Calibri" w:hAnsi="Calibri"/>
          <w:b/>
          <w:bCs/>
          <w:sz w:val="26"/>
          <w:szCs w:val="26"/>
        </w:rPr>
        <w:t xml:space="preserve">5.1 Suggested next steps — health-led ordering</w:t>
      </w:r>
    </w:p>
    <w:p>
      <w:pPr>
        <w:spacing w:after="120" w:before="60" w:line="300"/>
        <w:jc w:val="both"/>
      </w:pPr>
      <w:r>
        <w:rPr>
          <w:rFonts w:ascii="Calibri" w:cs="Calibri" w:eastAsia="Calibri" w:hAnsi="Calibri"/>
          <w:sz w:val="22"/>
          <w:szCs w:val="22"/>
        </w:rPr>
        <w:t xml:space="preserve">The roadmap is reorganised around data accessibility. NHS System Oversight Framework metrics, WIMD, NHANES, and the GEO genomics validation set are publicly available; URC academy data for the talent-pathway pilot sits behind partnership agreements. The near-term track therefore prioritises work that is data-ready and policy-resonant; the sports talent-pathway pilot proceeds in parallel as a separate study when academy access permits.</w:t>
      </w:r>
    </w:p>
    <w:p>
      <w:pPr>
        <w:spacing w:after="100" w:before="200"/>
      </w:pPr>
      <w:r>
        <w:rPr>
          <w:rFonts w:ascii="Calibri" w:cs="Calibri" w:eastAsia="Calibri" w:hAnsi="Calibri"/>
          <w:b/>
          <w:bCs/>
          <w:sz w:val="22"/>
          <w:szCs w:val="22"/>
        </w:rPr>
        <w:t xml:space="preserve">Near-term track (entirely data-ready):</w:t>
      </w:r>
    </w:p>
    <w:p>
      <w:pPr>
        <w:pStyle w:val="ListParagraph"/>
        <w:numPr>
          <w:ilvl w:val="0"/>
          <w:numId w:val="2"/>
        </w:numPr>
        <w:spacing w:after="80" w:before="40" w:line="280"/>
      </w:pPr>
      <w:r>
        <w:rPr>
          <w:rFonts w:ascii="Calibri" w:cs="Calibri" w:eastAsia="Calibri" w:hAnsi="Calibri"/>
          <w:b/>
          <w:bCs/>
          <w:sz w:val="22"/>
          <w:szCs w:val="22"/>
        </w:rPr>
        <w:t xml:space="preserve">Tighten the rugby paper with PEF integration. </w:t>
      </w:r>
      <w:r>
        <w:rPr>
          <w:rFonts w:ascii="Calibri" w:cs="Calibri" w:eastAsia="Calibri" w:hAnsi="Calibri"/>
          <w:sz w:val="22"/>
          <w:szCs w:val="22"/>
        </w:rPr>
        <w:t xml:space="preserve">Add baseline comparisons (Ward's, k-means, GMM at parity), the prime sweep p ∈ {2,3,5,7,11,13}, the bootstrap stability check, leave-one-season-out CV, and the noise-injection curve onto which real data lands. Additionally: place each of the seven constructed dimensions individually in the (κ, ρ) plane, report η and I(X; Y) per dimension, and replace the exponential weights (10 000 → 3) with information-content weights from the PEF–information-content relationship. Closes gaps (a)–(g) of §1.1 and reframes the empirical contribution as a worked Q4 demonstration of PEF.</w:t>
      </w:r>
    </w:p>
    <w:p>
      <w:pPr>
        <w:pStyle w:val="ListParagraph"/>
        <w:numPr>
          <w:ilvl w:val="0"/>
          <w:numId w:val="2"/>
        </w:numPr>
        <w:spacing w:after="80" w:before="40" w:line="280"/>
      </w:pPr>
      <w:r>
        <w:rPr>
          <w:rFonts w:ascii="Calibri" w:cs="Calibri" w:eastAsia="Calibri" w:hAnsi="Calibri"/>
          <w:b/>
          <w:bCs/>
          <w:sz w:val="22"/>
          <w:szCs w:val="22"/>
        </w:rPr>
        <w:t xml:space="preserve">Write the PEF / p-adic methodological note. </w:t>
      </w:r>
      <w:r>
        <w:rPr>
          <w:rFonts w:ascii="Calibri" w:cs="Calibri" w:eastAsia="Calibri" w:hAnsi="Calibri"/>
          <w:sz w:val="22"/>
          <w:szCs w:val="22"/>
        </w:rPr>
        <w:t xml:space="preserve">~2 500 words; companion to the main paper. Explicitly bridges PEF and p-adic clustering: how per-dimension (κ̂, ρ̂) → η decisions feed into the abs/rel choice, how I(X; Y) sets the digit weights in the base-p encoding, and how the PEF-to-ML mapping ΔML = 0.234(η − 1) + 0.089(η − 1)² translates into expected silhouette gains. The small but novel theoretical contribution is the derivation of expected silhouette under p-adic distance as a function of per-dimension I(X; Y) — unaddressed in the PEF paper, closing the loop between PEF's classification metric and p-adic clustering's silhouette metric. Requires no new data, so can be drafted in parallel with step 1.</w:t>
      </w:r>
    </w:p>
    <w:p>
      <w:pPr>
        <w:pStyle w:val="ListParagraph"/>
        <w:numPr>
          <w:ilvl w:val="0"/>
          <w:numId w:val="2"/>
        </w:numPr>
        <w:spacing w:after="80" w:before="40" w:line="280"/>
      </w:pPr>
      <w:r>
        <w:rPr>
          <w:rFonts w:ascii="Calibri" w:cs="Calibri" w:eastAsia="Calibri" w:hAnsi="Calibri"/>
          <w:b/>
          <w:bCs/>
          <w:sz w:val="22"/>
          <w:szCs w:val="22"/>
        </w:rPr>
        <w:t xml:space="preserve">Pilot the NHS-trust extension </w:t>
      </w:r>
      <w:r>
        <w:rPr>
          <w:rFonts w:ascii="Calibri" w:cs="Calibri" w:eastAsia="Calibri" w:hAnsi="Calibri"/>
          <w:sz w:val="22"/>
          <w:szCs w:val="22"/>
        </w:rPr>
        <w:t xml:space="preserve">on publicly released System Oversight Framework data. ~150 trusts × ~30 metrics × ~5 years. Compute PEF for within-region and across-region trust pairings to confirm the predicted Q1/Q2 → Q3/Q4 drift, then use the result to set abs/rel per metric in the p-adic encoding. The output is a set of trust clusters that can be validated against existing peer groups and used to flag outliers — direct policy interest, quantitatively defensible methodology. Aim for BMJ Quality &amp; Safety or Health Services Research.</w:t>
      </w:r>
    </w:p>
    <w:p>
      <w:pPr>
        <w:pStyle w:val="ListParagraph"/>
        <w:numPr>
          <w:ilvl w:val="0"/>
          <w:numId w:val="2"/>
        </w:numPr>
        <w:spacing w:after="80" w:before="40" w:line="280"/>
      </w:pPr>
      <w:r>
        <w:rPr>
          <w:rFonts w:ascii="Calibri" w:cs="Calibri" w:eastAsia="Calibri" w:hAnsi="Calibri"/>
          <w:b/>
          <w:bCs/>
          <w:sz w:val="22"/>
          <w:szCs w:val="22"/>
        </w:rPr>
        <w:t xml:space="preserve">Pilot the WIMD-led population-health extension </w:t>
      </w:r>
      <w:r>
        <w:rPr>
          <w:rFonts w:ascii="Calibri" w:cs="Calibri" w:eastAsia="Calibri" w:hAnsi="Calibri"/>
          <w:sz w:val="22"/>
          <w:szCs w:val="22"/>
        </w:rPr>
        <w:t xml:space="preserve">on the publicly available Welsh Index of Multiple Deprivation (1 909 LSOAs). Tests the level-conditional encoding (rel within local authority, abs across) with weights set by per-domain I(X; Y); validates against external outcomes via SAIL linkage where access permits. Aim for Lancet Public Health (regional) or Health &amp; Place (methodological).</w:t>
      </w:r>
    </w:p>
    <w:p>
      <w:pPr>
        <w:pStyle w:val="ListParagraph"/>
        <w:numPr>
          <w:ilvl w:val="0"/>
          <w:numId w:val="2"/>
        </w:numPr>
        <w:spacing w:after="80" w:before="40" w:line="280"/>
      </w:pPr>
      <w:r>
        <w:rPr>
          <w:rFonts w:ascii="Calibri" w:cs="Calibri" w:eastAsia="Calibri" w:hAnsi="Calibri"/>
          <w:b/>
          <w:bCs/>
          <w:sz w:val="22"/>
          <w:szCs w:val="22"/>
        </w:rPr>
        <w:t xml:space="preserve">Bridge the Khrennikov connection through PEF. </w:t>
      </w:r>
      <w:r>
        <w:rPr>
          <w:rFonts w:ascii="Calibri" w:cs="Calibri" w:eastAsia="Calibri" w:hAnsi="Calibri"/>
          <w:sz w:val="22"/>
          <w:szCs w:val="22"/>
        </w:rPr>
        <w:t xml:space="preserve">Theoretical synthesis tying p-adic clustering, PEF, and ultrametric epidemic modelling together. By this stage, the NHS-trust and WIMD pilots have produced empirical (κ̂, ρ̂) estimates for cross-cluster KPI pairs, which supply the social-barrier-height parameter directly — the bridge paper effectively writes itself once steps 3–4 are complete. Likely the most publishable single contribution across the project.</w:t>
      </w:r>
    </w:p>
    <w:p>
      <w:pPr>
        <w:spacing w:after="100" w:before="200"/>
      </w:pPr>
      <w:r>
        <w:rPr>
          <w:rFonts w:ascii="Calibri" w:cs="Calibri" w:eastAsia="Calibri" w:hAnsi="Calibri"/>
          <w:b/>
          <w:bCs/>
          <w:sz w:val="22"/>
          <w:szCs w:val="22"/>
        </w:rPr>
        <w:t xml:space="preserve">Parallel sports track (data-access-dependent, runs opportunistically):</w:t>
      </w:r>
    </w:p>
    <w:p>
      <w:pPr>
        <w:pStyle w:val="ListParagraph"/>
        <w:numPr>
          <w:ilvl w:val="0"/>
          <w:numId w:val="2"/>
        </w:numPr>
        <w:spacing w:after="80" w:before="40" w:line="280"/>
      </w:pPr>
      <w:r>
        <w:rPr>
          <w:rFonts w:ascii="Calibri" w:cs="Calibri" w:eastAsia="Calibri" w:hAnsi="Calibri"/>
          <w:b/>
          <w:bCs/>
          <w:sz w:val="22"/>
          <w:szCs w:val="22"/>
        </w:rPr>
        <w:t xml:space="preserve">Talent-pathway pilot </w:t>
      </w:r>
      <w:r>
        <w:rPr>
          <w:rFonts w:ascii="Calibri" w:cs="Calibri" w:eastAsia="Calibri" w:hAnsi="Calibri"/>
          <w:sz w:val="22"/>
          <w:szCs w:val="22"/>
        </w:rPr>
        <w:t xml:space="preserve">on URC academy data when partnership/access can be secured. Same pipeline as the NHS-trust pilot but on athlete-seasons rather than trust-years. Sequencing flexible — could be six months out or eighteen, but does not block the near-term track.</w:t>
      </w:r>
    </w:p>
    <w:p>
      <w:pPr>
        <w:pStyle w:val="ListParagraph"/>
        <w:numPr>
          <w:ilvl w:val="0"/>
          <w:numId w:val="2"/>
        </w:numPr>
        <w:spacing w:after="80" w:before="40" w:line="280"/>
      </w:pPr>
      <w:r>
        <w:rPr>
          <w:rFonts w:ascii="Calibri" w:cs="Calibri" w:eastAsia="Calibri" w:hAnsi="Calibri"/>
          <w:b/>
          <w:bCs/>
          <w:sz w:val="22"/>
          <w:szCs w:val="22"/>
        </w:rPr>
        <w:t xml:space="preserve">Tournament / bracket extension </w:t>
      </w:r>
      <w:r>
        <w:rPr>
          <w:rFonts w:ascii="Calibri" w:cs="Calibri" w:eastAsia="Calibri" w:hAnsi="Calibri"/>
          <w:sz w:val="22"/>
          <w:szCs w:val="22"/>
        </w:rPr>
        <w:t xml:space="preserve">uses public data (ATP/WTA Slams, NCAA, World Cup knockouts) and is therefore data-ready. Sequencing depends on whether a sports artefact is wanted in the near-term roadmap or whether the near-term track is to be entirely health-led; flagged for decision.</w:t>
      </w:r>
    </w:p>
    <w:p>
      <w:pPr>
        <w:pStyle w:val="Heading1"/>
        <w:spacing w:after="180" w:before="360"/>
      </w:pPr>
      <w:r>
        <w:rPr>
          <w:rFonts w:ascii="Calibri" w:cs="Calibri" w:eastAsia="Calibri" w:hAnsi="Calibri"/>
          <w:b/>
          <w:bCs/>
          <w:sz w:val="32"/>
          <w:szCs w:val="32"/>
        </w:rPr>
        <w:t xml:space="preserve">6. Bibliography</w:t>
      </w:r>
    </w:p>
    <w:p>
      <w:pPr>
        <w:pStyle w:val="Heading2"/>
        <w:spacing w:after="140" w:before="280"/>
      </w:pPr>
      <w:r>
        <w:rPr>
          <w:rFonts w:ascii="Calibri" w:cs="Calibri" w:eastAsia="Calibri" w:hAnsi="Calibri"/>
          <w:b/>
          <w:bCs/>
          <w:sz w:val="26"/>
          <w:szCs w:val="26"/>
        </w:rPr>
        <w:t xml:space="preserve">6.1 Companion methodology — PEF (in-house)</w:t>
      </w:r>
    </w:p>
    <w:p>
      <w:pPr>
        <w:spacing w:after="80" w:before="60" w:line="280"/>
        <w:ind w:left="360" w:hanging="360"/>
      </w:pPr>
      <w:r>
        <w:rPr>
          <w:rFonts w:ascii="Calibri" w:cs="Calibri" w:eastAsia="Calibri" w:hAnsi="Calibri"/>
          <w:i/>
          <w:iCs/>
          <w:sz w:val="22"/>
          <w:szCs w:val="22"/>
        </w:rPr>
        <w:t xml:space="preserve">Beyond Fisher: A Generalised Paired Efficiency Factor for Correlated and Variance-Asymmetric Measurements with Cross-Domain Validation in Sport, Healthcare, Genomics, Finance and Manufacturing</w:t>
      </w:r>
      <w:r>
        <w:rPr>
          <w:rFonts w:ascii="Calibri" w:cs="Calibri" w:eastAsia="Calibri" w:hAnsi="Calibri"/>
          <w:sz w:val="22"/>
          <w:szCs w:val="22"/>
        </w:rPr>
        <w:t xml:space="preserve"> (2026, draft). Defines η = (1+κ)/(1+κ − 2√κ ρ); derives the closed-form PEF–information-content relationship under bivariate normality; partitions (κ, ρ) into four quadrants; reports rugby η = 1.845 (n = 240), football η = 1.623 (n = 552), NHANES blood-pressure η = 2.533, GSE47462 genomics η = 2.70, S&amp;P 500 finance η = 3.129, Bosch CNC manufacturing η = 1.382; empirical PEF-to-ML mapping ΔML = 0.234(η − 1) + 0.089(η − 1)² with r = 0.725. Provides the formal underpinning for the abs/rel synthesis used in the rugby p-adic pipeline and for the public-health extensions in §4.</w:t>
      </w:r>
    </w:p>
    <w:p>
      <w:pPr>
        <w:spacing w:after="80" w:before="60" w:line="280"/>
        <w:ind w:left="360" w:hanging="360"/>
      </w:pPr>
      <w:r>
        <w:rPr>
          <w:rFonts w:ascii="Calibri" w:cs="Calibri" w:eastAsia="Calibri" w:hAnsi="Calibri"/>
          <w:sz w:val="22"/>
          <w:szCs w:val="22"/>
        </w:rPr>
        <w:t xml:space="preserve">Fisher, R. A. (1935). </w:t>
      </w:r>
      <w:r>
        <w:rPr>
          <w:rFonts w:ascii="Calibri" w:cs="Calibri" w:eastAsia="Calibri" w:hAnsi="Calibri"/>
          <w:i/>
          <w:iCs/>
          <w:sz w:val="22"/>
          <w:szCs w:val="22"/>
        </w:rPr>
        <w:t xml:space="preserve">The Design of Experiments. </w:t>
      </w:r>
      <w:r>
        <w:rPr>
          <w:rFonts w:ascii="Calibri" w:cs="Calibri" w:eastAsia="Calibri" w:hAnsi="Calibri"/>
          <w:sz w:val="22"/>
          <w:szCs w:val="22"/>
        </w:rPr>
        <w:t xml:space="preserve">Oliver and Boyd. — Classical paired efficiency, recovered as PEF special case κ = 1.</w:t>
      </w:r>
    </w:p>
    <w:p>
      <w:pPr>
        <w:spacing w:after="80" w:before="60" w:line="280"/>
        <w:ind w:left="360" w:hanging="360"/>
      </w:pPr>
      <w:r>
        <w:rPr>
          <w:rFonts w:ascii="Calibri" w:cs="Calibri" w:eastAsia="Calibri" w:hAnsi="Calibri"/>
          <w:sz w:val="22"/>
          <w:szCs w:val="22"/>
        </w:rPr>
        <w:t xml:space="preserve">Cover, T. M., &amp; Thomas, J. A. (2006). </w:t>
      </w:r>
      <w:r>
        <w:rPr>
          <w:rFonts w:ascii="Calibri" w:cs="Calibri" w:eastAsia="Calibri" w:hAnsi="Calibri"/>
          <w:i/>
          <w:iCs/>
          <w:sz w:val="22"/>
          <w:szCs w:val="22"/>
        </w:rPr>
        <w:t xml:space="preserve">Elements of Information Theory. </w:t>
      </w:r>
      <w:r>
        <w:rPr>
          <w:rFonts w:ascii="Calibri" w:cs="Calibri" w:eastAsia="Calibri" w:hAnsi="Calibri"/>
          <w:sz w:val="22"/>
          <w:szCs w:val="22"/>
        </w:rPr>
        <w:t xml:space="preserve">Wiley. — Mutual information used in the PEF–information-content relationship.</w:t>
      </w:r>
    </w:p>
    <w:p>
      <w:pPr>
        <w:spacing w:after="80" w:before="60" w:line="280"/>
        <w:ind w:left="360" w:hanging="360"/>
      </w:pPr>
      <w:r>
        <w:rPr>
          <w:rFonts w:ascii="Calibri" w:cs="Calibri" w:eastAsia="Calibri" w:hAnsi="Calibri"/>
          <w:sz w:val="22"/>
          <w:szCs w:val="22"/>
        </w:rPr>
        <w:t xml:space="preserve">Welch, B. L. (1947). The generalisation of Student's problem when several different population variances are involved. </w:t>
      </w:r>
      <w:r>
        <w:rPr>
          <w:rFonts w:ascii="Calibri" w:cs="Calibri" w:eastAsia="Calibri" w:hAnsi="Calibri"/>
          <w:i/>
          <w:iCs/>
          <w:sz w:val="22"/>
          <w:szCs w:val="22"/>
        </w:rPr>
        <w:t xml:space="preserve">Biometrika</w:t>
      </w:r>
      <w:r>
        <w:rPr>
          <w:rFonts w:ascii="Calibri" w:cs="Calibri" w:eastAsia="Calibri" w:hAnsi="Calibri"/>
          <w:sz w:val="22"/>
          <w:szCs w:val="22"/>
        </w:rPr>
        <w:t xml:space="preserve">, 34, 28–35.</w:t>
      </w:r>
    </w:p>
    <w:p>
      <w:pPr>
        <w:spacing w:after="80" w:before="60" w:line="280"/>
        <w:ind w:left="360" w:hanging="360"/>
      </w:pPr>
      <w:r>
        <w:rPr>
          <w:rFonts w:ascii="Calibri" w:cs="Calibri" w:eastAsia="Calibri" w:hAnsi="Calibri"/>
          <w:sz w:val="22"/>
          <w:szCs w:val="22"/>
        </w:rPr>
        <w:t xml:space="preserve">Cochran, W. G. (1977). </w:t>
      </w:r>
      <w:r>
        <w:rPr>
          <w:rFonts w:ascii="Calibri" w:cs="Calibri" w:eastAsia="Calibri" w:hAnsi="Calibri"/>
          <w:i/>
          <w:iCs/>
          <w:sz w:val="22"/>
          <w:szCs w:val="22"/>
        </w:rPr>
        <w:t xml:space="preserve">Sampling Techniques</w:t>
      </w:r>
      <w:r>
        <w:rPr>
          <w:rFonts w:ascii="Calibri" w:cs="Calibri" w:eastAsia="Calibri" w:hAnsi="Calibri"/>
          <w:sz w:val="22"/>
          <w:szCs w:val="22"/>
        </w:rPr>
        <w:t xml:space="preserve">, 3rd ed. Wiley.</w:t>
      </w:r>
    </w:p>
    <w:p>
      <w:pPr>
        <w:pStyle w:val="Heading2"/>
        <w:spacing w:after="140" w:before="280"/>
      </w:pPr>
      <w:r>
        <w:rPr>
          <w:rFonts w:ascii="Calibri" w:cs="Calibri" w:eastAsia="Calibri" w:hAnsi="Calibri"/>
          <w:b/>
          <w:bCs/>
          <w:sz w:val="26"/>
          <w:szCs w:val="26"/>
        </w:rPr>
        <w:t xml:space="preserve">6.2 Foundational p-adic / ultrametric clustering</w:t>
      </w:r>
    </w:p>
    <w:p>
      <w:pPr>
        <w:spacing w:after="80" w:before="60" w:line="280"/>
        <w:ind w:left="360" w:hanging="360"/>
      </w:pPr>
      <w:r>
        <w:rPr>
          <w:rFonts w:ascii="Calibri" w:cs="Calibri" w:eastAsia="Calibri" w:hAnsi="Calibri"/>
          <w:sz w:val="22"/>
          <w:szCs w:val="22"/>
        </w:rPr>
        <w:t xml:space="preserve">Murtagh, F. (2007). Hierarchical clustering of massive, high-dimensional data sets by exploiting ultrametric embedding. SIAM J. Sci. Comput. </w:t>
      </w:r>
      <w:hyperlink w:history="1" r:id="rIdqji-jyxc9r5r7k4bfswtx">
        <w:r>
          <w:rPr>
            <w:rStyle w:val="Hyperlink"/>
            <w:rFonts w:ascii="Calibri" w:cs="Calibri" w:eastAsia="Calibri" w:hAnsi="Calibri"/>
            <w:sz w:val="22"/>
            <w:szCs w:val="22"/>
          </w:rPr>
          <w:t xml:space="preserve">SIAM</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Murtagh, F., &amp; Contreras, P. (2012). Fast, linear time, m-adic hierarchical clustering using the Baire metric. p-Adic Numbers, Ultrametric Analysis and Applications. </w:t>
      </w:r>
      <w:hyperlink w:history="1" r:id="rId3w1atk6m0eyoq3kl-w6ws">
        <w:r>
          <w:rPr>
            <w:rStyle w:val="Hyperlink"/>
            <w:rFonts w:ascii="Calibri" w:cs="Calibri" w:eastAsia="Calibri" w:hAnsi="Calibri"/>
            <w:sz w:val="22"/>
            <w:szCs w:val="22"/>
          </w:rPr>
          <w:t xml:space="preserve">Springer</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Murtagh, F. (2014). Thinking ultrametrically, thinking p-adically. In Statistical Learning and Data Sciences. </w:t>
      </w:r>
      <w:hyperlink w:history="1" r:id="rIdgoiz_or77ewrgu9tacwdt">
        <w:r>
          <w:rPr>
            <w:rStyle w:val="Hyperlink"/>
            <w:rFonts w:ascii="Calibri" w:cs="Calibri" w:eastAsia="Calibri" w:hAnsi="Calibri"/>
            <w:sz w:val="22"/>
            <w:szCs w:val="22"/>
          </w:rPr>
          <w:t xml:space="preserve">Springer</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Murtagh, F. (2009). Symmetry in data mining and analysis: a unifying view based on hierarchy. Proc. Steklov Inst. Math. </w:t>
      </w:r>
      <w:hyperlink w:history="1" r:id="rIdd7i4myxruczhmxvj_odsn">
        <w:r>
          <w:rPr>
            <w:rStyle w:val="Hyperlink"/>
            <w:rFonts w:ascii="Calibri" w:cs="Calibri" w:eastAsia="Calibri" w:hAnsi="Calibri"/>
            <w:sz w:val="22"/>
            <w:szCs w:val="22"/>
          </w:rPr>
          <w:t xml:space="preserve">Springer</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Bradley, P. E. (2025). Ultrametric structures and norm-based p-adic operations. Mathematics. </w:t>
      </w:r>
      <w:hyperlink w:history="1" r:id="rId2pzsvaggz1xuydx2_ccrl">
        <w:r>
          <w:rPr>
            <w:rStyle w:val="Hyperlink"/>
            <w:rFonts w:ascii="Calibri" w:cs="Calibri" w:eastAsia="Calibri" w:hAnsi="Calibri"/>
            <w:sz w:val="22"/>
            <w:szCs w:val="22"/>
          </w:rPr>
          <w:t xml:space="preserve">MDPI</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On the local ultrametricity of finite metric data (2025). J. Classification. </w:t>
      </w:r>
      <w:hyperlink w:history="1" r:id="rId6pcuauyxwzkfymk02fwlc">
        <w:r>
          <w:rPr>
            <w:rStyle w:val="Hyperlink"/>
            <w:rFonts w:ascii="Calibri" w:cs="Calibri" w:eastAsia="Calibri" w:hAnsi="Calibri"/>
            <w:sz w:val="22"/>
            <w:szCs w:val="22"/>
          </w:rPr>
          <w:t xml:space="preserve">Springer</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Nilaish (2024). Hierarchical customer segmentation using p-adic ultrametrics. SSRN. </w:t>
      </w:r>
      <w:hyperlink w:history="1" r:id="rIdwjdnouyzb_evfjrvxf_ps">
        <w:r>
          <w:rPr>
            <w:rStyle w:val="Hyperlink"/>
            <w:rFonts w:ascii="Calibri" w:cs="Calibri" w:eastAsia="Calibri" w:hAnsi="Calibri"/>
            <w:sz w:val="22"/>
            <w:szCs w:val="22"/>
          </w:rPr>
          <w:t xml:space="preserve">SSRN</w:t>
        </w:r>
      </w:hyperlink>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26"/>
          <w:szCs w:val="26"/>
        </w:rPr>
        <w:t xml:space="preserve">6.3 Sport: talent identification and tournament theory</w:t>
      </w:r>
    </w:p>
    <w:p>
      <w:pPr>
        <w:spacing w:after="80" w:before="60" w:line="280"/>
        <w:ind w:left="360" w:hanging="360"/>
      </w:pPr>
      <w:r>
        <w:rPr>
          <w:rFonts w:ascii="Calibri" w:cs="Calibri" w:eastAsia="Calibri" w:hAnsi="Calibri"/>
          <w:sz w:val="22"/>
          <w:szCs w:val="22"/>
        </w:rPr>
        <w:t xml:space="preserve">Faber, I. R., et al. (2023). Multidimensional and longitudinal approaches in talent identification and development in racket sports. Sports Medicine — Open. </w:t>
      </w:r>
      <w:hyperlink w:history="1" r:id="rIdxkv7oiymju1tp_e5kiz_l">
        <w:r>
          <w:rPr>
            <w:rStyle w:val="Hyperlink"/>
            <w:rFonts w:ascii="Calibri" w:cs="Calibri" w:eastAsia="Calibri" w:hAnsi="Calibri"/>
            <w:sz w:val="22"/>
            <w:szCs w:val="22"/>
          </w:rPr>
          <w:t xml:space="preserve">PMC</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Thirty years of longitudinal talent development research: systematic review and meta-aggregation (2024). Int. Rev. Sport Exerc. Psychol. </w:t>
      </w:r>
      <w:hyperlink w:history="1" r:id="rIdt0jzbskm7ldx21vuajvx1">
        <w:r>
          <w:rPr>
            <w:rStyle w:val="Hyperlink"/>
            <w:rFonts w:ascii="Calibri" w:cs="Calibri" w:eastAsia="Calibri" w:hAnsi="Calibri"/>
            <w:sz w:val="22"/>
            <w:szCs w:val="22"/>
          </w:rPr>
          <w:t xml:space="preserve">Taylor &amp; Francis</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The role of machine learning in talent identification for team sports: systematic review (2025). </w:t>
      </w:r>
      <w:hyperlink w:history="1" r:id="rIdymv7rhixcoj2vfmp2wvla">
        <w:r>
          <w:rPr>
            <w:rStyle w:val="Hyperlink"/>
            <w:rFonts w:ascii="Calibri" w:cs="Calibri" w:eastAsia="Calibri" w:hAnsi="Calibri"/>
            <w:sz w:val="22"/>
            <w:szCs w:val="22"/>
          </w:rPr>
          <w:t xml:space="preserve">PMC</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Optimizing talent transfer processes by clustering 34 sports (2024). </w:t>
      </w:r>
      <w:hyperlink w:history="1" r:id="rIdorpymggt3lmfclbnpxhms">
        <w:r>
          <w:rPr>
            <w:rStyle w:val="Hyperlink"/>
            <w:rFonts w:ascii="Calibri" w:cs="Calibri" w:eastAsia="Calibri" w:hAnsi="Calibri"/>
            <w:sz w:val="22"/>
            <w:szCs w:val="22"/>
          </w:rPr>
          <w:t xml:space="preserve">PMC</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Schwenk, A. J. (2000). What is the correct way to seed a knockout tournament? </w:t>
      </w:r>
      <w:hyperlink w:history="1" r:id="rIdfqqckrhay04flxxrbrxpx">
        <w:r>
          <w:rPr>
            <w:rStyle w:val="Hyperlink"/>
            <w:rFonts w:ascii="Calibri" w:cs="Calibri" w:eastAsia="Calibri" w:hAnsi="Calibri"/>
            <w:sz w:val="22"/>
            <w:szCs w:val="22"/>
          </w:rPr>
          <w:t xml:space="preserve">PDF</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Karpov, A. A theory of knockout tournament seedings. Heidelberg DP. </w:t>
      </w:r>
      <w:hyperlink w:history="1" r:id="rId_thmkynqdewqqahl7cung">
        <w:r>
          <w:rPr>
            <w:rStyle w:val="Hyperlink"/>
            <w:rFonts w:ascii="Calibri" w:cs="Calibri" w:eastAsia="Calibri" w:hAnsi="Calibri"/>
            <w:sz w:val="22"/>
            <w:szCs w:val="22"/>
          </w:rPr>
          <w:t xml:space="preserve">PDF</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Toukmaji, C. (2022). Refining search spaces in hierarchical tournament brackets using chalk index. CMSAC. </w:t>
      </w:r>
      <w:hyperlink w:history="1" r:id="rIdae_pdwmqxxtsfv8q2lik-">
        <w:r>
          <w:rPr>
            <w:rStyle w:val="Hyperlink"/>
            <w:rFonts w:ascii="Calibri" w:cs="Calibri" w:eastAsia="Calibri" w:hAnsi="Calibri"/>
            <w:sz w:val="22"/>
            <w:szCs w:val="22"/>
          </w:rPr>
          <w:t xml:space="preserve">PDF</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Hierarchy and ranking in pairwise sports contests (2025). arXiv:2508.19848. </w:t>
      </w:r>
      <w:hyperlink w:history="1" r:id="rIdf994adcx7jsuobyfbiuku">
        <w:r>
          <w:rPr>
            <w:rStyle w:val="Hyperlink"/>
            <w:rFonts w:ascii="Calibri" w:cs="Calibri" w:eastAsia="Calibri" w:hAnsi="Calibri"/>
            <w:sz w:val="22"/>
            <w:szCs w:val="22"/>
          </w:rPr>
          <w:t xml:space="preserve">arXiv</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Fried, L. (2024). On tournament design. arXiv:2405.05281. </w:t>
      </w:r>
      <w:hyperlink w:history="1" r:id="rId0mvawvbt5etv3whv7yo-r">
        <w:r>
          <w:rPr>
            <w:rStyle w:val="Hyperlink"/>
            <w:rFonts w:ascii="Calibri" w:cs="Calibri" w:eastAsia="Calibri" w:hAnsi="Calibri"/>
            <w:sz w:val="22"/>
            <w:szCs w:val="22"/>
          </w:rPr>
          <w:t xml:space="preserve">arXiv</w:t>
        </w:r>
      </w:hyperlink>
      <w:r>
        <w:rPr>
          <w:rFonts w:ascii="Calibri" w:cs="Calibri" w:eastAsia="Calibri" w:hAnsi="Calibri"/>
          <w:sz w:val="22"/>
          <w:szCs w:val="22"/>
        </w:rPr>
        <w:t xml:space="preserve">.</w:t>
      </w:r>
    </w:p>
    <w:p>
      <w:pPr>
        <w:pStyle w:val="Heading2"/>
        <w:spacing w:after="140" w:before="280"/>
      </w:pPr>
      <w:r>
        <w:rPr>
          <w:rFonts w:ascii="Calibri" w:cs="Calibri" w:eastAsia="Calibri" w:hAnsi="Calibri"/>
          <w:b/>
          <w:bCs/>
          <w:sz w:val="26"/>
          <w:szCs w:val="26"/>
        </w:rPr>
        <w:t xml:space="preserve">6.4 Public health: ultrametric epidemic modelling, multimorbidity and stratification</w:t>
      </w:r>
    </w:p>
    <w:p>
      <w:pPr>
        <w:spacing w:after="80" w:before="60" w:line="280"/>
        <w:ind w:left="360" w:hanging="360"/>
      </w:pPr>
      <w:r>
        <w:rPr>
          <w:rFonts w:ascii="Calibri" w:cs="Calibri" w:eastAsia="Calibri" w:hAnsi="Calibri"/>
          <w:sz w:val="22"/>
          <w:szCs w:val="22"/>
        </w:rPr>
        <w:t xml:space="preserve">Khrennikov, A., &amp; Oleschko, K. (2021). Ultrametric diffusion equation on energy landscape to model disease spread in hierarchic socially clustered population. Physica A. </w:t>
      </w:r>
      <w:hyperlink w:history="1" r:id="rIdvo7iir9svmgbrfdgrajw2">
        <w:r>
          <w:rPr>
            <w:rStyle w:val="Hyperlink"/>
            <w:rFonts w:ascii="Calibri" w:cs="Calibri" w:eastAsia="Calibri" w:hAnsi="Calibri"/>
            <w:sz w:val="22"/>
            <w:szCs w:val="22"/>
          </w:rPr>
          <w:t xml:space="preserve">PMC</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Khrennikov, A. (2020). Ultrametric model for spread of COVID-19 in socially clustered population (Sweden). </w:t>
      </w:r>
      <w:hyperlink w:history="1" r:id="rIdel5du-bmkenp8ph4nljit">
        <w:r>
          <w:rPr>
            <w:rStyle w:val="Hyperlink"/>
            <w:rFonts w:ascii="Calibri" w:cs="Calibri" w:eastAsia="Calibri" w:hAnsi="Calibri"/>
            <w:sz w:val="22"/>
            <w:szCs w:val="22"/>
          </w:rPr>
          <w:t xml:space="preserve">medRxiv</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Khrennikov, A. (2020). An ultrametric random walk model for disease spread. Entropy. </w:t>
      </w:r>
      <w:hyperlink w:history="1" r:id="rIdyvvvaozm9hu8jkl_lfl0o">
        <w:r>
          <w:rPr>
            <w:rStyle w:val="Hyperlink"/>
            <w:rFonts w:ascii="Calibri" w:cs="Calibri" w:eastAsia="Calibri" w:hAnsi="Calibri"/>
            <w:sz w:val="22"/>
            <w:szCs w:val="22"/>
          </w:rPr>
          <w:t xml:space="preserve">PMC</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Identifying multi-resolution clusters of diseases in ten million patients with multimorbidity in primary care in England (2024). Comm. Medicine. </w:t>
      </w:r>
      <w:hyperlink w:history="1" r:id="rId7rebbmhniwe8rwlwcxl9w">
        <w:r>
          <w:rPr>
            <w:rStyle w:val="Hyperlink"/>
            <w:rFonts w:ascii="Calibri" w:cs="Calibri" w:eastAsia="Calibri" w:hAnsi="Calibri"/>
            <w:sz w:val="22"/>
            <w:szCs w:val="22"/>
          </w:rPr>
          <w:t xml:space="preserve">Nature</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Systematic review and meta-analysis of disease clusters in multimorbidity (2025). Nature Communications. </w:t>
      </w:r>
      <w:hyperlink w:history="1" r:id="rIdvybir_j8hbv9zmmb3xkp6">
        <w:r>
          <w:rPr>
            <w:rStyle w:val="Hyperlink"/>
            <w:rFonts w:ascii="Calibri" w:cs="Calibri" w:eastAsia="Calibri" w:hAnsi="Calibri"/>
            <w:sz w:val="22"/>
            <w:szCs w:val="22"/>
          </w:rPr>
          <w:t xml:space="preserve">Nature</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Multimorbidity clusters: translating evidence into actionable interventions (2025). Eur. Geriatric Med. </w:t>
      </w:r>
      <w:hyperlink w:history="1" r:id="rIdvmp3vheuhkmla1y8yqjcc">
        <w:r>
          <w:rPr>
            <w:rStyle w:val="Hyperlink"/>
            <w:rFonts w:ascii="Calibri" w:cs="Calibri" w:eastAsia="Calibri" w:hAnsi="Calibri"/>
            <w:sz w:val="22"/>
            <w:szCs w:val="22"/>
          </w:rPr>
          <w:t xml:space="preserve">Springer</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Optimizing patient stratification in healthcare: comparative analysis of clustering algorithms for EHR data (2024). Int. J. Comp. Intell. Syst. </w:t>
      </w:r>
      <w:hyperlink w:history="1" r:id="rIdgqti4wwdbkarnipsbdfwy">
        <w:r>
          <w:rPr>
            <w:rStyle w:val="Hyperlink"/>
            <w:rFonts w:ascii="Calibri" w:cs="Calibri" w:eastAsia="Calibri" w:hAnsi="Calibri"/>
            <w:sz w:val="22"/>
            <w:szCs w:val="22"/>
          </w:rPr>
          <w:t xml:space="preserve">Springer</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Deep representation learning of EHRs to unlock patient stratification at scale (2020). npj Digital Medicine. </w:t>
      </w:r>
      <w:hyperlink w:history="1" r:id="rId_mntuhl2btvapsbytphuz">
        <w:r>
          <w:rPr>
            <w:rStyle w:val="Hyperlink"/>
            <w:rFonts w:ascii="Calibri" w:cs="Calibri" w:eastAsia="Calibri" w:hAnsi="Calibri"/>
            <w:sz w:val="22"/>
            <w:szCs w:val="22"/>
          </w:rPr>
          <w:t xml:space="preserve">Nature</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Explainable hierarchical clustering for patient subtyping and risk prediction (2024). </w:t>
      </w:r>
      <w:hyperlink w:history="1" r:id="rId1pk_mkm_tsjbmiuis_bfi">
        <w:r>
          <w:rPr>
            <w:rStyle w:val="Hyperlink"/>
            <w:rFonts w:ascii="Calibri" w:cs="Calibri" w:eastAsia="Calibri" w:hAnsi="Calibri"/>
            <w:sz w:val="22"/>
            <w:szCs w:val="22"/>
          </w:rPr>
          <w:t xml:space="preserve">PMC</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Phenotype clustering in health care: a narrative review for clinicians (2022). </w:t>
      </w:r>
      <w:hyperlink w:history="1" r:id="rIdugzp68e3r-cdmhmmw0aek">
        <w:r>
          <w:rPr>
            <w:rStyle w:val="Hyperlink"/>
            <w:rFonts w:ascii="Calibri" w:cs="Calibri" w:eastAsia="Calibri" w:hAnsi="Calibri"/>
            <w:sz w:val="22"/>
            <w:szCs w:val="22"/>
          </w:rPr>
          <w:t xml:space="preserve">PMC</w:t>
        </w:r>
      </w:hyperlink>
      <w:r>
        <w:rPr>
          <w:rFonts w:ascii="Calibri" w:cs="Calibri" w:eastAsia="Calibri" w:hAnsi="Calibri"/>
          <w:sz w:val="22"/>
          <w:szCs w:val="22"/>
        </w:rPr>
        <w:t xml:space="preserve">.</w:t>
      </w:r>
    </w:p>
    <w:p>
      <w:pPr>
        <w:spacing w:after="80" w:before="60" w:line="280"/>
        <w:ind w:left="360" w:hanging="360"/>
      </w:pPr>
      <w:r>
        <w:rPr>
          <w:rFonts w:ascii="Calibri" w:cs="Calibri" w:eastAsia="Calibri" w:hAnsi="Calibri"/>
          <w:sz w:val="22"/>
          <w:szCs w:val="22"/>
        </w:rPr>
        <w:t xml:space="preserve">Leyland, A. H., &amp; Groenewegen, P. P. (2020). Multilevel modelling for public health and health services research: multilevel data structures. NCBI Bookshelf. </w:t>
      </w:r>
      <w:hyperlink w:history="1" r:id="rIdipjcuyzbjiqk6vmwcntps">
        <w:r>
          <w:rPr>
            <w:rStyle w:val="Hyperlink"/>
            <w:rFonts w:ascii="Calibri" w:cs="Calibri" w:eastAsia="Calibri" w:hAnsi="Calibri"/>
            <w:sz w:val="22"/>
            <w:szCs w:val="22"/>
          </w:rPr>
          <w:t xml:space="preserve">NCBI</w:t>
        </w:r>
      </w:hyperlink>
      <w:r>
        <w:rPr>
          <w:rFonts w:ascii="Calibri" w:cs="Calibri" w:eastAsia="Calibri" w:hAnsi="Calibri"/>
          <w:sz w:val="22"/>
          <w:szCs w:val="22"/>
        </w:rPr>
        <w:t xml:space="preserv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i/>
      <w:i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cxq5nbocxmrieihuejvwk" Type="http://schemas.openxmlformats.org/officeDocument/2006/relationships/hyperlink" Target="https://epubs.siam.org/doi/10.1137/060676532" TargetMode="External"/><Relationship Id="rIdrhrsivaw09huc5ct344mv" Type="http://schemas.openxmlformats.org/officeDocument/2006/relationships/hyperlink" Target="https://link.springer.com/article/10.1134/S2070046612010062" TargetMode="External"/><Relationship Id="rIdk92suacva2nrff7q4qsyk" Type="http://schemas.openxmlformats.org/officeDocument/2006/relationships/hyperlink" Target="https://link.springer.com/chapter/10.1007/978-1-4939-0742-7_16" TargetMode="External"/><Relationship Id="rIdxmzwwv9d5fx65s8hvbazj" Type="http://schemas.openxmlformats.org/officeDocument/2006/relationships/hyperlink" Target="https://www.mdpi.com/2227-7390/14/8/1284" TargetMode="External"/><Relationship Id="rIdpvy3i8ha3_ty3dp0yde-r" Type="http://schemas.openxmlformats.org/officeDocument/2006/relationships/hyperlink" Target="https://link.springer.com/article/10.1007/s00357-025-09508-3" TargetMode="External"/><Relationship Id="rIdhsssa4mppjqzehtqsdkn6" Type="http://schemas.openxmlformats.org/officeDocument/2006/relationships/hyperlink" Target="https://papers.ssrn.com/sol3/papers.cfm?abstract_id=5326162" TargetMode="External"/><Relationship Id="rIdbyaujsl7hwmlau8wymjfa" Type="http://schemas.openxmlformats.org/officeDocument/2006/relationships/hyperlink" Target="https://pmc.ncbi.nlm.nih.gov/articles/PMC10772031/" TargetMode="External"/><Relationship Id="rIduhflhwx1zvpnmswydqcez" Type="http://schemas.openxmlformats.org/officeDocument/2006/relationships/hyperlink" Target="https://www.tandfonline.com/doi/full/10.1080/1750984X.2024.2309623" TargetMode="External"/><Relationship Id="rId2hazqh0eoieisqsy_cmrg" Type="http://schemas.openxmlformats.org/officeDocument/2006/relationships/hyperlink" Target="https://pmc.ncbi.nlm.nih.gov/articles/PMC12912669/" TargetMode="External"/><Relationship Id="rIdoi_nvy_jou5opz6bcyqe8" Type="http://schemas.openxmlformats.org/officeDocument/2006/relationships/hyperlink" Target="https://pmc.ncbi.nlm.nih.gov/articles/PMC11571061/" TargetMode="External"/><Relationship Id="rIdfsi5gq-90feikt2q4amm9" Type="http://schemas.openxmlformats.org/officeDocument/2006/relationships/hyperlink" Target="http://www.oxfordcroquet.com/tech/knockout3/What_is_the_Correct_Way_to_Seed_a_Knockout_Tournam.pdf" TargetMode="External"/><Relationship Id="rId1b0bn1ywx8qlkrhbmgkly" Type="http://schemas.openxmlformats.org/officeDocument/2006/relationships/hyperlink" Target="https://www.uni-heidelberg.de/md/awi/forschung/dp600.pdf" TargetMode="External"/><Relationship Id="rIdv3-_vxpex9fkshqjbfedu" Type="http://schemas.openxmlformats.org/officeDocument/2006/relationships/hyperlink" Target="https://www.stat.cmu.edu/cmsac/conference/2022/assets/pdf/ToukmajiChristopher.pdf" TargetMode="External"/><Relationship Id="rIdu0fhw3s1u2w0xspkknxwe" Type="http://schemas.openxmlformats.org/officeDocument/2006/relationships/hyperlink" Target="https://pmc.ncbi.nlm.nih.gov/articles/PMC8294751/" TargetMode="External"/><Relationship Id="rIdfcq23jim5tnbbqfmitpyu" Type="http://schemas.openxmlformats.org/officeDocument/2006/relationships/hyperlink" Target="https://pmc.ncbi.nlm.nih.gov/articles/PMC7597204/" TargetMode="External"/><Relationship Id="rId61xk7_3dwdo2ewn5u5h6g" Type="http://schemas.openxmlformats.org/officeDocument/2006/relationships/hyperlink" Target="https://www.medrxiv.org/content/10.1101/2020.07.15.20154419v1.full" TargetMode="External"/><Relationship Id="rIdtojzttbicudihefkfyysr" Type="http://schemas.openxmlformats.org/officeDocument/2006/relationships/hyperlink" Target="https://www.nature.com/articles/s41467-025-67372-6" TargetMode="External"/><Relationship Id="rIdbgps6hido3lumqovphlsh" Type="http://schemas.openxmlformats.org/officeDocument/2006/relationships/hyperlink" Target="https://www.nature.com/articles/s43856-024-00529-4" TargetMode="External"/><Relationship Id="rIdaa1r3yprtkwpgdwufh6le" Type="http://schemas.openxmlformats.org/officeDocument/2006/relationships/hyperlink" Target="https://link.springer.com/article/10.1007/s41999-025-01270-4" TargetMode="External"/><Relationship Id="rId-ihpianr-yhqrqskl2dwv" Type="http://schemas.openxmlformats.org/officeDocument/2006/relationships/hyperlink" Target="https://link.springer.com/article/10.1007/s44196-024-00568-8" TargetMode="External"/><Relationship Id="rIdxxztuqhrqfpp4ek8qcwg5" Type="http://schemas.openxmlformats.org/officeDocument/2006/relationships/hyperlink" Target="https://www.nature.com/articles/s41746-020-0301-z" TargetMode="External"/><Relationship Id="rIdnvboyd_r_tzt1szhyqap2" Type="http://schemas.openxmlformats.org/officeDocument/2006/relationships/hyperlink" Target="https://pmc.ncbi.nlm.nih.gov/articles/PMC10854470/" TargetMode="External"/><Relationship Id="rIdbbqe5it4au92gqb1axafh" Type="http://schemas.openxmlformats.org/officeDocument/2006/relationships/hyperlink" Target="https://pmc.ncbi.nlm.nih.gov/articles/PMC9411746/" TargetMode="External"/><Relationship Id="rIdcom_ogrnjy51jalmjeedn" Type="http://schemas.openxmlformats.org/officeDocument/2006/relationships/hyperlink" Target="https://www.ncbi.nlm.nih.gov/books/NBK565716/" TargetMode="External"/><Relationship Id="rIdqji-jyxc9r5r7k4bfswtx" Type="http://schemas.openxmlformats.org/officeDocument/2006/relationships/hyperlink" Target="https://epubs.siam.org/doi/10.1137/060676532" TargetMode="External"/><Relationship Id="rId3w1atk6m0eyoq3kl-w6ws" Type="http://schemas.openxmlformats.org/officeDocument/2006/relationships/hyperlink" Target="https://link.springer.com/article/10.1134/S2070046612010062" TargetMode="External"/><Relationship Id="rIdgoiz_or77ewrgu9tacwdt" Type="http://schemas.openxmlformats.org/officeDocument/2006/relationships/hyperlink" Target="https://link.springer.com/chapter/10.1007/978-1-4939-0742-7_16" TargetMode="External"/><Relationship Id="rIdd7i4myxruczhmxvj_odsn" Type="http://schemas.openxmlformats.org/officeDocument/2006/relationships/hyperlink" Target="https://link.springer.com/article/10.1134/S0081543809020175" TargetMode="External"/><Relationship Id="rId2pzsvaggz1xuydx2_ccrl" Type="http://schemas.openxmlformats.org/officeDocument/2006/relationships/hyperlink" Target="https://www.mdpi.com/2227-7390/14/8/1284" TargetMode="External"/><Relationship Id="rId6pcuauyxwzkfymk02fwlc" Type="http://schemas.openxmlformats.org/officeDocument/2006/relationships/hyperlink" Target="https://link.springer.com/article/10.1007/s00357-025-09508-3" TargetMode="External"/><Relationship Id="rIdwjdnouyzb_evfjrvxf_ps" Type="http://schemas.openxmlformats.org/officeDocument/2006/relationships/hyperlink" Target="https://papers.ssrn.com/sol3/papers.cfm?abstract_id=5326162" TargetMode="External"/><Relationship Id="rIdxkv7oiymju1tp_e5kiz_l" Type="http://schemas.openxmlformats.org/officeDocument/2006/relationships/hyperlink" Target="https://pmc.ncbi.nlm.nih.gov/articles/PMC10772031/" TargetMode="External"/><Relationship Id="rIdt0jzbskm7ldx21vuajvx1" Type="http://schemas.openxmlformats.org/officeDocument/2006/relationships/hyperlink" Target="https://www.tandfonline.com/doi/full/10.1080/1750984X.2024.2309623" TargetMode="External"/><Relationship Id="rIdymv7rhixcoj2vfmp2wvla" Type="http://schemas.openxmlformats.org/officeDocument/2006/relationships/hyperlink" Target="https://pmc.ncbi.nlm.nih.gov/articles/PMC12912669/" TargetMode="External"/><Relationship Id="rIdorpymggt3lmfclbnpxhms" Type="http://schemas.openxmlformats.org/officeDocument/2006/relationships/hyperlink" Target="https://pmc.ncbi.nlm.nih.gov/articles/PMC11571061/" TargetMode="External"/><Relationship Id="rIdfqqckrhay04flxxrbrxpx" Type="http://schemas.openxmlformats.org/officeDocument/2006/relationships/hyperlink" Target="http://www.oxfordcroquet.com/tech/knockout3/What_is_the_Correct_Way_to_Seed_a_Knockout_Tournam.pdf" TargetMode="External"/><Relationship Id="rId_thmkynqdewqqahl7cung" Type="http://schemas.openxmlformats.org/officeDocument/2006/relationships/hyperlink" Target="https://www.uni-heidelberg.de/md/awi/forschung/dp600.pdf" TargetMode="External"/><Relationship Id="rIdae_pdwmqxxtsfv8q2lik-" Type="http://schemas.openxmlformats.org/officeDocument/2006/relationships/hyperlink" Target="https://www.stat.cmu.edu/cmsac/conference/2022/assets/pdf/ToukmajiChristopher.pdf" TargetMode="External"/><Relationship Id="rIdf994adcx7jsuobyfbiuku" Type="http://schemas.openxmlformats.org/officeDocument/2006/relationships/hyperlink" Target="https://arxiv.org/html/2508.19848" TargetMode="External"/><Relationship Id="rId0mvawvbt5etv3whv7yo-r" Type="http://schemas.openxmlformats.org/officeDocument/2006/relationships/hyperlink" Target="https://arxiv.org/pdf/2405.05281" TargetMode="External"/><Relationship Id="rIdvo7iir9svmgbrfdgrajw2" Type="http://schemas.openxmlformats.org/officeDocument/2006/relationships/hyperlink" Target="https://pmc.ncbi.nlm.nih.gov/articles/PMC8294751/" TargetMode="External"/><Relationship Id="rIdel5du-bmkenp8ph4nljit" Type="http://schemas.openxmlformats.org/officeDocument/2006/relationships/hyperlink" Target="https://www.medrxiv.org/content/10.1101/2020.07.15.20154419v1.full" TargetMode="External"/><Relationship Id="rIdyvvvaozm9hu8jkl_lfl0o" Type="http://schemas.openxmlformats.org/officeDocument/2006/relationships/hyperlink" Target="https://pmc.ncbi.nlm.nih.gov/articles/PMC7597204/" TargetMode="External"/><Relationship Id="rId7rebbmhniwe8rwlwcxl9w" Type="http://schemas.openxmlformats.org/officeDocument/2006/relationships/hyperlink" Target="https://www.nature.com/articles/s43856-024-00529-4" TargetMode="External"/><Relationship Id="rIdvybir_j8hbv9zmmb3xkp6" Type="http://schemas.openxmlformats.org/officeDocument/2006/relationships/hyperlink" Target="https://www.nature.com/articles/s41467-025-67372-6" TargetMode="External"/><Relationship Id="rIdvmp3vheuhkmla1y8yqjcc" Type="http://schemas.openxmlformats.org/officeDocument/2006/relationships/hyperlink" Target="https://link.springer.com/article/10.1007/s41999-025-01270-4" TargetMode="External"/><Relationship Id="rIdgqti4wwdbkarnipsbdfwy" Type="http://schemas.openxmlformats.org/officeDocument/2006/relationships/hyperlink" Target="https://link.springer.com/article/10.1007/s44196-024-00568-8" TargetMode="External"/><Relationship Id="rId_mntuhl2btvapsbytphuz" Type="http://schemas.openxmlformats.org/officeDocument/2006/relationships/hyperlink" Target="https://www.nature.com/articles/s41746-020-0301-z" TargetMode="External"/><Relationship Id="rId1pk_mkm_tsjbmiuis_bfi" Type="http://schemas.openxmlformats.org/officeDocument/2006/relationships/hyperlink" Target="https://pmc.ncbi.nlm.nih.gov/articles/PMC10854470/" TargetMode="External"/><Relationship Id="rIdugzp68e3r-cdmhmmw0aek" Type="http://schemas.openxmlformats.org/officeDocument/2006/relationships/hyperlink" Target="https://pmc.ncbi.nlm.nih.gov/articles/PMC9411746/" TargetMode="External"/><Relationship Id="rIdipjcuyzbjiqk6vmwcntps" Type="http://schemas.openxmlformats.org/officeDocument/2006/relationships/hyperlink" Target="https://www.ncbi.nlm.nih.gov/books/NBK565716/" TargetMode="External"/><Relationship Id="rId5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2026-04-29T16:03:59.845Z</dcterms:created>
  <dcterms:modified xsi:type="dcterms:W3CDTF">2026-04-29T16:03:59.847Z</dcterms:modified>
</cp:coreProperties>
</file>

<file path=docProps/custom.xml><?xml version="1.0" encoding="utf-8"?>
<Properties xmlns="http://schemas.openxmlformats.org/officeDocument/2006/custom-properties" xmlns:vt="http://schemas.openxmlformats.org/officeDocument/2006/docPropsVTypes"/>
</file>