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Research Protocol: Hierarchy-Respecting Clustering of NHS Trusts and Welsh LSOAs via the PEF / p-adic Framework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Parallel pilot studies — NHS-SOF (England, ~150 trusts) and WIMD 2019 (Wales, 1,909 LSOAs)</w:t>
      </w:r>
    </w:p>
    <w:p>
      <w:pPr>
        <w:spacing w:after="360" w:before="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Version 0.1 — April 2026 — Working draft for internal review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1. Executive summary</w:t>
      </w:r>
    </w:p>
    <w:p>
      <w:pPr>
        <w:spacing w:after="12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protocol specifies two parallel 12-week pilot studies to test whether hierarchy-respecting clustering, built on the Paired Efficiency Factor (PEF) and p-adic distance, outperforms the Euclidean clustering methods that currently dominate the multimorbidity, patient stratification, and provider-benchmarking literatures. Pilot A clusters NHS Trusts in England using ~30 publicly released System Oversight Framework metrics across ~5 years. Pilot B clusters 1,909 Welsh Lower Layer Super Output Areas (LSOAs) across the seven Welsh Index of Multiple Deprivation (WIMD 2019) domains. Both pilots share a methodology — per-metric PEF estimation, quadrant-based abs/rel decisions, information-content weighting, and p-adic clustering — and produce one paper draft each by week 12. Pilot A is targeted at BMJ Quality &amp; Safety or Health Services Research; Pilot B at Lancet Public Health or Health &amp; Place. The pilots collectively also generate the empirical inputs for a subsequent theoretical paper bridging PEF, p-adic clustering and Khrennikov's ultrametric epidemic modelling.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2. Background and rationale</w:t>
      </w:r>
    </w:p>
    <w:p>
      <w:pPr>
        <w:spacing w:after="12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companion p-adic clustering pipeline has been validated on professional rugby union (n = 1,128 matches, 16 teams, 4 seasons), achieving a silhouette score of 0.7083 — a 126.7% improvement over an absolute-metric baseline and approximately 73% of the ceiling estimated from a perfectly hierarchical synthetic system. The pipeline rests on (a) hierarchical encoding of categorical features as base-p digits with information-content weighting; (b) p-adic distance, which respects the ultrametric inequality d(A, C) ≤ max{d(A, B), d(B, C)} and so honours nested hierarchy by construction; and (c) the abs/rel synthesis, which combines absolute metrics (intrinsic capability) with relative metrics (competitive standing).</w:t>
      </w:r>
    </w:p>
    <w:p>
      <w:pPr>
        <w:spacing w:after="12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Paired Efficiency Factor framework formalises the abs/rel choice. PEF generalises Fisher's classical paired-efficiency formula to unequal variances:</w:t>
      </w:r>
    </w:p>
    <w:p>
      <w:pPr>
        <w:spacing w:after="120" w:before="60" w:line="300"/>
        <w:jc w:val="left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   η = (1 + κ) / (1 + κ − 2√κ ρ)</w:t>
      </w:r>
    </w:p>
    <w:p>
      <w:pPr>
        <w:spacing w:after="12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where κ = σ²_B / σ²_A is the variance ratio and ρ is the within-pair correlation. η &gt; 1 means relative features reduce variance over absolute features; η &lt; 1 means relativisation increases variance, but rel can still be predictively superior if the information content I(X; Y) under a Gaussian discriminant model justifies it (the efficiency–power tension). Sport KPIs span all four (κ, ρ) quadrants; the rugby silhouette result is a worked Q4 demonstration. PEF's cross-domain validation reports η = 2.533 in NHANES blood-pressure data and η = 2.70 in GEO-GSE47462 paired transcriptomics, suggesting healthcare and population-health pairings sit dominantly in Q1/Q2.</w:t>
      </w:r>
    </w:p>
    <w:p>
      <w:pPr>
        <w:spacing w:after="12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Both pilots in this protocol exploit hierarchical structure that the existing literature treats with hierarchy-blind methods. Multimorbidity clustering and patient stratification overwhelmingly use Ward's-with-Euclidean, k-means, GMM, latent class analysis, network methods, and increasingly deep representations — none of which honour the nested geographic / organisational hierarchy that the data is generated within. PEF supplies the formal mechanism for choosing abs vs. rel per metric; p-adic clustering supplies the hierarchy-respecting distance metric on the resulting categorical encoding. The pilots together test whether this combination yields better-separated, more interpretable, and more outcome-predictive clusters than the Euclidean status quo.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3. Aims, research objectives and hypotheses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3.1 Aims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To test whether per-metric PEF-driven abs/rel decisions plus p-adic clustering outperform standard Euclidean clustering methods on two publicly available healthcare-relevant datasets.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To produce two pilot paper drafts (one per dataset) within 12 weeks, ready for internal review and external submission shortly thereafter.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To generate the empirical (κ̂, ρ̂) estimates and cluster structures that anchor a subsequent theoretical synthesis with Khrennikov's ultrametric-diffusion epidemic model.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3.2 Primary research objectives (SMART)</w:t>
      </w:r>
    </w:p>
    <w:p>
      <w:pPr>
        <w:pStyle w:val="ListParagraph"/>
        <w:numPr>
          <w:ilvl w:val="0"/>
          <w:numId w:val="3"/>
        </w:numPr>
        <w:spacing w:after="80" w:before="4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PO1. </w:t>
      </w:r>
      <w:r>
        <w:rPr>
          <w:rFonts w:ascii="Calibri" w:cs="Calibri" w:eastAsia="Calibri" w:hAnsi="Calibri"/>
          <w:sz w:val="22"/>
          <w:szCs w:val="22"/>
        </w:rPr>
        <w:t xml:space="preserve">Estimate per-metric PEF (κ̂, ρ̂, η̂, I(X;Y)) for all NHS-SOF metrics under within-region and across-region trust pairings, and for all WIMD domains under within-LA and across-LA LSOA pairings, by end of week 4.</w:t>
      </w:r>
    </w:p>
    <w:p>
      <w:pPr>
        <w:pStyle w:val="ListParagraph"/>
        <w:numPr>
          <w:ilvl w:val="0"/>
          <w:numId w:val="3"/>
        </w:numPr>
        <w:spacing w:after="80" w:before="4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PO2. </w:t>
      </w:r>
      <w:r>
        <w:rPr>
          <w:rFonts w:ascii="Calibri" w:cs="Calibri" w:eastAsia="Calibri" w:hAnsi="Calibri"/>
          <w:sz w:val="22"/>
          <w:szCs w:val="22"/>
        </w:rPr>
        <w:t xml:space="preserve">Construct PEF-quadrant-aware p-adic encodings for both pilots, with abs vs. rel chosen per metric by quadrant placement and digit weights set by I(X;Y), and run prime sweep p ∈ {2,3,5,7,11,13} with k ∈ {2..15} by end of week 7.</w:t>
      </w:r>
    </w:p>
    <w:p>
      <w:pPr>
        <w:pStyle w:val="ListParagraph"/>
        <w:numPr>
          <w:ilvl w:val="0"/>
          <w:numId w:val="3"/>
        </w:numPr>
        <w:spacing w:after="80" w:before="4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PO3. </w:t>
      </w:r>
      <w:r>
        <w:rPr>
          <w:rFonts w:ascii="Calibri" w:cs="Calibri" w:eastAsia="Calibri" w:hAnsi="Calibri"/>
          <w:sz w:val="22"/>
          <w:szCs w:val="22"/>
        </w:rPr>
        <w:t xml:space="preserve">Compare clustering quality (silhouette, Davies–Bouldin, bootstrap stability via Jaccard) against three baselines — Ward's-Euclidean, k-means, Gaussian mixture — at parity on the same feature set, by end of week 9.</w:t>
      </w:r>
    </w:p>
    <w:p>
      <w:pPr>
        <w:pStyle w:val="ListParagraph"/>
        <w:numPr>
          <w:ilvl w:val="0"/>
          <w:numId w:val="3"/>
        </w:numPr>
        <w:spacing w:after="80" w:before="4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PO4. </w:t>
      </w:r>
      <w:r>
        <w:rPr>
          <w:rFonts w:ascii="Calibri" w:cs="Calibri" w:eastAsia="Calibri" w:hAnsi="Calibri"/>
          <w:sz w:val="22"/>
          <w:szCs w:val="22"/>
        </w:rPr>
        <w:t xml:space="preserve">Validate cluster membership as a predictor of one external outcome per pilot (NHS-SOF: standardised mortality ratio or Care Quality Commission rating; WIMD: emergency admission rate or healthy life expectancy) by end of week 10.</w:t>
      </w:r>
    </w:p>
    <w:p>
      <w:pPr>
        <w:pStyle w:val="ListParagraph"/>
        <w:numPr>
          <w:ilvl w:val="0"/>
          <w:numId w:val="3"/>
        </w:numPr>
        <w:spacing w:after="80" w:before="4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PO5. </w:t>
      </w:r>
      <w:r>
        <w:rPr>
          <w:rFonts w:ascii="Calibri" w:cs="Calibri" w:eastAsia="Calibri" w:hAnsi="Calibri"/>
          <w:sz w:val="22"/>
          <w:szCs w:val="22"/>
        </w:rPr>
        <w:t xml:space="preserve">Deliver two pilot paper first drafts (Pilot A: NHS-SOF; Pilot B: WIMD) ready for internal review by end of week 12.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3.3 Secondary objectives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SO1. </w:t>
      </w:r>
      <w:r>
        <w:rPr>
          <w:rFonts w:ascii="Calibri" w:cs="Calibri" w:eastAsia="Calibri" w:hAnsi="Calibri"/>
          <w:sz w:val="22"/>
          <w:szCs w:val="22"/>
        </w:rPr>
        <w:t xml:space="preserve">Develop and document a reusable Python pipeline (PEF estimation → quadrant placement → p-adic encoding → clustering → validation) shared across both pilots and reusable for downstream work (talent pathways, tournament analysis, Khrennikov bridge).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SO2. </w:t>
      </w:r>
      <w:r>
        <w:rPr>
          <w:rFonts w:ascii="Calibri" w:cs="Calibri" w:eastAsia="Calibri" w:hAnsi="Calibri"/>
          <w:sz w:val="22"/>
          <w:szCs w:val="22"/>
        </w:rPr>
        <w:t xml:space="preserve">Pre-register both analyses on OSF before week 4 to lock the analysis plan and demonstrate methodological rigour.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SO3. </w:t>
      </w:r>
      <w:r>
        <w:rPr>
          <w:rFonts w:ascii="Calibri" w:cs="Calibri" w:eastAsia="Calibri" w:hAnsi="Calibri"/>
          <w:sz w:val="22"/>
          <w:szCs w:val="22"/>
        </w:rPr>
        <w:t xml:space="preserve">Identify and characterise policy-relevant outliers — trusts that diverge from peer clusters in unexpected ways, LSOAs with cluster signatures that contradict their headline WIMD rank — for use in the discussion sections.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SO4. </w:t>
      </w:r>
      <w:r>
        <w:rPr>
          <w:rFonts w:ascii="Calibri" w:cs="Calibri" w:eastAsia="Calibri" w:hAnsi="Calibri"/>
          <w:sz w:val="22"/>
          <w:szCs w:val="22"/>
        </w:rPr>
        <w:t xml:space="preserve">Produce internal data audit reports and reproducibility scripts deposited alongside the analysis code.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3.4 Hypotheses</w:t>
      </w:r>
    </w:p>
    <w:p>
      <w:pPr>
        <w:spacing w:after="12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All hypotheses are testable on the data described in §4 and use the analytic procedures in §5.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H1 (NHS-SOF, quadrant drift). </w:t>
      </w:r>
      <w:r>
        <w:rPr>
          <w:rFonts w:ascii="Calibri" w:cs="Calibri" w:eastAsia="Calibri" w:hAnsi="Calibri"/>
          <w:sz w:val="22"/>
          <w:szCs w:val="22"/>
        </w:rPr>
        <w:t xml:space="preserve">Within-region trust pairings have systematically higher η than across-region trust pairings (mean-difference test, Wilcoxon signed-rank). Predicted direction: within-region in Q1/Q2; across-region in Q3/Q4.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H2 (NHS-SOF, clustering quality). </w:t>
      </w:r>
      <w:r>
        <w:rPr>
          <w:rFonts w:ascii="Calibri" w:cs="Calibri" w:eastAsia="Calibri" w:hAnsi="Calibri"/>
          <w:sz w:val="22"/>
          <w:szCs w:val="22"/>
        </w:rPr>
        <w:t xml:space="preserve">PEF-weighted p-adic clustering achieves silhouette ≥ 0.15 above Ward's-Euclidean baseline at the same k, evaluated by paired bootstrap (10 000 resamples).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H3 (NHS-SOF, outcome validation). </w:t>
      </w:r>
      <w:r>
        <w:rPr>
          <w:rFonts w:ascii="Calibri" w:cs="Calibri" w:eastAsia="Calibri" w:hAnsi="Calibri"/>
          <w:sz w:val="22"/>
          <w:szCs w:val="22"/>
        </w:rPr>
        <w:t xml:space="preserve">Cluster membership predicts standardised mortality ratio (or CQC rating) above a null model of region + size, with AUC improvement ≥ 0.05 by 5-fold CV.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H4 (WIMD, quadrant drift). </w:t>
      </w:r>
      <w:r>
        <w:rPr>
          <w:rFonts w:ascii="Calibri" w:cs="Calibri" w:eastAsia="Calibri" w:hAnsi="Calibri"/>
          <w:sz w:val="22"/>
          <w:szCs w:val="22"/>
        </w:rPr>
        <w:t xml:space="preserve">Within-LA domain pairings sit in Q1/Q2 (η &gt; 1); across-LA pairings drift toward Q3/Q4 (η ≤ 1). Tested by stratified PEF estimation.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H5 (WIMD, encoding). </w:t>
      </w:r>
      <w:r>
        <w:rPr>
          <w:rFonts w:ascii="Calibri" w:cs="Calibri" w:eastAsia="Calibri" w:hAnsi="Calibri"/>
          <w:sz w:val="22"/>
          <w:szCs w:val="22"/>
        </w:rPr>
        <w:t xml:space="preserve">Level-conditional p-adic encoding (rel within LA, abs across) achieves silhouette &gt; flat encoding (uniform abs or uniform rel) by ≥ 0.10.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H6 (WIMD, outcome validation). </w:t>
      </w:r>
      <w:r>
        <w:rPr>
          <w:rFonts w:ascii="Calibri" w:cs="Calibri" w:eastAsia="Calibri" w:hAnsi="Calibri"/>
          <w:sz w:val="22"/>
          <w:szCs w:val="22"/>
        </w:rPr>
        <w:t xml:space="preserve">Cluster membership predicts emergency admission rate or healthy life expectancy above the official WIMD quintile, with R² improvement ≥ 0.05 in OLS regression.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4. Data sources and acquisition plan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4.1 Pilot A — NHS System Oversight Framework</w:t>
      </w:r>
    </w:p>
    <w:p>
      <w:pPr>
        <w:spacing w:after="12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NHS England publishes the System Oversight Framework (SOF) annually, segmenting Trusts into four oversight tiers and reporting underlying metrics across five domains: quality of care, access, finance and use of resources, leadership and capability, people, and local strategic priorities. The protocol uses the publicly released aggregate metric set; trust-level granular metrics where available; and supplementary public data from NHS Digital and Hospital Episode Statistics for outcome validation.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Table 1. Pilot A data inventory.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2200"/>
        <w:gridCol w:w="1460"/>
      </w:tblGrid>
      <w:tr>
        <w:trPr>
          <w:tblHeader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Granularity</w:t>
            </w:r>
          </w:p>
        </w:tc>
        <w:tc>
          <w:tcPr>
            <w:tcW w:type="dxa" w:w="1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Period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SOF tier classifications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NHS England (annual publication)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Trust × year</w:t>
            </w:r>
          </w:p>
        </w:tc>
        <w:tc>
          <w:tcPr>
            <w:tcW w:type="dxa" w:w="1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2021/22 – 2024/25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Underlying metric set (~30)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NHS Digital benchmarking + SOF underlying data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Trust × metric × year</w:t>
            </w:r>
          </w:p>
        </w:tc>
        <w:tc>
          <w:tcPr>
            <w:tcW w:type="dxa" w:w="1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2019/20 – 2024/25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Region / ICS membership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NHS England Provider Directory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Trust → ICS → region</w:t>
            </w:r>
          </w:p>
        </w:tc>
        <w:tc>
          <w:tcPr>
            <w:tcW w:type="dxa" w:w="1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Current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Trust attributes (size, type)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NHS England Provider Directory + ERIC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Trust × year</w:t>
            </w:r>
          </w:p>
        </w:tc>
        <w:tc>
          <w:tcPr>
            <w:tcW w:type="dxa" w:w="1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2019/20 – 2024/25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Standardised mortality (SHMI)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NHS Digital SHMI publication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Trust × quarter</w:t>
            </w:r>
          </w:p>
        </w:tc>
        <w:tc>
          <w:tcPr>
            <w:tcW w:type="dxa" w:w="1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2019 – 2025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CQC rating (validation)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CQC public ratings register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Trust × inspection</w:t>
            </w:r>
          </w:p>
        </w:tc>
        <w:tc>
          <w:tcPr>
            <w:tcW w:type="dxa" w:w="1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2019 – 2025</w:t>
            </w:r>
          </w:p>
        </w:tc>
      </w:tr>
    </w:tbl>
    <w:p>
      <w:pPr>
        <w:spacing w:after="12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Acquisition pathway: scripted download from NHS Digital and NHS England open-data endpoints; no DARS application required for SOF or aggregated benchmarking metrics. Trust-level identifiers harmonised against ODS (Organisation Data Service) codes. Estimated dataset footprint after cleaning: ~150 trusts × ~30 metrics × 5 years = ~22,500 cells, comparable to the rugby pipeline (1,128 matches × 16 teams).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4.2 Pilot B — WIMD 2019 (Welsh Index of Multiple Deprivation)</w:t>
      </w:r>
    </w:p>
    <w:p>
      <w:pPr>
        <w:spacing w:after="12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WIMD 2019 covers all 1,909 LSOAs in Wales across seven domains (income, employment, health, education, access to services, housing, community safety). Per-domain and overall scores, ranks, and quintiles are publicly available from StatsWales. Outcome validation uses publicly released health metrics at LSOA or local-authority level.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Table 2. Pilot B data inventory.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2200"/>
        <w:gridCol w:w="1460"/>
      </w:tblGrid>
      <w:tr>
        <w:trPr>
          <w:tblHeader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Granularity</w:t>
            </w:r>
          </w:p>
        </w:tc>
        <w:tc>
          <w:tcPr>
            <w:tcW w:type="dxa" w:w="1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Period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WIMD 2019 domain scores and ranks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StatsWales / Welsh Government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LSOA × 7 domains</w:t>
            </w:r>
          </w:p>
        </w:tc>
        <w:tc>
          <w:tcPr>
            <w:tcW w:type="dxa" w:w="1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2019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WIMD 2014 (temporal comparison, optional)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StatsWales archive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LSOA × 7 domains</w:t>
            </w:r>
          </w:p>
        </w:tc>
        <w:tc>
          <w:tcPr>
            <w:tcW w:type="dxa" w:w="1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2014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LSOA → LA → health board mapping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ONS Geography Portal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LSOA → LA → HB</w:t>
            </w:r>
          </w:p>
        </w:tc>
        <w:tc>
          <w:tcPr>
            <w:tcW w:type="dxa" w:w="1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Current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Emergency admission rates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StatsWales / PHW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LSOA or LA × year</w:t>
            </w:r>
          </w:p>
        </w:tc>
        <w:tc>
          <w:tcPr>
            <w:tcW w:type="dxa" w:w="1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2019 – 2024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Healthy life expectancy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ONS / PHW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× year</w:t>
            </w:r>
          </w:p>
        </w:tc>
        <w:tc>
          <w:tcPr>
            <w:tcW w:type="dxa" w:w="1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2019 – 2024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SAIL linkage (if access secured)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SAIL Databank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Patient × LSOA × event</w:t>
            </w:r>
          </w:p>
        </w:tc>
        <w:tc>
          <w:tcPr>
            <w:tcW w:type="dxa" w:w="1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Conditional</w:t>
            </w:r>
          </w:p>
        </w:tc>
      </w:tr>
    </w:tbl>
    <w:p>
      <w:pPr>
        <w:spacing w:after="12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Acquisition pathway: scripted download from StatsWales (CSV/JSON endpoints); ONS Geography Portal lookups. SAIL linkage requires a separate access application — initiated week 1 in case it lands in time for outcome validation in weeks 9–10; if not, the public outcome data above is sufficient for the primary validation.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4.3 Data governance, ethics and reproducibility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Both pilots use only publicly available, aggregate, non-identifiable data; no NHS Research Ethics Committee approval required. Information-governance review documented in the protocol.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SAIL linkage (Pilot B, optional outcome validation) requires SAIL's standard application process and Information Governance Review Panel (IGRP) approval. Application submitted week 1; assume 6–10 week turnaround.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Code, data ingestion scripts, and analysis pipelines version-controlled in a private GitHub repository; published openly under MIT licence on first paper acceptance.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Random seeds fixed for reproducibility; full configuration files stored alongside outputs.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5. Analytical methods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5.1 Shared pipeline</w:t>
      </w:r>
    </w:p>
    <w:p>
      <w:pPr>
        <w:pStyle w:val="ListParagraph"/>
        <w:numPr>
          <w:ilvl w:val="0"/>
          <w:numId w:val="3"/>
        </w:numPr>
        <w:spacing w:after="80" w:before="4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 — Data ingestion and cleaning. </w:t>
      </w:r>
      <w:r>
        <w:rPr>
          <w:rFonts w:ascii="Calibri" w:cs="Calibri" w:eastAsia="Calibri" w:hAnsi="Calibri"/>
          <w:sz w:val="22"/>
          <w:szCs w:val="22"/>
        </w:rPr>
        <w:t xml:space="preserve">Standardise trust / LSOA identifiers; impute missing values (median within stratum, sensitivity-tested with multiple imputation); winsorise extreme outliers at 1st/99th percentiles for variance estimation only.</w:t>
      </w:r>
    </w:p>
    <w:p>
      <w:pPr>
        <w:pStyle w:val="ListParagraph"/>
        <w:numPr>
          <w:ilvl w:val="0"/>
          <w:numId w:val="3"/>
        </w:numPr>
        <w:spacing w:after="80" w:before="4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2 — Per-metric PEF estimation. </w:t>
      </w:r>
      <w:r>
        <w:rPr>
          <w:rFonts w:ascii="Calibri" w:cs="Calibri" w:eastAsia="Calibri" w:hAnsi="Calibri"/>
          <w:sz w:val="22"/>
          <w:szCs w:val="22"/>
        </w:rPr>
        <w:t xml:space="preserve">For each metric and each pairing scheme (within-region / across-region in Pilot A; within-LA / across-LA in Pilot B), estimate (κ̂, ρ̂) by sample variance ratio and Pearson correlation; compute η = (1+κ)/(1+κ − 2√κ ρ); place metric in (κ, ρ) quadrant.</w:t>
      </w:r>
    </w:p>
    <w:p>
      <w:pPr>
        <w:pStyle w:val="ListParagraph"/>
        <w:numPr>
          <w:ilvl w:val="0"/>
          <w:numId w:val="3"/>
        </w:numPr>
        <w:spacing w:after="80" w:before="4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3 — Information content. </w:t>
      </w:r>
      <w:r>
        <w:rPr>
          <w:rFonts w:ascii="Calibri" w:cs="Calibri" w:eastAsia="Calibri" w:hAnsi="Calibri"/>
          <w:sz w:val="22"/>
          <w:szCs w:val="22"/>
        </w:rPr>
        <w:t xml:space="preserve">Estimate I(X_k; Y) per metric via the Gaussian-discriminant closed form from the PEF–information-content relationship, using the pilot-specific outcome label Y.</w:t>
      </w:r>
    </w:p>
    <w:p>
      <w:pPr>
        <w:pStyle w:val="ListParagraph"/>
        <w:numPr>
          <w:ilvl w:val="0"/>
          <w:numId w:val="3"/>
        </w:numPr>
        <w:spacing w:after="80" w:before="4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4 — Quadrant-aware abs/rel choice. </w:t>
      </w:r>
      <w:r>
        <w:rPr>
          <w:rFonts w:ascii="Calibri" w:cs="Calibri" w:eastAsia="Calibri" w:hAnsi="Calibri"/>
          <w:sz w:val="22"/>
          <w:szCs w:val="22"/>
        </w:rPr>
        <w:t xml:space="preserve">Q1 / Q2: use rel. Q3: use abs. Q4: use rel if I(X; Y)_rel &gt; I(X; Y)_abs; otherwise abs.</w:t>
      </w:r>
    </w:p>
    <w:p>
      <w:pPr>
        <w:pStyle w:val="ListParagraph"/>
        <w:numPr>
          <w:ilvl w:val="0"/>
          <w:numId w:val="3"/>
        </w:numPr>
        <w:spacing w:after="80" w:before="4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5 — p-adic encoding. </w:t>
      </w:r>
      <w:r>
        <w:rPr>
          <w:rFonts w:ascii="Calibri" w:cs="Calibri" w:eastAsia="Calibri" w:hAnsi="Calibri"/>
          <w:sz w:val="22"/>
          <w:szCs w:val="22"/>
        </w:rPr>
        <w:t xml:space="preserve">Categorise each chosen feature into 2^p quantile bins; encode as a base-p digit; weight each digit by its I(X_k; Y) (replacing the original heuristic exponential weights). Resulting encoding is a fixed-precision base-p number per entity.</w:t>
      </w:r>
    </w:p>
    <w:p>
      <w:pPr>
        <w:pStyle w:val="ListParagraph"/>
        <w:numPr>
          <w:ilvl w:val="0"/>
          <w:numId w:val="3"/>
        </w:numPr>
        <w:spacing w:after="80" w:before="4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6 — p-adic clustering. </w:t>
      </w:r>
      <w:r>
        <w:rPr>
          <w:rFonts w:ascii="Calibri" w:cs="Calibri" w:eastAsia="Calibri" w:hAnsi="Calibri"/>
          <w:sz w:val="22"/>
          <w:szCs w:val="22"/>
        </w:rPr>
        <w:t xml:space="preserve">Compute pairwise p-adic distances |x_i − x_j|_p; agglomerative clustering with single linkage (which preserves the ultrametric); prime sweep p ∈ {2, 3, 5, 7, 11, 13}; k sweep ∈ {2..15}.</w:t>
      </w:r>
    </w:p>
    <w:p>
      <w:pPr>
        <w:pStyle w:val="ListParagraph"/>
        <w:numPr>
          <w:ilvl w:val="0"/>
          <w:numId w:val="3"/>
        </w:numPr>
        <w:spacing w:after="80" w:before="4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7 — Baselines at parity. </w:t>
      </w:r>
      <w:r>
        <w:rPr>
          <w:rFonts w:ascii="Calibri" w:cs="Calibri" w:eastAsia="Calibri" w:hAnsi="Calibri"/>
          <w:sz w:val="22"/>
          <w:szCs w:val="22"/>
        </w:rPr>
        <w:t xml:space="preserve">Ward's-Euclidean, k-means, Gaussian mixture on the same continuous feature set; same k sweep; same outcome validation.</w:t>
      </w:r>
    </w:p>
    <w:p>
      <w:pPr>
        <w:pStyle w:val="ListParagraph"/>
        <w:numPr>
          <w:ilvl w:val="0"/>
          <w:numId w:val="3"/>
        </w:numPr>
        <w:spacing w:after="80" w:before="4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8 — Validation. </w:t>
      </w:r>
      <w:r>
        <w:rPr>
          <w:rFonts w:ascii="Calibri" w:cs="Calibri" w:eastAsia="Calibri" w:hAnsi="Calibri"/>
          <w:sz w:val="22"/>
          <w:szCs w:val="22"/>
        </w:rPr>
        <w:t xml:space="preserve">Internal: silhouette, Davies–Bouldin, Calinski–Harabasz. Stability: bootstrap Jaccard ≥ 0.75. External: 5-fold CV prediction of the pilot-specific outcome.</w:t>
      </w:r>
    </w:p>
    <w:p>
      <w:pPr>
        <w:pStyle w:val="ListParagraph"/>
        <w:numPr>
          <w:ilvl w:val="0"/>
          <w:numId w:val="3"/>
        </w:numPr>
        <w:spacing w:after="80" w:before="4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9 — Sensitivity. </w:t>
      </w:r>
      <w:r>
        <w:rPr>
          <w:rFonts w:ascii="Calibri" w:cs="Calibri" w:eastAsia="Calibri" w:hAnsi="Calibri"/>
          <w:sz w:val="22"/>
          <w:szCs w:val="22"/>
        </w:rPr>
        <w:t xml:space="preserve">Vary categorisation bin counts (2, 4, 8); test log-transforms for skewed metrics (per PEF appendix B); test stratified pairing schemes (within ICS in Pilot A; within health board in Pilot B).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5.2 Pilot-specific deviations</w:t>
      </w:r>
    </w:p>
    <w:p>
      <w:pPr>
        <w:spacing w:after="120" w:before="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Pilot A — NHS-SOF. </w:t>
      </w:r>
      <w:r>
        <w:rPr>
          <w:rFonts w:ascii="Calibri" w:cs="Calibri" w:eastAsia="Calibri" w:hAnsi="Calibri"/>
          <w:sz w:val="22"/>
          <w:szCs w:val="22"/>
        </w:rPr>
        <w:t xml:space="preserve">Y for I(X; Y) and external validation: SOF tier (4-class, ordinal) treated as binary high/low for PEF, full ordinal for paper-level analysis. Hierarchy: region → ICS → trust. Highest-significance digit: region.</w:t>
      </w:r>
    </w:p>
    <w:p>
      <w:pPr>
        <w:spacing w:after="120" w:before="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Pilot B — WIMD. </w:t>
      </w:r>
      <w:r>
        <w:rPr>
          <w:rFonts w:ascii="Calibri" w:cs="Calibri" w:eastAsia="Calibri" w:hAnsi="Calibri"/>
          <w:sz w:val="22"/>
          <w:szCs w:val="22"/>
        </w:rPr>
        <w:t xml:space="preserve">Y for I(X; Y) and external validation: WIMD overall quintile (5-class) treated as binary top/bottom for PEF, full ordinal for paper. Hierarchy: health board → local authority → LSOA. Level-conditional encoding: rel scores within LA (high I(X; Y) digits), abs scores across LA (lower-information digits).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6. Timeline and milestones</w:t>
      </w:r>
    </w:p>
    <w:p>
      <w:pPr>
        <w:spacing w:after="12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Twelve-week schedule, week-numbered from project start (W1 = week of formal kick-off). Pilots A and B run in parallel with shared infrastructure work concentrated in weeks 1–3, divergent analysis in weeks 4–9, and parallel writing in weeks 10–12. Decision gates at the end of weeks 4, 7 and 10.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Table 3. Twelve-week schedule with week-by-week deliverables and decision gates.</w:t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00"/>
        <w:gridCol w:w="3300"/>
        <w:gridCol w:w="252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Week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Pilot A — NHS-SOF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Pilot B — WIMD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Shared / cross-cutting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Scripted ingest of SOF + benchmarking data; ODS code reconciliation.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Scripted download of WIMD 2019 + LSOA→LA→HB lookup; SAIL access request submitted.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Project kick-off; OSF pre-registration draft; GitHub repo initialised; environment set-up.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Metric inventory + harmonisation across years; missingness audit.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WIMD domain audit; ONS Geography reconciliation.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Pipeline scaffold (modules: ingest, pef, encode, cluster, validate).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W3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quality report A; outcome data acquisition (SHMI, CQC).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quality report B; outcome data acquisition (admissions, healthy life expectancy).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Methods note locked; OSF pre-registration finalised.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W4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Per-metric PEF audit (κ̂, ρ̂, η̂) within / across region (PO1).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Per-metric PEF audit within / across local authority (PO1).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Decision gate 1: are predicted Q1/Q2 → Q3/Q4 drifts observed? Adapt analysis plan if not.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W5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I(X; Y) per metric; quadrant assignment; abs/rel decisions per metric.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I(X; Y) per metric; quadrant assignment; level-conditional abs/rel decisions.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Methodology note (PEF / p-adic bridge) draft started in parallel.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W6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Encoding + p-adic clustering: prime / k sweep.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Encoding + p-adic clustering: prime / k sweep.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Baseline implementations (Ward, k-means, GMM) ready and unit-tested.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W7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Cluster results + baseline comparison; bootstrap stability (PO2, PO3).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Cluster results + baseline comparison; bootstrap stability (PO2, PO3).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Decision gate 2: silhouette / DBI improvement over baselines confirmed?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W8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Cluster interpretation; policy-relevant outlier identification (SO3).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Cluster interpretation; outlier LSOAs identified.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Methodology note draft circulated for internal review.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W9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External outcome validation: SHMI / CQC prediction (PO4).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External outcome validation: admissions / HLE prediction (PO4).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Sensitivity analyses (bin counts, log-transforms, alternative pairings).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W10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Pilot A figures, tables, methods written (PO5).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Pilot B figures, tables, methods written (PO5).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Decision gate 3: both pilots on track for week 12 first draft?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W11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Pilot A draft introduction, results, discussion.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Pilot B draft introduction, results, discussion.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Methodology note finalised; deposited as preprint.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W12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Pilot A first complete draft circulated for internal review.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Pilot B first complete draft circulated for internal review.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Reproducibility check: full re-run from scripts on a clean machine.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7. Deliverables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D1. </w:t>
      </w:r>
      <w:r>
        <w:rPr>
          <w:rFonts w:ascii="Calibri" w:cs="Calibri" w:eastAsia="Calibri" w:hAnsi="Calibri"/>
          <w:sz w:val="22"/>
          <w:szCs w:val="22"/>
        </w:rPr>
        <w:t xml:space="preserve">OSF pre-registration covering both pilots (week 3).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D2. </w:t>
      </w:r>
      <w:r>
        <w:rPr>
          <w:rFonts w:ascii="Calibri" w:cs="Calibri" w:eastAsia="Calibri" w:hAnsi="Calibri"/>
          <w:sz w:val="22"/>
          <w:szCs w:val="22"/>
        </w:rPr>
        <w:t xml:space="preserve">Data audit reports for Pilots A and B (week 3).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D3. </w:t>
      </w:r>
      <w:r>
        <w:rPr>
          <w:rFonts w:ascii="Calibri" w:cs="Calibri" w:eastAsia="Calibri" w:hAnsi="Calibri"/>
          <w:sz w:val="22"/>
          <w:szCs w:val="22"/>
        </w:rPr>
        <w:t xml:space="preserve">Reusable Python pipeline (PEF / p-adic / clustering / validation), open-sourced under MIT (week 12).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D4. </w:t>
      </w:r>
      <w:r>
        <w:rPr>
          <w:rFonts w:ascii="Calibri" w:cs="Calibri" w:eastAsia="Calibri" w:hAnsi="Calibri"/>
          <w:sz w:val="22"/>
          <w:szCs w:val="22"/>
        </w:rPr>
        <w:t xml:space="preserve">Methodology note bridging PEF and p-adic clustering, ~2,500 words, deposited as preprint (week 11).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D5. </w:t>
      </w:r>
      <w:r>
        <w:rPr>
          <w:rFonts w:ascii="Calibri" w:cs="Calibri" w:eastAsia="Calibri" w:hAnsi="Calibri"/>
          <w:sz w:val="22"/>
          <w:szCs w:val="22"/>
        </w:rPr>
        <w:t xml:space="preserve">Pilot A first draft — NHS-SOF clustering paper, target BMJ Quality &amp; Safety / Health Services Research (week 12).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D6. </w:t>
      </w:r>
      <w:r>
        <w:rPr>
          <w:rFonts w:ascii="Calibri" w:cs="Calibri" w:eastAsia="Calibri" w:hAnsi="Calibri"/>
          <w:sz w:val="22"/>
          <w:szCs w:val="22"/>
        </w:rPr>
        <w:t xml:space="preserve">Pilot B first draft — WIMD clustering paper, target Lancet Public Health / Health &amp; Place (week 12).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D7. </w:t>
      </w:r>
      <w:r>
        <w:rPr>
          <w:rFonts w:ascii="Calibri" w:cs="Calibri" w:eastAsia="Calibri" w:hAnsi="Calibri"/>
          <w:sz w:val="22"/>
          <w:szCs w:val="22"/>
        </w:rPr>
        <w:t xml:space="preserve">Empirical (κ̂, ρ̂) tables for cross-cluster pairings, used as input to the subsequent Khrennikov-bridge theoretical paper.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8. Risk register</w:t>
      </w:r>
    </w:p>
    <w:p>
      <w:pPr>
        <w:spacing w:after="12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Risks scored: Likelihood (L) and Impact (I) on a 1–5 scale; mitigation for each.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Table 4. Risk register.</w:t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500"/>
        <w:gridCol w:w="500"/>
        <w:gridCol w:w="382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Risk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</w:t>
            </w:r>
          </w:p>
        </w:tc>
        <w:tc>
          <w:tcPr>
            <w:tcW w:type="dxa" w:w="3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NHS-SOF metric definitions change year-to-year, breaking time series.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Scope to a stable core metric set; document any redefinitions; sensitivity test by restricting to constant metrics.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R2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SAIL access for WIMD outcome linkage delayed beyond week 9.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 public outcome data (admissions, HLE) for primary validation; SAIL outputs as supplementary if it lands in time.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R3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PEF assumes bivariate normality; some metrics strongly skewed.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Apply log / Box-Cox transforms (per PEF appendix B); report PEF on both raw and transformed metrics; sensitivity check.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R4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Parallel pilots double operational load; one pilot delays the other.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Shared pipeline reduces duplicate work; explicit decision gates at W4, W7, W10; accept that one paper may finish ahead of the other.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R5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Predicted quadrant drift not observed empirically.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Counter-evidence is itself publishable with appropriate framing; pivot the paper toward a Q-pattern analysis rather than a confirmatory cluster paper.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R6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Reviewer pushback on PEF as in-house (unpublished) methodology.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Submit PEF paper as preprint by week 4; cite the preprint in pilot papers; methodology note (D4) provides an additional anchor.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R7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Cluster results lack clinical / policy interpretability.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Engage one clinical and one policy reader as informal commenters by week 8; iterate cluster narrative; outlier identification (SO3) is a strong interpretability anchor.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R8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PEF-to-ML mapping coefficients (0.234, 0.089) do not generalise to clustering silhouette.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Methodology note (D4) explicitly derives expected silhouette from per-dimension I(X; Y); do not over-rely on the polynomial mapping.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R9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Lack of computational resources for the full prime / k sweep.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Pipeline parallelisable per (p, k); sweep can be partitioned; estimated runtime on a laptop is hours not days for both pilot dataset sizes.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9. Resources required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Personal compute: laptop (16+ GB RAM) sufficient; no cluster needed.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Software stack: Python 3.11+ (numpy, pandas, scikit-learn, scipy, statsmodels, matplotlib), R for statistical sensitivity (optional), Quarto for paper drafting.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Data: all public (no fees); SAIL conditional fee schedule if linkage proceeds.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Time budget: ~0.6 FTE-equivalent over 12 weeks for the analyst; ~0.1 FTE for clinical / policy reader engagement; collaborator time TBC.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Calibri" w:cs="Calibri" w:eastAsia="Calibri" w:hAnsi="Calibri"/>
          <w:sz w:val="22"/>
          <w:szCs w:val="22"/>
        </w:rPr>
        <w:t xml:space="preserve">External inputs: PEF paper preprint (in-house), prior rugby p-adic codebase (in-house), one clinical and one policy reader (TBC).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10. Decision gates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Gate 1, end of week 4. </w:t>
      </w:r>
      <w:r>
        <w:rPr>
          <w:rFonts w:ascii="Calibri" w:cs="Calibri" w:eastAsia="Calibri" w:hAnsi="Calibri"/>
          <w:sz w:val="22"/>
          <w:szCs w:val="22"/>
        </w:rPr>
        <w:t xml:space="preserve">Question: do per-metric PEF estimates show the predicted within-vs-across quadrant drift? If yes, proceed as planned. If no, decision: pivot toward a paper that documents and explains the absence of drift, or restrict to subsets where drift is observed.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Gate 2, end of week 7. </w:t>
      </w:r>
      <w:r>
        <w:rPr>
          <w:rFonts w:ascii="Calibri" w:cs="Calibri" w:eastAsia="Calibri" w:hAnsi="Calibri"/>
          <w:sz w:val="22"/>
          <w:szCs w:val="22"/>
        </w:rPr>
        <w:t xml:space="preserve">Question: does PEF-weighted p-adic clustering achieve silhouette ≥ 0.15 above Ward's-Euclidean baseline for at least one pilot? If yes, proceed. If no, decision: investigate whether the issue is in the categorisation step, the digit weighting, or the clustering algorithm itself; one-week diagnostic sprint before the writing phase.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Gate 3, end of week 10. </w:t>
      </w:r>
      <w:r>
        <w:rPr>
          <w:rFonts w:ascii="Calibri" w:cs="Calibri" w:eastAsia="Calibri" w:hAnsi="Calibri"/>
          <w:sz w:val="22"/>
          <w:szCs w:val="22"/>
        </w:rPr>
        <w:t xml:space="preserve">Question: are both pilots on track for a complete first draft by week 12? If yes, proceed to writing. If no, decision: prioritise the pilot with stronger results for a week-12 draft, defer the other to week 14–16.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11. References (working list)</w:t>
      </w:r>
    </w:p>
    <w:p>
      <w:pPr>
        <w:spacing w:after="12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Bennett, J., et al. (2019). Descriptive analyses of rugby union match performance indicators.</w:t>
      </w:r>
    </w:p>
    <w:p>
      <w:pPr>
        <w:spacing w:after="12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Bennett, J., et al. (2021). Predicting rugby union match outcomes from key performance indicators.</w:t>
      </w:r>
    </w:p>
    <w:p>
      <w:pPr>
        <w:spacing w:after="12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Khrennikov, A., &amp; Oleschko, K. (2021). Ultrametric diffusion equation on energy landscape to model disease spread in hierarchic socially clustered population. Physica A.</w:t>
      </w:r>
    </w:p>
    <w:p>
      <w:pPr>
        <w:spacing w:after="12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Murtagh, F., &amp; Contreras, P. (2012). Fast, linear time, m-adic hierarchical clustering using the Baire metric. p-Adic Numbers, Ultrametric Analysis and Applications.</w:t>
      </w:r>
    </w:p>
    <w:p>
      <w:pPr>
        <w:spacing w:after="12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NHS England (2022). NHS System Oversight Framework 2022/23 — and subsequent annual editions.</w:t>
      </w:r>
    </w:p>
    <w:p>
      <w:pPr>
        <w:spacing w:after="12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Welsh Government (2019). Welsh Index of Multiple Deprivation 2019: Technical Report.</w:t>
      </w:r>
    </w:p>
    <w:p>
      <w:pPr>
        <w:spacing w:after="12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PEF paper (2026, draft). Beyond Fisher: A Generalised Paired Efficiency Factor for Correlated and Variance-Asymmetric Measurements with Cross-Domain Validation in Sport, Healthcare, Genomics, Finance and Manufacturing.</w:t>
      </w:r>
    </w:p>
    <w:p>
      <w:pPr>
        <w:spacing w:after="12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p-adic clustering paper (2026, draft). Enhanced abs/rel pipeline: rugby URC validation.</w:t>
      </w:r>
    </w:p>
    <w:p>
      <w:pPr>
        <w:spacing w:after="120" w:before="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Companion working notes: p-adic_review_and_extensions (April 2026, revised PEF reframe).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PEF / p-adic public-health pilot protocol — v0.1 — page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i/>
      <w:i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2026-04-29T16:56:29.584Z</dcterms:created>
  <dcterms:modified xsi:type="dcterms:W3CDTF">2026-04-29T16:56:29.584Z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