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TELCO DIGITAL CREDIT PLATFORM</w:t>
      </w:r>
    </w:p>
    <w:p>
      <w:pPr>
        <w:jc w:val="center"/>
      </w:pPr>
      <w:r>
        <w:rPr>
          <w:b/>
          <w:color w:val="1F4E79"/>
          <w:sz w:val="36"/>
        </w:rPr>
        <w:t>Software Requirements Specification (SRS) - Version 2.0</w:t>
      </w:r>
    </w:p>
    <w:p>
      <w:pPr>
        <w:jc w:val="center"/>
      </w:pPr>
      <w:r>
        <w:rPr>
          <w:i/>
          <w:sz w:val="26"/>
        </w:rPr>
        <w:t>Multi-Telco Airtime, Data and Digital Credit Advance Platform</w:t>
      </w:r>
    </w:p>
    <w:p>
      <w:r>
        <w:br/>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Document Attribute</w:t>
            </w:r>
          </w:p>
        </w:tc>
        <w:tc>
          <w:tcPr>
            <w:tcW w:type="dxa" w:w="5112"/>
            <w:vAlign w:val="center"/>
            <w:shd w:fill="1F4E78"/>
          </w:tcPr>
          <w:p>
            <w:r/>
            <w:r>
              <w:rPr>
                <w:b/>
                <w:color w:val="FFFFFF"/>
                <w:sz w:val="16"/>
              </w:rPr>
              <w:t>Value</w:t>
            </w:r>
          </w:p>
        </w:tc>
      </w:tr>
      <w:tr>
        <w:tc>
          <w:tcPr>
            <w:tcW w:type="dxa" w:w="5112"/>
            <w:vAlign w:val="center"/>
          </w:tcPr>
          <w:p>
            <w:r/>
            <w:r>
              <w:rPr>
                <w:b w:val="0"/>
                <w:sz w:val="16"/>
              </w:rPr>
              <w:t>Document status</w:t>
            </w:r>
          </w:p>
        </w:tc>
        <w:tc>
          <w:tcPr>
            <w:tcW w:type="dxa" w:w="5112"/>
            <w:vAlign w:val="center"/>
          </w:tcPr>
          <w:p>
            <w:r/>
            <w:r>
              <w:rPr>
                <w:b w:val="0"/>
                <w:sz w:val="16"/>
              </w:rPr>
              <w:t>Build-ready master requirements baseline</w:t>
            </w:r>
          </w:p>
        </w:tc>
      </w:tr>
      <w:tr>
        <w:tc>
          <w:tcPr>
            <w:tcW w:type="dxa" w:w="5112"/>
            <w:vAlign w:val="center"/>
          </w:tcPr>
          <w:p>
            <w:r/>
            <w:r>
              <w:rPr>
                <w:b w:val="0"/>
                <w:sz w:val="16"/>
              </w:rPr>
              <w:t>Version</w:t>
            </w:r>
          </w:p>
        </w:tc>
        <w:tc>
          <w:tcPr>
            <w:tcW w:type="dxa" w:w="5112"/>
            <w:vAlign w:val="center"/>
          </w:tcPr>
          <w:p>
            <w:r/>
            <w:r>
              <w:rPr>
                <w:b w:val="0"/>
                <w:sz w:val="16"/>
              </w:rPr>
              <w:t>2.0</w:t>
            </w:r>
          </w:p>
        </w:tc>
      </w:tr>
      <w:tr>
        <w:tc>
          <w:tcPr>
            <w:tcW w:type="dxa" w:w="5112"/>
            <w:vAlign w:val="center"/>
          </w:tcPr>
          <w:p>
            <w:r/>
            <w:r>
              <w:rPr>
                <w:b w:val="0"/>
                <w:sz w:val="16"/>
              </w:rPr>
              <w:t>Date</w:t>
            </w:r>
          </w:p>
        </w:tc>
        <w:tc>
          <w:tcPr>
            <w:tcW w:type="dxa" w:w="5112"/>
            <w:vAlign w:val="center"/>
          </w:tcPr>
          <w:p>
            <w:r/>
            <w:r>
              <w:rPr>
                <w:b w:val="0"/>
                <w:sz w:val="16"/>
              </w:rPr>
              <w:t>16 July 2026</w:t>
            </w:r>
          </w:p>
        </w:tc>
      </w:tr>
      <w:tr>
        <w:tc>
          <w:tcPr>
            <w:tcW w:type="dxa" w:w="5112"/>
            <w:vAlign w:val="center"/>
          </w:tcPr>
          <w:p>
            <w:r/>
            <w:r>
              <w:rPr>
                <w:b w:val="0"/>
                <w:sz w:val="16"/>
              </w:rPr>
              <w:t>Primary audience</w:t>
            </w:r>
          </w:p>
        </w:tc>
        <w:tc>
          <w:tcPr>
            <w:tcW w:type="dxa" w:w="5112"/>
            <w:vAlign w:val="center"/>
          </w:tcPr>
          <w:p>
            <w:r/>
            <w:r>
              <w:rPr>
                <w:b w:val="0"/>
                <w:sz w:val="16"/>
              </w:rPr>
              <w:t>Product, Engineering, Architecture, Risk, Finance, Operations, Security, Compliance, Telco Integration and Delivery teams</w:t>
            </w:r>
          </w:p>
        </w:tc>
      </w:tr>
      <w:tr>
        <w:tc>
          <w:tcPr>
            <w:tcW w:type="dxa" w:w="5112"/>
            <w:vAlign w:val="center"/>
          </w:tcPr>
          <w:p>
            <w:r/>
            <w:r>
              <w:rPr>
                <w:b w:val="0"/>
                <w:sz w:val="16"/>
              </w:rPr>
              <w:t>Core principle</w:t>
            </w:r>
          </w:p>
        </w:tc>
        <w:tc>
          <w:tcPr>
            <w:tcW w:type="dxa" w:w="5112"/>
            <w:vAlign w:val="center"/>
          </w:tcPr>
          <w:p>
            <w:r/>
            <w:r>
              <w:rPr>
                <w:b w:val="0"/>
                <w:sz w:val="16"/>
              </w:rPr>
              <w:t>Configuration-first, multi-telco, ledger-led, explainable and resilient</w:t>
            </w:r>
          </w:p>
        </w:tc>
      </w:tr>
      <w:tr>
        <w:tc>
          <w:tcPr>
            <w:tcW w:type="dxa" w:w="5112"/>
            <w:vAlign w:val="center"/>
          </w:tcPr>
          <w:p>
            <w:r/>
            <w:r>
              <w:rPr>
                <w:b w:val="0"/>
                <w:sz w:val="16"/>
              </w:rPr>
              <w:t>Intended use</w:t>
            </w:r>
          </w:p>
        </w:tc>
        <w:tc>
          <w:tcPr>
            <w:tcW w:type="dxa" w:w="5112"/>
            <w:vAlign w:val="center"/>
          </w:tcPr>
          <w:p>
            <w:r/>
            <w:r>
              <w:rPr>
                <w:b w:val="0"/>
                <w:sz w:val="16"/>
              </w:rPr>
              <w:t>Coding-agent build specification, vendor RFP baseline, telco integration design and implementation governance</w:t>
            </w:r>
          </w:p>
        </w:tc>
      </w:tr>
    </w:tbl>
    <w:p/>
    <w:p>
      <w:pPr>
        <w:jc w:val="center"/>
      </w:pPr>
      <w:r>
        <w:rPr>
          <w:b/>
          <w:color w:val="C00000"/>
        </w:rPr>
        <w:t>CONFIDENTIAL - FOR AUTHORISED PROJECT USE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78"/>
          </w:tcPr>
          <w:p>
            <w:r/>
            <w:r>
              <w:rPr>
                <w:b/>
                <w:color w:val="FFFFFF"/>
                <w:sz w:val="16"/>
              </w:rPr>
              <w:t>Version</w:t>
            </w:r>
          </w:p>
        </w:tc>
        <w:tc>
          <w:tcPr>
            <w:tcW w:type="dxa" w:w="2556"/>
            <w:vAlign w:val="center"/>
            <w:shd w:fill="1F4E78"/>
          </w:tcPr>
          <w:p>
            <w:r/>
            <w:r>
              <w:rPr>
                <w:b/>
                <w:color w:val="FFFFFF"/>
                <w:sz w:val="16"/>
              </w:rPr>
              <w:t>Date</w:t>
            </w:r>
          </w:p>
        </w:tc>
        <w:tc>
          <w:tcPr>
            <w:tcW w:type="dxa" w:w="2556"/>
            <w:vAlign w:val="center"/>
            <w:shd w:fill="1F4E78"/>
          </w:tcPr>
          <w:p>
            <w:r/>
            <w:r>
              <w:rPr>
                <w:b/>
                <w:color w:val="FFFFFF"/>
                <w:sz w:val="16"/>
              </w:rPr>
              <w:t>Author/Owner</w:t>
            </w:r>
          </w:p>
        </w:tc>
        <w:tc>
          <w:tcPr>
            <w:tcW w:type="dxa" w:w="2556"/>
            <w:vAlign w:val="center"/>
            <w:shd w:fill="1F4E78"/>
          </w:tcPr>
          <w:p>
            <w:r/>
            <w:r>
              <w:rPr>
                <w:b/>
                <w:color w:val="FFFFFF"/>
                <w:sz w:val="16"/>
              </w:rPr>
              <w:t>Summary</w:t>
            </w:r>
          </w:p>
        </w:tc>
      </w:tr>
      <w:tr>
        <w:tc>
          <w:tcPr>
            <w:tcW w:type="dxa" w:w="2556"/>
            <w:vAlign w:val="center"/>
          </w:tcPr>
          <w:p>
            <w:r/>
            <w:r>
              <w:rPr>
                <w:b w:val="0"/>
                <w:sz w:val="16"/>
              </w:rPr>
              <w:t>1.0</w:t>
            </w:r>
          </w:p>
        </w:tc>
        <w:tc>
          <w:tcPr>
            <w:tcW w:type="dxa" w:w="2556"/>
            <w:vAlign w:val="center"/>
          </w:tcPr>
          <w:p>
            <w:r/>
            <w:r>
              <w:rPr>
                <w:b w:val="0"/>
                <w:sz w:val="16"/>
              </w:rPr>
              <w:t>July 2026</w:t>
            </w:r>
          </w:p>
        </w:tc>
        <w:tc>
          <w:tcPr>
            <w:tcW w:type="dxa" w:w="2556"/>
            <w:vAlign w:val="center"/>
          </w:tcPr>
          <w:p>
            <w:r/>
            <w:r>
              <w:rPr>
                <w:b w:val="0"/>
                <w:sz w:val="16"/>
              </w:rPr>
              <w:t>Project Team</w:t>
            </w:r>
          </w:p>
        </w:tc>
        <w:tc>
          <w:tcPr>
            <w:tcW w:type="dxa" w:w="2556"/>
            <w:vAlign w:val="center"/>
          </w:tcPr>
          <w:p>
            <w:r/>
            <w:r>
              <w:rPr>
                <w:b w:val="0"/>
                <w:sz w:val="16"/>
              </w:rPr>
              <w:t>Initial end-to-end SRS</w:t>
            </w:r>
          </w:p>
        </w:tc>
      </w:tr>
      <w:tr>
        <w:tc>
          <w:tcPr>
            <w:tcW w:type="dxa" w:w="2556"/>
            <w:vAlign w:val="center"/>
          </w:tcPr>
          <w:p>
            <w:r/>
            <w:r>
              <w:rPr>
                <w:b w:val="0"/>
                <w:sz w:val="16"/>
              </w:rPr>
              <w:t>2.0</w:t>
            </w:r>
          </w:p>
        </w:tc>
        <w:tc>
          <w:tcPr>
            <w:tcW w:type="dxa" w:w="2556"/>
            <w:vAlign w:val="center"/>
          </w:tcPr>
          <w:p>
            <w:r/>
            <w:r>
              <w:rPr>
                <w:b w:val="0"/>
                <w:sz w:val="16"/>
              </w:rPr>
              <w:t>16 July 2026</w:t>
            </w:r>
          </w:p>
        </w:tc>
        <w:tc>
          <w:tcPr>
            <w:tcW w:type="dxa" w:w="2556"/>
            <w:vAlign w:val="center"/>
          </w:tcPr>
          <w:p>
            <w:r/>
            <w:r>
              <w:rPr>
                <w:b w:val="0"/>
                <w:sz w:val="16"/>
              </w:rPr>
              <w:t>Project Team</w:t>
            </w:r>
          </w:p>
        </w:tc>
        <w:tc>
          <w:tcPr>
            <w:tcW w:type="dxa" w:w="2556"/>
            <w:vAlign w:val="center"/>
          </w:tcPr>
          <w:p>
            <w:r/>
            <w:r>
              <w:rPr>
                <w:b w:val="0"/>
                <w:sz w:val="16"/>
              </w:rPr>
              <w:t>Multi-telco architecture, system-of-record boundaries, configuration-first admin, advanced scoring, loan ledger, edge cases, scalability, reconciliation and operational controls</w:t>
            </w:r>
          </w:p>
        </w:tc>
      </w:tr>
    </w:tbl>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78"/>
          </w:tcPr>
          <w:p>
            <w:r/>
            <w:r>
              <w:rPr>
                <w:b/>
                <w:color w:val="FFFFFF"/>
                <w:sz w:val="16"/>
              </w:rPr>
              <w:t>Approval Role</w:t>
            </w:r>
          </w:p>
        </w:tc>
        <w:tc>
          <w:tcPr>
            <w:tcW w:type="dxa" w:w="2556"/>
            <w:vAlign w:val="center"/>
            <w:shd w:fill="1F4E78"/>
          </w:tcPr>
          <w:p>
            <w:r/>
            <w:r>
              <w:rPr>
                <w:b/>
                <w:color w:val="FFFFFF"/>
                <w:sz w:val="16"/>
              </w:rPr>
              <w:t>Name</w:t>
            </w:r>
          </w:p>
        </w:tc>
        <w:tc>
          <w:tcPr>
            <w:tcW w:type="dxa" w:w="2556"/>
            <w:vAlign w:val="center"/>
            <w:shd w:fill="1F4E78"/>
          </w:tcPr>
          <w:p>
            <w:r/>
            <w:r>
              <w:rPr>
                <w:b/>
                <w:color w:val="FFFFFF"/>
                <w:sz w:val="16"/>
              </w:rPr>
              <w:t>Decision</w:t>
            </w:r>
          </w:p>
        </w:tc>
        <w:tc>
          <w:tcPr>
            <w:tcW w:type="dxa" w:w="2556"/>
            <w:vAlign w:val="center"/>
            <w:shd w:fill="1F4E78"/>
          </w:tcPr>
          <w:p>
            <w:r/>
            <w:r>
              <w:rPr>
                <w:b/>
                <w:color w:val="FFFFFF"/>
                <w:sz w:val="16"/>
              </w:rPr>
              <w:t>Date</w:t>
            </w:r>
          </w:p>
        </w:tc>
      </w:tr>
      <w:tr>
        <w:tc>
          <w:tcPr>
            <w:tcW w:type="dxa" w:w="2556"/>
            <w:vAlign w:val="center"/>
          </w:tcPr>
          <w:p>
            <w:r/>
            <w:r>
              <w:rPr>
                <w:b w:val="0"/>
                <w:sz w:val="16"/>
              </w:rPr>
              <w:t>Executive Sponsor</w:t>
            </w:r>
          </w:p>
        </w:tc>
        <w:tc>
          <w:tcPr>
            <w:tcW w:type="dxa" w:w="2556"/>
            <w:vAlign w:val="center"/>
          </w:tcPr>
          <w:p>
            <w:r/>
            <w:r>
              <w:rPr>
                <w:b w:val="0"/>
                <w:sz w:val="16"/>
              </w:rPr>
            </w:r>
          </w:p>
        </w:tc>
        <w:tc>
          <w:tcPr>
            <w:tcW w:type="dxa" w:w="2556"/>
            <w:vAlign w:val="center"/>
          </w:tcPr>
          <w:p>
            <w:r/>
            <w:r>
              <w:rPr>
                <w:b w:val="0"/>
                <w:sz w:val="16"/>
              </w:rPr>
              <w:t>Pending</w:t>
            </w:r>
          </w:p>
        </w:tc>
        <w:tc>
          <w:tcPr>
            <w:tcW w:type="dxa" w:w="2556"/>
            <w:vAlign w:val="center"/>
          </w:tcPr>
          <w:p>
            <w:r/>
            <w:r>
              <w:rPr>
                <w:b w:val="0"/>
                <w:sz w:val="16"/>
              </w:rPr>
            </w:r>
          </w:p>
        </w:tc>
      </w:tr>
      <w:tr>
        <w:tc>
          <w:tcPr>
            <w:tcW w:type="dxa" w:w="2556"/>
            <w:vAlign w:val="center"/>
          </w:tcPr>
          <w:p>
            <w:r/>
            <w:r>
              <w:rPr>
                <w:b w:val="0"/>
                <w:sz w:val="16"/>
              </w:rPr>
              <w:t>Chief Product Officer</w:t>
            </w:r>
          </w:p>
        </w:tc>
        <w:tc>
          <w:tcPr>
            <w:tcW w:type="dxa" w:w="2556"/>
            <w:vAlign w:val="center"/>
          </w:tcPr>
          <w:p>
            <w:r/>
            <w:r>
              <w:rPr>
                <w:b w:val="0"/>
                <w:sz w:val="16"/>
              </w:rPr>
            </w:r>
          </w:p>
        </w:tc>
        <w:tc>
          <w:tcPr>
            <w:tcW w:type="dxa" w:w="2556"/>
            <w:vAlign w:val="center"/>
          </w:tcPr>
          <w:p>
            <w:r/>
            <w:r>
              <w:rPr>
                <w:b w:val="0"/>
                <w:sz w:val="16"/>
              </w:rPr>
              <w:t>Pending</w:t>
            </w:r>
          </w:p>
        </w:tc>
        <w:tc>
          <w:tcPr>
            <w:tcW w:type="dxa" w:w="2556"/>
            <w:vAlign w:val="center"/>
          </w:tcPr>
          <w:p>
            <w:r/>
            <w:r>
              <w:rPr>
                <w:b w:val="0"/>
                <w:sz w:val="16"/>
              </w:rPr>
            </w:r>
          </w:p>
        </w:tc>
      </w:tr>
      <w:tr>
        <w:tc>
          <w:tcPr>
            <w:tcW w:type="dxa" w:w="2556"/>
            <w:vAlign w:val="center"/>
          </w:tcPr>
          <w:p>
            <w:r/>
            <w:r>
              <w:rPr>
                <w:b w:val="0"/>
                <w:sz w:val="16"/>
              </w:rPr>
              <w:t>Chief Technology Officer</w:t>
            </w:r>
          </w:p>
        </w:tc>
        <w:tc>
          <w:tcPr>
            <w:tcW w:type="dxa" w:w="2556"/>
            <w:vAlign w:val="center"/>
          </w:tcPr>
          <w:p>
            <w:r/>
            <w:r>
              <w:rPr>
                <w:b w:val="0"/>
                <w:sz w:val="16"/>
              </w:rPr>
            </w:r>
          </w:p>
        </w:tc>
        <w:tc>
          <w:tcPr>
            <w:tcW w:type="dxa" w:w="2556"/>
            <w:vAlign w:val="center"/>
          </w:tcPr>
          <w:p>
            <w:r/>
            <w:r>
              <w:rPr>
                <w:b w:val="0"/>
                <w:sz w:val="16"/>
              </w:rPr>
              <w:t>Pending</w:t>
            </w:r>
          </w:p>
        </w:tc>
        <w:tc>
          <w:tcPr>
            <w:tcW w:type="dxa" w:w="2556"/>
            <w:vAlign w:val="center"/>
          </w:tcPr>
          <w:p>
            <w:r/>
            <w:r>
              <w:rPr>
                <w:b w:val="0"/>
                <w:sz w:val="16"/>
              </w:rPr>
            </w:r>
          </w:p>
        </w:tc>
      </w:tr>
      <w:tr>
        <w:tc>
          <w:tcPr>
            <w:tcW w:type="dxa" w:w="2556"/>
            <w:vAlign w:val="center"/>
          </w:tcPr>
          <w:p>
            <w:r/>
            <w:r>
              <w:rPr>
                <w:b w:val="0"/>
                <w:sz w:val="16"/>
              </w:rPr>
              <w:t>Chief Risk Officer</w:t>
            </w:r>
          </w:p>
        </w:tc>
        <w:tc>
          <w:tcPr>
            <w:tcW w:type="dxa" w:w="2556"/>
            <w:vAlign w:val="center"/>
          </w:tcPr>
          <w:p>
            <w:r/>
            <w:r>
              <w:rPr>
                <w:b w:val="0"/>
                <w:sz w:val="16"/>
              </w:rPr>
            </w:r>
          </w:p>
        </w:tc>
        <w:tc>
          <w:tcPr>
            <w:tcW w:type="dxa" w:w="2556"/>
            <w:vAlign w:val="center"/>
          </w:tcPr>
          <w:p>
            <w:r/>
            <w:r>
              <w:rPr>
                <w:b w:val="0"/>
                <w:sz w:val="16"/>
              </w:rPr>
              <w:t>Pending</w:t>
            </w:r>
          </w:p>
        </w:tc>
        <w:tc>
          <w:tcPr>
            <w:tcW w:type="dxa" w:w="2556"/>
            <w:vAlign w:val="center"/>
          </w:tcPr>
          <w:p>
            <w:r/>
            <w:r>
              <w:rPr>
                <w:b w:val="0"/>
                <w:sz w:val="16"/>
              </w:rPr>
            </w:r>
          </w:p>
        </w:tc>
      </w:tr>
      <w:tr>
        <w:tc>
          <w:tcPr>
            <w:tcW w:type="dxa" w:w="2556"/>
            <w:vAlign w:val="center"/>
          </w:tcPr>
          <w:p>
            <w:r/>
            <w:r>
              <w:rPr>
                <w:b w:val="0"/>
                <w:sz w:val="16"/>
              </w:rPr>
              <w:t>Chief Information Security Officer</w:t>
            </w:r>
          </w:p>
        </w:tc>
        <w:tc>
          <w:tcPr>
            <w:tcW w:type="dxa" w:w="2556"/>
            <w:vAlign w:val="center"/>
          </w:tcPr>
          <w:p>
            <w:r/>
            <w:r>
              <w:rPr>
                <w:b w:val="0"/>
                <w:sz w:val="16"/>
              </w:rPr>
            </w:r>
          </w:p>
        </w:tc>
        <w:tc>
          <w:tcPr>
            <w:tcW w:type="dxa" w:w="2556"/>
            <w:vAlign w:val="center"/>
          </w:tcPr>
          <w:p>
            <w:r/>
            <w:r>
              <w:rPr>
                <w:b w:val="0"/>
                <w:sz w:val="16"/>
              </w:rPr>
              <w:t>Pending</w:t>
            </w:r>
          </w:p>
        </w:tc>
        <w:tc>
          <w:tcPr>
            <w:tcW w:type="dxa" w:w="2556"/>
            <w:vAlign w:val="center"/>
          </w:tcPr>
          <w:p>
            <w:r/>
            <w:r>
              <w:rPr>
                <w:b w:val="0"/>
                <w:sz w:val="16"/>
              </w:rPr>
            </w:r>
          </w:p>
        </w:tc>
      </w:tr>
      <w:tr>
        <w:tc>
          <w:tcPr>
            <w:tcW w:type="dxa" w:w="2556"/>
            <w:vAlign w:val="center"/>
          </w:tcPr>
          <w:p>
            <w:r/>
            <w:r>
              <w:rPr>
                <w:b w:val="0"/>
                <w:sz w:val="16"/>
              </w:rPr>
              <w:t>Finance Director</w:t>
            </w:r>
          </w:p>
        </w:tc>
        <w:tc>
          <w:tcPr>
            <w:tcW w:type="dxa" w:w="2556"/>
            <w:vAlign w:val="center"/>
          </w:tcPr>
          <w:p>
            <w:r/>
            <w:r>
              <w:rPr>
                <w:b w:val="0"/>
                <w:sz w:val="16"/>
              </w:rPr>
            </w:r>
          </w:p>
        </w:tc>
        <w:tc>
          <w:tcPr>
            <w:tcW w:type="dxa" w:w="2556"/>
            <w:vAlign w:val="center"/>
          </w:tcPr>
          <w:p>
            <w:r/>
            <w:r>
              <w:rPr>
                <w:b w:val="0"/>
                <w:sz w:val="16"/>
              </w:rPr>
              <w:t>Pending</w:t>
            </w:r>
          </w:p>
        </w:tc>
        <w:tc>
          <w:tcPr>
            <w:tcW w:type="dxa" w:w="2556"/>
            <w:vAlign w:val="center"/>
          </w:tcPr>
          <w:p>
            <w:r/>
            <w:r>
              <w:rPr>
                <w:b w:val="0"/>
                <w:sz w:val="16"/>
              </w:rPr>
            </w:r>
          </w:p>
        </w:tc>
      </w:tr>
      <w:tr>
        <w:tc>
          <w:tcPr>
            <w:tcW w:type="dxa" w:w="2556"/>
            <w:vAlign w:val="center"/>
          </w:tcPr>
          <w:p>
            <w:r/>
            <w:r>
              <w:rPr>
                <w:b w:val="0"/>
                <w:sz w:val="16"/>
              </w:rPr>
              <w:t>Compliance/Data Protection Officer</w:t>
            </w:r>
          </w:p>
        </w:tc>
        <w:tc>
          <w:tcPr>
            <w:tcW w:type="dxa" w:w="2556"/>
            <w:vAlign w:val="center"/>
          </w:tcPr>
          <w:p>
            <w:r/>
            <w:r>
              <w:rPr>
                <w:b w:val="0"/>
                <w:sz w:val="16"/>
              </w:rPr>
            </w:r>
          </w:p>
        </w:tc>
        <w:tc>
          <w:tcPr>
            <w:tcW w:type="dxa" w:w="2556"/>
            <w:vAlign w:val="center"/>
          </w:tcPr>
          <w:p>
            <w:r/>
            <w:r>
              <w:rPr>
                <w:b w:val="0"/>
                <w:sz w:val="16"/>
              </w:rPr>
              <w:t>Pending</w:t>
            </w:r>
          </w:p>
        </w:tc>
        <w:tc>
          <w:tcPr>
            <w:tcW w:type="dxa" w:w="2556"/>
            <w:vAlign w:val="center"/>
          </w:tcPr>
          <w:p>
            <w:r/>
            <w:r>
              <w:rPr>
                <w:b w:val="0"/>
                <w:sz w:val="16"/>
              </w:rPr>
            </w:r>
          </w:p>
        </w:tc>
      </w:tr>
      <w:tr>
        <w:tc>
          <w:tcPr>
            <w:tcW w:type="dxa" w:w="2556"/>
            <w:vAlign w:val="center"/>
          </w:tcPr>
          <w:p>
            <w:r/>
            <w:r>
              <w:rPr>
                <w:b w:val="0"/>
                <w:sz w:val="16"/>
              </w:rPr>
              <w:t>Lead Telco Partner</w:t>
            </w:r>
          </w:p>
        </w:tc>
        <w:tc>
          <w:tcPr>
            <w:tcW w:type="dxa" w:w="2556"/>
            <w:vAlign w:val="center"/>
          </w:tcPr>
          <w:p>
            <w:r/>
            <w:r>
              <w:rPr>
                <w:b w:val="0"/>
                <w:sz w:val="16"/>
              </w:rPr>
            </w:r>
          </w:p>
        </w:tc>
        <w:tc>
          <w:tcPr>
            <w:tcW w:type="dxa" w:w="2556"/>
            <w:vAlign w:val="center"/>
          </w:tcPr>
          <w:p>
            <w:r/>
            <w:r>
              <w:rPr>
                <w:b w:val="0"/>
                <w:sz w:val="16"/>
              </w:rPr>
              <w:t>Pending</w:t>
            </w:r>
          </w:p>
        </w:tc>
        <w:tc>
          <w:tcPr>
            <w:tcW w:type="dxa" w:w="2556"/>
            <w:vAlign w:val="center"/>
          </w:tcPr>
          <w:p>
            <w:r/>
            <w:r>
              <w:rPr>
                <w:b w:val="0"/>
                <w:sz w:val="16"/>
              </w:rPr>
            </w:r>
          </w:p>
        </w:tc>
      </w:tr>
    </w:tbl>
    <w:p/>
    <w:p>
      <w:pPr>
        <w:pStyle w:val="Heading1"/>
      </w:pPr>
      <w:r>
        <w:t>1. Executive Summary</w:t>
      </w:r>
    </w:p>
    <w:p>
      <w:r>
        <w:t>This SRS defines a production-grade digital credit platform that can support multiple telecommunications operators, beginning with airtime and data advances and extending to other operator-distributed credit products. The platform shall ingest behavioural and subscriber-status data from each telco, calculate eligibility and limits at scale, return offers with low latency, instruct or coordinate fulfilment through telco systems, maintain authoritative advance and repayment records, reconcile all activity, and calculate settlements and revenue shares.</w:t>
      </w:r>
    </w:p>
    <w:p>
      <w:r>
        <w:t>The platform shall be operator-neutral. MTN, Airtel, Globacom, 9mobile, MVNOs and future operators shall connect through independently configurable adapters behind a Telco Integration Gateway. Every tenant-owned entity shall carry an immutable telco identifier. A telco outage, data defect or settlement dispute shall be isolated from other operators.</w:t>
      </w:r>
    </w:p>
    <w:p>
      <w:r>
        <w:t>The design is configuration-first. Product rules, tiers, score weights, fee rates, revenue shares, operational thresholds, reconciliation tolerances, workflow rules, feature flags and most integration behaviour shall be manageable through an authorised administration portal with versioning, approval, testing and rollback. Core accounting invariants, security controls and data-integrity rules shall not be bypassable through configuration.</w:t>
      </w:r>
    </w:p>
    <w:p>
      <w:pPr>
        <w:pStyle w:val="Heading1"/>
        <w:pageBreakBefore/>
      </w:pPr>
      <w:r>
        <w:t>2. Purpose and Objectives</w:t>
      </w:r>
    </w:p>
    <w:p>
      <w:r>
        <w:t>The purpose is to provide a single scalable platform for telco-assisted digital credit while preserving clear ownership boundaries between telco systems, the lending platform and finance systems.</w:t>
      </w:r>
    </w:p>
    <w:p>
      <w:r>
        <w:t>Primary objectives are instant customer decisions, controlled credit risk, accurate recovery, complete ledgering, reliable reconciliation, configurable multi-telco onboarding, auditable decisions, safe product experimentation and operational resilience at tens of millions of subscribers and high transaction volumes.</w:t>
      </w:r>
    </w:p>
    <w:p>
      <w:pPr>
        <w:pStyle w:val="Heading1"/>
        <w:pageBreakBefore/>
      </w:pPr>
      <w:r>
        <w:t>3. Scope</w:t>
      </w:r>
    </w:p>
    <w:p>
      <w:pPr>
        <w:pStyle w:val="Heading2"/>
      </w:pPr>
      <w:r>
        <w:t>3.1 In Scope</w:t>
      </w:r>
    </w:p>
    <w:p>
      <w:pPr>
        <w:pStyle w:val="ListBullet"/>
      </w:pPr>
      <w:r>
        <w:t>Multi-telco onboarding and tenant management.</w:t>
      </w:r>
    </w:p>
    <w:p>
      <w:pPr>
        <w:pStyle w:val="ListBullet"/>
      </w:pPr>
      <w:r>
        <w:t>Subscriber data ingestion through batch files, streaming events and synchronous APIs.</w:t>
      </w:r>
    </w:p>
    <w:p>
      <w:pPr>
        <w:pStyle w:val="ListBullet"/>
      </w:pPr>
      <w:r>
        <w:t>Eligibility, scoring, affordability, trust progression, anti-gaming and limit assignment.</w:t>
      </w:r>
    </w:p>
    <w:p>
      <w:pPr>
        <w:pStyle w:val="ListBullet"/>
      </w:pPr>
      <w:r>
        <w:t>Airtime, data, voice bundle and configurable digital advance products.</w:t>
      </w:r>
    </w:p>
    <w:p>
      <w:pPr>
        <w:pStyle w:val="ListBullet"/>
      </w:pPr>
      <w:r>
        <w:t>Offer retrieval and low-latency decisioning.</w:t>
      </w:r>
    </w:p>
    <w:p>
      <w:pPr>
        <w:pStyle w:val="ListBullet"/>
      </w:pPr>
      <w:r>
        <w:t>Advance creation, fulfilment orchestration, exposure management and immutable ledgering.</w:t>
      </w:r>
    </w:p>
    <w:p>
      <w:pPr>
        <w:pStyle w:val="ListBullet"/>
      </w:pPr>
      <w:r>
        <w:t>Recharge-triggered and other configured recovery mechanisms.</w:t>
      </w:r>
    </w:p>
    <w:p>
      <w:pPr>
        <w:pStyle w:val="ListBullet"/>
      </w:pPr>
      <w:r>
        <w:t>Repayments, partial repayments, reversals, adjustments, refunds, write-offs and recoveries.</w:t>
      </w:r>
    </w:p>
    <w:p>
      <w:pPr>
        <w:pStyle w:val="ListBullet"/>
      </w:pPr>
      <w:r>
        <w:t>Multi-party fees, commissions, tax, funding cost and settlement calculations.</w:t>
      </w:r>
    </w:p>
    <w:p>
      <w:pPr>
        <w:pStyle w:val="ListBullet"/>
      </w:pPr>
      <w:r>
        <w:t>Reconciliation, exception management, disputes and operational case management.</w:t>
      </w:r>
    </w:p>
    <w:p>
      <w:pPr>
        <w:pStyle w:val="ListBullet"/>
      </w:pPr>
      <w:r>
        <w:t>Customer, telco, lender/funder, operations, risk, finance, support and administration interfaces.</w:t>
      </w:r>
    </w:p>
    <w:p>
      <w:pPr>
        <w:pStyle w:val="ListBullet"/>
      </w:pPr>
      <w:r>
        <w:t>Security, privacy, audit, observability, disaster recovery and regulatory controls.</w:t>
      </w:r>
    </w:p>
    <w:p>
      <w:pPr>
        <w:pStyle w:val="Heading2"/>
      </w:pPr>
      <w:r>
        <w:t>3.2 Out of Scope for Initial Release</w:t>
      </w:r>
    </w:p>
    <w:p>
      <w:pPr>
        <w:pStyle w:val="ListBullet"/>
      </w:pPr>
      <w:r>
        <w:t>Direct control of a telco subscriber airtime or data balance except through authorised telco APIs.</w:t>
      </w:r>
    </w:p>
    <w:p>
      <w:pPr>
        <w:pStyle w:val="ListBullet"/>
      </w:pPr>
      <w:r>
        <w:t>Replacement of telco CRM, billing, charging, network or identity systems.</w:t>
      </w:r>
    </w:p>
    <w:p>
      <w:pPr>
        <w:pStyle w:val="ListBullet"/>
      </w:pPr>
      <w:r>
        <w:t>General-purpose cash lending unless separately approved as a product.</w:t>
      </w:r>
    </w:p>
    <w:p>
      <w:pPr>
        <w:pStyle w:val="ListBullet"/>
      </w:pPr>
      <w:r>
        <w:t>Credit bureau reporting unless enabled through a later approved integration.</w:t>
      </w:r>
    </w:p>
    <w:p>
      <w:pPr>
        <w:pStyle w:val="ListBullet"/>
      </w:pPr>
      <w:r>
        <w:t>Manual editing of immutable ledger entries.</w:t>
      </w:r>
    </w:p>
    <w:p>
      <w:pPr>
        <w:pStyle w:val="Heading1"/>
        <w:pageBreakBefore/>
      </w:pPr>
      <w:r>
        <w:t>4. Architectural and Product Principles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Principle</w:t>
            </w:r>
          </w:p>
        </w:tc>
        <w:tc>
          <w:tcPr>
            <w:tcW w:type="dxa" w:w="5112"/>
            <w:vAlign w:val="center"/>
            <w:shd w:fill="1F4E78"/>
          </w:tcPr>
          <w:p>
            <w:r/>
            <w:r>
              <w:rPr>
                <w:b/>
                <w:color w:val="FFFFFF"/>
                <w:sz w:val="16"/>
              </w:rPr>
              <w:t>Required Interpretation</w:t>
            </w:r>
          </w:p>
        </w:tc>
      </w:tr>
      <w:tr>
        <w:tc>
          <w:tcPr>
            <w:tcW w:type="dxa" w:w="5112"/>
            <w:vAlign w:val="center"/>
          </w:tcPr>
          <w:p>
            <w:r/>
            <w:r>
              <w:rPr>
                <w:b w:val="0"/>
                <w:sz w:val="16"/>
              </w:rPr>
              <w:t>Multi-telco by design</w:t>
            </w:r>
          </w:p>
        </w:tc>
        <w:tc>
          <w:tcPr>
            <w:tcW w:type="dxa" w:w="5112"/>
            <w:vAlign w:val="center"/>
          </w:tcPr>
          <w:p>
            <w:r/>
            <w:r>
              <w:rPr>
                <w:b w:val="0"/>
                <w:sz w:val="16"/>
              </w:rPr>
              <w:t>No core service shall contain MTN-specific logic. Operator differences shall be isolated in adapters and configuration.</w:t>
            </w:r>
          </w:p>
        </w:tc>
      </w:tr>
      <w:tr>
        <w:tc>
          <w:tcPr>
            <w:tcW w:type="dxa" w:w="5112"/>
            <w:vAlign w:val="center"/>
          </w:tcPr>
          <w:p>
            <w:r/>
            <w:r>
              <w:rPr>
                <w:b w:val="0"/>
                <w:sz w:val="16"/>
              </w:rPr>
              <w:t>Configuration-first</w:t>
            </w:r>
          </w:p>
        </w:tc>
        <w:tc>
          <w:tcPr>
            <w:tcW w:type="dxa" w:w="5112"/>
            <w:vAlign w:val="center"/>
          </w:tcPr>
          <w:p>
            <w:r/>
            <w:r>
              <w:rPr>
                <w:b w:val="0"/>
                <w:sz w:val="16"/>
              </w:rPr>
              <w:t>Business policies shall be administered without code deployment wherever safe.</w:t>
            </w:r>
          </w:p>
        </w:tc>
      </w:tr>
      <w:tr>
        <w:tc>
          <w:tcPr>
            <w:tcW w:type="dxa" w:w="5112"/>
            <w:vAlign w:val="center"/>
          </w:tcPr>
          <w:p>
            <w:r/>
            <w:r>
              <w:rPr>
                <w:b w:val="0"/>
                <w:sz w:val="16"/>
              </w:rPr>
              <w:t>Ledger-led</w:t>
            </w:r>
          </w:p>
        </w:tc>
        <w:tc>
          <w:tcPr>
            <w:tcW w:type="dxa" w:w="5112"/>
            <w:vAlign w:val="center"/>
          </w:tcPr>
          <w:p>
            <w:r/>
            <w:r>
              <w:rPr>
                <w:b w:val="0"/>
                <w:sz w:val="16"/>
              </w:rPr>
              <w:t>Financial truth shall be derived from append-only ledger entries, not mutable balances alone.</w:t>
            </w:r>
          </w:p>
        </w:tc>
      </w:tr>
      <w:tr>
        <w:tc>
          <w:tcPr>
            <w:tcW w:type="dxa" w:w="5112"/>
            <w:vAlign w:val="center"/>
          </w:tcPr>
          <w:p>
            <w:r/>
            <w:r>
              <w:rPr>
                <w:b w:val="0"/>
                <w:sz w:val="16"/>
              </w:rPr>
              <w:t>Telco-assisted, platform-owned credit</w:t>
            </w:r>
          </w:p>
        </w:tc>
        <w:tc>
          <w:tcPr>
            <w:tcW w:type="dxa" w:w="5112"/>
            <w:vAlign w:val="center"/>
          </w:tcPr>
          <w:p>
            <w:r/>
            <w:r>
              <w:rPr>
                <w:b w:val="0"/>
                <w:sz w:val="16"/>
              </w:rPr>
              <w:t>Telcos own network-side balances and source events; the lending platform owns credit decisions, advances, exposure and recovery allocation.</w:t>
            </w:r>
          </w:p>
        </w:tc>
      </w:tr>
      <w:tr>
        <w:tc>
          <w:tcPr>
            <w:tcW w:type="dxa" w:w="5112"/>
            <w:vAlign w:val="center"/>
          </w:tcPr>
          <w:p>
            <w:r/>
            <w:r>
              <w:rPr>
                <w:b w:val="0"/>
                <w:sz w:val="16"/>
              </w:rPr>
              <w:t>Idempotent and replay-safe</w:t>
            </w:r>
          </w:p>
        </w:tc>
        <w:tc>
          <w:tcPr>
            <w:tcW w:type="dxa" w:w="5112"/>
            <w:vAlign w:val="center"/>
          </w:tcPr>
          <w:p>
            <w:r/>
            <w:r>
              <w:rPr>
                <w:b w:val="0"/>
                <w:sz w:val="16"/>
              </w:rPr>
              <w:t>Duplicate requests and event replays shall not create duplicate loans, credits or repayments.</w:t>
            </w:r>
          </w:p>
        </w:tc>
      </w:tr>
      <w:tr>
        <w:tc>
          <w:tcPr>
            <w:tcW w:type="dxa" w:w="5112"/>
            <w:vAlign w:val="center"/>
          </w:tcPr>
          <w:p>
            <w:r/>
            <w:r>
              <w:rPr>
                <w:b w:val="0"/>
                <w:sz w:val="16"/>
              </w:rPr>
              <w:t>Explainable decisions</w:t>
            </w:r>
          </w:p>
        </w:tc>
        <w:tc>
          <w:tcPr>
            <w:tcW w:type="dxa" w:w="5112"/>
            <w:vAlign w:val="center"/>
          </w:tcPr>
          <w:p>
            <w:r/>
            <w:r>
              <w:rPr>
                <w:b w:val="0"/>
                <w:sz w:val="16"/>
              </w:rPr>
              <w:t>Every approval, decline and limit shall be reproducible from stored inputs, rule versions and model versions.</w:t>
            </w:r>
          </w:p>
        </w:tc>
      </w:tr>
      <w:tr>
        <w:tc>
          <w:tcPr>
            <w:tcW w:type="dxa" w:w="5112"/>
            <w:vAlign w:val="center"/>
          </w:tcPr>
          <w:p>
            <w:r/>
            <w:r>
              <w:rPr>
                <w:b w:val="0"/>
                <w:sz w:val="16"/>
              </w:rPr>
              <w:t>Fail safely</w:t>
            </w:r>
          </w:p>
        </w:tc>
        <w:tc>
          <w:tcPr>
            <w:tcW w:type="dxa" w:w="5112"/>
            <w:vAlign w:val="center"/>
          </w:tcPr>
          <w:p>
            <w:r/>
            <w:r>
              <w:rPr>
                <w:b w:val="0"/>
                <w:sz w:val="16"/>
              </w:rPr>
              <w:t>Uncertain fulfilment or recovery states shall be quarantined and reconciled, not guessed.</w:t>
            </w:r>
          </w:p>
        </w:tc>
      </w:tr>
      <w:tr>
        <w:tc>
          <w:tcPr>
            <w:tcW w:type="dxa" w:w="5112"/>
            <w:vAlign w:val="center"/>
          </w:tcPr>
          <w:p>
            <w:r/>
            <w:r>
              <w:rPr>
                <w:b w:val="0"/>
                <w:sz w:val="16"/>
              </w:rPr>
              <w:t>Tenant isolation</w:t>
            </w:r>
          </w:p>
        </w:tc>
        <w:tc>
          <w:tcPr>
            <w:tcW w:type="dxa" w:w="5112"/>
            <w:vAlign w:val="center"/>
          </w:tcPr>
          <w:p>
            <w:r/>
            <w:r>
              <w:rPr>
                <w:b w:val="0"/>
                <w:sz w:val="16"/>
              </w:rPr>
              <w:t>A failure, attack or misconfiguration for one telco shall not compromise another.</w:t>
            </w:r>
          </w:p>
        </w:tc>
      </w:tr>
      <w:tr>
        <w:tc>
          <w:tcPr>
            <w:tcW w:type="dxa" w:w="5112"/>
            <w:vAlign w:val="center"/>
          </w:tcPr>
          <w:p>
            <w:r/>
            <w:r>
              <w:rPr>
                <w:b w:val="0"/>
                <w:sz w:val="16"/>
              </w:rPr>
              <w:t>Progressive trust</w:t>
            </w:r>
          </w:p>
        </w:tc>
        <w:tc>
          <w:tcPr>
            <w:tcW w:type="dxa" w:w="5112"/>
            <w:vAlign w:val="center"/>
          </w:tcPr>
          <w:p>
            <w:r/>
            <w:r>
              <w:rPr>
                <w:b w:val="0"/>
                <w:sz w:val="16"/>
              </w:rPr>
              <w:t>Limit growth shall be earned over time; one scoring cycle may increase a customer by no more than the configured tier movement, default one tier.</w:t>
            </w:r>
          </w:p>
        </w:tc>
      </w:tr>
      <w:tr>
        <w:tc>
          <w:tcPr>
            <w:tcW w:type="dxa" w:w="5112"/>
            <w:vAlign w:val="center"/>
          </w:tcPr>
          <w:p>
            <w:r/>
            <w:r>
              <w:rPr>
                <w:b w:val="0"/>
                <w:sz w:val="16"/>
              </w:rPr>
              <w:t>Privacy minimisation</w:t>
            </w:r>
          </w:p>
        </w:tc>
        <w:tc>
          <w:tcPr>
            <w:tcW w:type="dxa" w:w="5112"/>
            <w:vAlign w:val="center"/>
          </w:tcPr>
          <w:p>
            <w:r/>
            <w:r>
              <w:rPr>
                <w:b w:val="0"/>
                <w:sz w:val="16"/>
              </w:rPr>
              <w:t>Use flags and derived attributes rather than raw identity data where sufficient.</w:t>
            </w:r>
          </w:p>
        </w:tc>
      </w:tr>
    </w:tbl>
    <w:p/>
    <w:p>
      <w:pPr>
        <w:pStyle w:val="Heading1"/>
        <w:pageBreakBefore/>
      </w:pPr>
      <w:r>
        <w:t>5. Systems of Record and Ownership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6"/>
              </w:rPr>
              <w:t>System</w:t>
            </w:r>
          </w:p>
        </w:tc>
        <w:tc>
          <w:tcPr>
            <w:tcW w:type="dxa" w:w="3408"/>
            <w:vAlign w:val="center"/>
            <w:shd w:fill="1F4E78"/>
          </w:tcPr>
          <w:p>
            <w:r/>
            <w:r>
              <w:rPr>
                <w:b/>
                <w:color w:val="FFFFFF"/>
                <w:sz w:val="16"/>
              </w:rPr>
              <w:t>Authoritative For</w:t>
            </w:r>
          </w:p>
        </w:tc>
        <w:tc>
          <w:tcPr>
            <w:tcW w:type="dxa" w:w="3408"/>
            <w:vAlign w:val="center"/>
            <w:shd w:fill="1F4E78"/>
          </w:tcPr>
          <w:p>
            <w:r/>
            <w:r>
              <w:rPr>
                <w:b/>
                <w:color w:val="FFFFFF"/>
                <w:sz w:val="16"/>
              </w:rPr>
              <w:t>Not Authoritative For</w:t>
            </w:r>
          </w:p>
        </w:tc>
      </w:tr>
      <w:tr>
        <w:tc>
          <w:tcPr>
            <w:tcW w:type="dxa" w:w="3408"/>
            <w:vAlign w:val="center"/>
          </w:tcPr>
          <w:p>
            <w:r/>
            <w:r>
              <w:rPr>
                <w:b w:val="0"/>
                <w:sz w:val="16"/>
              </w:rPr>
              <w:t>Telco System of Record</w:t>
            </w:r>
          </w:p>
        </w:tc>
        <w:tc>
          <w:tcPr>
            <w:tcW w:type="dxa" w:w="3408"/>
            <w:vAlign w:val="center"/>
          </w:tcPr>
          <w:p>
            <w:r/>
            <w:r>
              <w:rPr>
                <w:b w:val="0"/>
                <w:sz w:val="16"/>
              </w:rPr>
              <w:t>MSISDN status, SIM registration/NIN-verification flags, subscriber activity, source usage/recharge data, airtime/data balances, fulfilment and network-side deduction events</w:t>
            </w:r>
          </w:p>
        </w:tc>
        <w:tc>
          <w:tcPr>
            <w:tcW w:type="dxa" w:w="3408"/>
            <w:vAlign w:val="center"/>
          </w:tcPr>
          <w:p>
            <w:r/>
            <w:r>
              <w:rPr>
                <w:b w:val="0"/>
                <w:sz w:val="16"/>
              </w:rPr>
              <w:t>Credit score, advance contract, exposure, repayment allocation, platform ledger</w:t>
            </w:r>
          </w:p>
        </w:tc>
      </w:tr>
      <w:tr>
        <w:tc>
          <w:tcPr>
            <w:tcW w:type="dxa" w:w="3408"/>
            <w:vAlign w:val="center"/>
          </w:tcPr>
          <w:p>
            <w:r/>
            <w:r>
              <w:rPr>
                <w:b w:val="0"/>
                <w:sz w:val="16"/>
              </w:rPr>
              <w:t>Lending Platform System of Record</w:t>
            </w:r>
          </w:p>
        </w:tc>
        <w:tc>
          <w:tcPr>
            <w:tcW w:type="dxa" w:w="3408"/>
            <w:vAlign w:val="center"/>
          </w:tcPr>
          <w:p>
            <w:r/>
            <w:r>
              <w:rPr>
                <w:b w:val="0"/>
                <w:sz w:val="16"/>
              </w:rPr>
              <w:t>Eligibility, score, limit, offers, advance records, exposure, repayment allocation, ledger, reversals, write-offs, reconciliation and commercial settlement calculations</w:t>
            </w:r>
          </w:p>
        </w:tc>
        <w:tc>
          <w:tcPr>
            <w:tcW w:type="dxa" w:w="3408"/>
            <w:vAlign w:val="center"/>
          </w:tcPr>
          <w:p>
            <w:r/>
            <w:r>
              <w:rPr>
                <w:b w:val="0"/>
                <w:sz w:val="16"/>
              </w:rPr>
              <w:t>Telco subscriber balance or statutory GL</w:t>
            </w:r>
          </w:p>
        </w:tc>
      </w:tr>
      <w:tr>
        <w:tc>
          <w:tcPr>
            <w:tcW w:type="dxa" w:w="3408"/>
            <w:vAlign w:val="center"/>
          </w:tcPr>
          <w:p>
            <w:r/>
            <w:r>
              <w:rPr>
                <w:b w:val="0"/>
                <w:sz w:val="16"/>
              </w:rPr>
              <w:t>Finance System of Record</w:t>
            </w:r>
          </w:p>
        </w:tc>
        <w:tc>
          <w:tcPr>
            <w:tcW w:type="dxa" w:w="3408"/>
            <w:vAlign w:val="center"/>
          </w:tcPr>
          <w:p>
            <w:r/>
            <w:r>
              <w:rPr>
                <w:b w:val="0"/>
                <w:sz w:val="16"/>
              </w:rPr>
              <w:t>General ledger, cash settlement, revenue recognition, statutory reporting, audited financial statements</w:t>
            </w:r>
          </w:p>
        </w:tc>
        <w:tc>
          <w:tcPr>
            <w:tcW w:type="dxa" w:w="3408"/>
            <w:vAlign w:val="center"/>
          </w:tcPr>
          <w:p>
            <w:r/>
            <w:r>
              <w:rPr>
                <w:b w:val="0"/>
                <w:sz w:val="16"/>
              </w:rPr>
              <w:t>Real-time offer and telco fulfilment state</w:t>
            </w:r>
          </w:p>
        </w:tc>
      </w:tr>
    </w:tbl>
    <w:p/>
    <w:p>
      <w:r>
        <w:t>The platform shall retain complete advance records even when the telco performs the actual airtime/data credit. The telco fulfilment reference and platform advance identifier shall be cross-linked and reconciled.</w:t>
      </w:r>
    </w:p>
    <w:p>
      <w:pPr>
        <w:pStyle w:val="Heading1"/>
        <w:pageBreakBefore/>
      </w:pPr>
      <w:r>
        <w:t>6. Stakeholders and User Roles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Role</w:t>
            </w:r>
          </w:p>
        </w:tc>
        <w:tc>
          <w:tcPr>
            <w:tcW w:type="dxa" w:w="5112"/>
            <w:vAlign w:val="center"/>
            <w:shd w:fill="1F4E78"/>
          </w:tcPr>
          <w:p>
            <w:r/>
            <w:r>
              <w:rPr>
                <w:b/>
                <w:color w:val="FFFFFF"/>
                <w:sz w:val="16"/>
              </w:rPr>
              <w:t>Responsibilities</w:t>
            </w:r>
          </w:p>
        </w:tc>
      </w:tr>
      <w:tr>
        <w:tc>
          <w:tcPr>
            <w:tcW w:type="dxa" w:w="5112"/>
            <w:vAlign w:val="center"/>
          </w:tcPr>
          <w:p>
            <w:r/>
            <w:r>
              <w:rPr>
                <w:b w:val="0"/>
                <w:sz w:val="16"/>
              </w:rPr>
              <w:t>Platform Super Administrator</w:t>
            </w:r>
          </w:p>
        </w:tc>
        <w:tc>
          <w:tcPr>
            <w:tcW w:type="dxa" w:w="5112"/>
            <w:vAlign w:val="center"/>
          </w:tcPr>
          <w:p>
            <w:r/>
            <w:r>
              <w:rPr>
                <w:b w:val="0"/>
                <w:sz w:val="16"/>
              </w:rPr>
              <w:t>Cross-telco configuration, tenant onboarding, emergency controls and platform-wide oversight.</w:t>
            </w:r>
          </w:p>
        </w:tc>
      </w:tr>
      <w:tr>
        <w:tc>
          <w:tcPr>
            <w:tcW w:type="dxa" w:w="5112"/>
            <w:vAlign w:val="center"/>
          </w:tcPr>
          <w:p>
            <w:r/>
            <w:r>
              <w:rPr>
                <w:b w:val="0"/>
                <w:sz w:val="16"/>
              </w:rPr>
              <w:t>Telco Administrator</w:t>
            </w:r>
          </w:p>
        </w:tc>
        <w:tc>
          <w:tcPr>
            <w:tcW w:type="dxa" w:w="5112"/>
            <w:vAlign w:val="center"/>
          </w:tcPr>
          <w:p>
            <w:r/>
            <w:r>
              <w:rPr>
                <w:b w:val="0"/>
                <w:sz w:val="16"/>
              </w:rPr>
              <w:t>Operator-specific products, users, reports and integration settings within delegated permissions.</w:t>
            </w:r>
          </w:p>
        </w:tc>
      </w:tr>
      <w:tr>
        <w:tc>
          <w:tcPr>
            <w:tcW w:type="dxa" w:w="5112"/>
            <w:vAlign w:val="center"/>
          </w:tcPr>
          <w:p>
            <w:r/>
            <w:r>
              <w:rPr>
                <w:b w:val="0"/>
                <w:sz w:val="16"/>
              </w:rPr>
              <w:t>Risk Analyst/Manager</w:t>
            </w:r>
          </w:p>
        </w:tc>
        <w:tc>
          <w:tcPr>
            <w:tcW w:type="dxa" w:w="5112"/>
            <w:vAlign w:val="center"/>
          </w:tcPr>
          <w:p>
            <w:r/>
            <w:r>
              <w:rPr>
                <w:b w:val="0"/>
                <w:sz w:val="16"/>
              </w:rPr>
              <w:t>Rules, scoring weights, tier policies, exposure caps, monitoring and model governance.</w:t>
            </w:r>
          </w:p>
        </w:tc>
      </w:tr>
      <w:tr>
        <w:tc>
          <w:tcPr>
            <w:tcW w:type="dxa" w:w="5112"/>
            <w:vAlign w:val="center"/>
          </w:tcPr>
          <w:p>
            <w:r/>
            <w:r>
              <w:rPr>
                <w:b w:val="0"/>
                <w:sz w:val="16"/>
              </w:rPr>
              <w:t>Finance/Settlement User</w:t>
            </w:r>
          </w:p>
        </w:tc>
        <w:tc>
          <w:tcPr>
            <w:tcW w:type="dxa" w:w="5112"/>
            <w:vAlign w:val="center"/>
          </w:tcPr>
          <w:p>
            <w:r/>
            <w:r>
              <w:rPr>
                <w:b w:val="0"/>
                <w:sz w:val="16"/>
              </w:rPr>
              <w:t>Fees, commissions, reconciliation, settlement statements and finance exports.</w:t>
            </w:r>
          </w:p>
        </w:tc>
      </w:tr>
      <w:tr>
        <w:tc>
          <w:tcPr>
            <w:tcW w:type="dxa" w:w="5112"/>
            <w:vAlign w:val="center"/>
          </w:tcPr>
          <w:p>
            <w:r/>
            <w:r>
              <w:rPr>
                <w:b w:val="0"/>
                <w:sz w:val="16"/>
              </w:rPr>
              <w:t>Operations User</w:t>
            </w:r>
          </w:p>
        </w:tc>
        <w:tc>
          <w:tcPr>
            <w:tcW w:type="dxa" w:w="5112"/>
            <w:vAlign w:val="center"/>
          </w:tcPr>
          <w:p>
            <w:r/>
            <w:r>
              <w:rPr>
                <w:b w:val="0"/>
                <w:sz w:val="16"/>
              </w:rPr>
              <w:t>Exceptions, fulfilment failures, recovery issues, batch processing and cases.</w:t>
            </w:r>
          </w:p>
        </w:tc>
      </w:tr>
      <w:tr>
        <w:tc>
          <w:tcPr>
            <w:tcW w:type="dxa" w:w="5112"/>
            <w:vAlign w:val="center"/>
          </w:tcPr>
          <w:p>
            <w:r/>
            <w:r>
              <w:rPr>
                <w:b w:val="0"/>
                <w:sz w:val="16"/>
              </w:rPr>
              <w:t>Customer Support Agent</w:t>
            </w:r>
          </w:p>
        </w:tc>
        <w:tc>
          <w:tcPr>
            <w:tcW w:type="dxa" w:w="5112"/>
            <w:vAlign w:val="center"/>
          </w:tcPr>
          <w:p>
            <w:r/>
            <w:r>
              <w:rPr>
                <w:b w:val="0"/>
                <w:sz w:val="16"/>
              </w:rPr>
              <w:t>Subscriber history, explanations, complaints and controlled adjustments.</w:t>
            </w:r>
          </w:p>
        </w:tc>
      </w:tr>
      <w:tr>
        <w:tc>
          <w:tcPr>
            <w:tcW w:type="dxa" w:w="5112"/>
            <w:vAlign w:val="center"/>
          </w:tcPr>
          <w:p>
            <w:r/>
            <w:r>
              <w:rPr>
                <w:b w:val="0"/>
                <w:sz w:val="16"/>
              </w:rPr>
              <w:t>Fraud Analyst</w:t>
            </w:r>
          </w:p>
        </w:tc>
        <w:tc>
          <w:tcPr>
            <w:tcW w:type="dxa" w:w="5112"/>
            <w:vAlign w:val="center"/>
          </w:tcPr>
          <w:p>
            <w:r/>
            <w:r>
              <w:rPr>
                <w:b w:val="0"/>
                <w:sz w:val="16"/>
              </w:rPr>
              <w:t>Fraud alerts, SIM-swap events, linked identities and account restrictions.</w:t>
            </w:r>
          </w:p>
        </w:tc>
      </w:tr>
      <w:tr>
        <w:tc>
          <w:tcPr>
            <w:tcW w:type="dxa" w:w="5112"/>
            <w:vAlign w:val="center"/>
          </w:tcPr>
          <w:p>
            <w:r/>
            <w:r>
              <w:rPr>
                <w:b w:val="0"/>
                <w:sz w:val="16"/>
              </w:rPr>
              <w:t>Compliance/Audit User</w:t>
            </w:r>
          </w:p>
        </w:tc>
        <w:tc>
          <w:tcPr>
            <w:tcW w:type="dxa" w:w="5112"/>
            <w:vAlign w:val="center"/>
          </w:tcPr>
          <w:p>
            <w:r/>
            <w:r>
              <w:rPr>
                <w:b w:val="0"/>
                <w:sz w:val="16"/>
              </w:rPr>
              <w:t>Read-only access to decisions, versions, consents, audit events and reports.</w:t>
            </w:r>
          </w:p>
        </w:tc>
      </w:tr>
      <w:tr>
        <w:tc>
          <w:tcPr>
            <w:tcW w:type="dxa" w:w="5112"/>
            <w:vAlign w:val="center"/>
          </w:tcPr>
          <w:p>
            <w:r/>
            <w:r>
              <w:rPr>
                <w:b w:val="0"/>
                <w:sz w:val="16"/>
              </w:rPr>
              <w:t>Funding Partner User</w:t>
            </w:r>
          </w:p>
        </w:tc>
        <w:tc>
          <w:tcPr>
            <w:tcW w:type="dxa" w:w="5112"/>
            <w:vAlign w:val="center"/>
          </w:tcPr>
          <w:p>
            <w:r/>
            <w:r>
              <w:rPr>
                <w:b w:val="0"/>
                <w:sz w:val="16"/>
              </w:rPr>
              <w:t>Portfolio and settlement views limited to funded products and telcos.</w:t>
            </w:r>
          </w:p>
        </w:tc>
      </w:tr>
      <w:tr>
        <w:tc>
          <w:tcPr>
            <w:tcW w:type="dxa" w:w="5112"/>
            <w:vAlign w:val="center"/>
          </w:tcPr>
          <w:p>
            <w:r/>
            <w:r>
              <w:rPr>
                <w:b w:val="0"/>
                <w:sz w:val="16"/>
              </w:rPr>
              <w:t>Subscriber</w:t>
            </w:r>
          </w:p>
        </w:tc>
        <w:tc>
          <w:tcPr>
            <w:tcW w:type="dxa" w:w="5112"/>
            <w:vAlign w:val="center"/>
          </w:tcPr>
          <w:p>
            <w:r/>
            <w:r>
              <w:rPr>
                <w:b w:val="0"/>
                <w:sz w:val="16"/>
              </w:rPr>
              <w:t>Requests offers/advances, receives disclosures, views status and receives notifications.</w:t>
            </w:r>
          </w:p>
        </w:tc>
      </w:tr>
    </w:tbl>
    <w:p/>
    <w:p>
      <w:pPr>
        <w:pStyle w:val="Heading1"/>
        <w:pageBreakBefore/>
      </w:pPr>
      <w:r>
        <w:t>7. Multi-Telco Architecture</w:t>
      </w:r>
    </w:p>
    <w:p>
      <w:pPr>
        <w:pStyle w:val="Heading2"/>
      </w:pPr>
      <w:r>
        <w:t>7.1 Tenant Identification</w:t>
      </w:r>
    </w:p>
    <w:p>
      <w:r>
        <w:t>Every subscriber account, score, offer, advance, repayment, ledger entry, reconciliation item, settlement item, case, audit event and configuration object shall carry an immutable telco_id. MSISDN alone shall never be the primary business key. The canonical subscriber key shall be telco_id + normalised MSISDN + effective service period, with internal subscriber_account_id.</w:t>
      </w:r>
    </w:p>
    <w:p>
      <w:pPr>
        <w:pStyle w:val="Heading2"/>
      </w:pPr>
      <w:r>
        <w:t>7.2 Telco Integration Gateway</w:t>
      </w:r>
    </w:p>
    <w:p>
      <w:pPr>
        <w:pStyle w:val="ListBullet"/>
      </w:pPr>
      <w:r>
        <w:t>Authenticates each telco using operator-specific credentials and certificates.</w:t>
      </w:r>
    </w:p>
    <w:p>
      <w:pPr>
        <w:pStyle w:val="ListBullet"/>
      </w:pPr>
      <w:r>
        <w:t>Resolves telco context from credentials and payload; rejects inconsistent identifiers.</w:t>
      </w:r>
    </w:p>
    <w:p>
      <w:pPr>
        <w:pStyle w:val="ListBullet"/>
      </w:pPr>
      <w:r>
        <w:t>Transforms operator-specific schemas and codes into canonical platform messages.</w:t>
      </w:r>
    </w:p>
    <w:p>
      <w:pPr>
        <w:pStyle w:val="ListBullet"/>
      </w:pPr>
      <w:r>
        <w:t>Applies per-telco rate limits, timeouts, retries, circuit breakers and maintenance modes.</w:t>
      </w:r>
    </w:p>
    <w:p>
      <w:pPr>
        <w:pStyle w:val="ListBullet"/>
      </w:pPr>
      <w:r>
        <w:t>Routes outbound fulfilment, enquiry and acknowledgement messages to the correct adapter.</w:t>
      </w:r>
    </w:p>
    <w:p>
      <w:pPr>
        <w:pStyle w:val="ListBullet"/>
      </w:pPr>
      <w:r>
        <w:t>Maintains independent dead-letter queues and replay controls for each operator.</w:t>
      </w:r>
    </w:p>
    <w:p>
      <w:pPr>
        <w:pStyle w:val="Heading2"/>
      </w:pPr>
      <w:r>
        <w:t>7.3 Messaging and Routing</w:t>
      </w:r>
    </w:p>
    <w:p>
      <w:r>
        <w:t>The platform shall support shared logical topics partitioned by telco_id and dedicated operator topics where volume, security or isolation requires it. The routing strategy shall be configurable by operator and event type. Partition keys shall preserve ordering where needed, especially for subscriber-level repayment and fulfilment events.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r/>
            <w:r>
              <w:rPr>
                <w:b/>
                <w:color w:val="FFFFFF"/>
                <w:sz w:val="16"/>
              </w:rPr>
              <w:t>ID</w:t>
            </w:r>
          </w:p>
        </w:tc>
        <w:tc>
          <w:tcPr>
            <w:tcW w:type="dxa" w:w="2045"/>
            <w:vAlign w:val="center"/>
            <w:shd w:fill="17365D"/>
          </w:tcPr>
          <w:p>
            <w:r/>
            <w:r>
              <w:rPr>
                <w:b/>
                <w:color w:val="FFFFFF"/>
                <w:sz w:val="16"/>
              </w:rPr>
              <w:t>Requirement</w:t>
            </w:r>
          </w:p>
        </w:tc>
        <w:tc>
          <w:tcPr>
            <w:tcW w:type="dxa" w:w="2045"/>
            <w:vAlign w:val="center"/>
            <w:shd w:fill="17365D"/>
          </w:tcPr>
          <w:p>
            <w:r/>
            <w:r>
              <w:rPr>
                <w:b/>
                <w:color w:val="FFFFFF"/>
                <w:sz w:val="16"/>
              </w:rPr>
              <w:t>Priority</w:t>
            </w:r>
          </w:p>
        </w:tc>
        <w:tc>
          <w:tcPr>
            <w:tcW w:type="dxa" w:w="2045"/>
            <w:vAlign w:val="center"/>
            <w:shd w:fill="17365D"/>
          </w:tcPr>
          <w:p>
            <w:r/>
            <w:r>
              <w:rPr>
                <w:b/>
                <w:color w:val="FFFFFF"/>
                <w:sz w:val="16"/>
              </w:rPr>
              <w:t>Acceptance Evidence</w:t>
            </w:r>
          </w:p>
        </w:tc>
        <w:tc>
          <w:tcPr>
            <w:tcW w:type="dxa" w:w="2045"/>
            <w:vAlign w:val="center"/>
            <w:shd w:fill="17365D"/>
          </w:tcPr>
          <w:p>
            <w:r/>
            <w:r>
              <w:rPr>
                <w:b/>
                <w:color w:val="FFFFFF"/>
                <w:sz w:val="16"/>
              </w:rPr>
              <w:t>Configurable?</w:t>
            </w:r>
          </w:p>
        </w:tc>
      </w:tr>
      <w:tr>
        <w:tc>
          <w:tcPr>
            <w:tcW w:type="dxa" w:w="2045"/>
            <w:vAlign w:val="center"/>
          </w:tcPr>
          <w:p>
            <w:r/>
            <w:r>
              <w:rPr>
                <w:b w:val="0"/>
                <w:sz w:val="16"/>
              </w:rPr>
              <w:t>MT-001</w:t>
            </w:r>
          </w:p>
        </w:tc>
        <w:tc>
          <w:tcPr>
            <w:tcW w:type="dxa" w:w="2045"/>
            <w:vAlign w:val="center"/>
          </w:tcPr>
          <w:p>
            <w:r/>
            <w:r>
              <w:rPr>
                <w:b w:val="0"/>
                <w:sz w:val="16"/>
              </w:rPr>
              <w:t>All inbound and outbound requests shall include or resolve an immutable telco_id.</w:t>
            </w:r>
          </w:p>
        </w:tc>
        <w:tc>
          <w:tcPr>
            <w:tcW w:type="dxa" w:w="2045"/>
            <w:vAlign w:val="center"/>
          </w:tcPr>
          <w:p>
            <w:r/>
            <w:r>
              <w:rPr>
                <w:b w:val="0"/>
                <w:sz w:val="16"/>
              </w:rPr>
              <w:t>Must</w:t>
            </w:r>
          </w:p>
        </w:tc>
        <w:tc>
          <w:tcPr>
            <w:tcW w:type="dxa" w:w="2045"/>
            <w:vAlign w:val="center"/>
          </w:tcPr>
          <w:p>
            <w:r/>
            <w:r>
              <w:rPr>
                <w:b w:val="0"/>
                <w:sz w:val="16"/>
              </w:rPr>
              <w:t>Cross-tenant request tests pass.</w:t>
            </w:r>
          </w:p>
        </w:tc>
        <w:tc>
          <w:tcPr>
            <w:tcW w:type="dxa" w:w="2045"/>
            <w:vAlign w:val="center"/>
          </w:tcPr>
          <w:p>
            <w:r/>
            <w:r>
              <w:rPr>
                <w:b w:val="0"/>
                <w:sz w:val="16"/>
              </w:rPr>
              <w:t>No</w:t>
            </w:r>
          </w:p>
        </w:tc>
      </w:tr>
      <w:tr>
        <w:tc>
          <w:tcPr>
            <w:tcW w:type="dxa" w:w="2045"/>
            <w:vAlign w:val="center"/>
          </w:tcPr>
          <w:p>
            <w:r/>
            <w:r>
              <w:rPr>
                <w:b w:val="0"/>
                <w:sz w:val="16"/>
              </w:rPr>
              <w:t>MT-002</w:t>
            </w:r>
          </w:p>
        </w:tc>
        <w:tc>
          <w:tcPr>
            <w:tcW w:type="dxa" w:w="2045"/>
            <w:vAlign w:val="center"/>
          </w:tcPr>
          <w:p>
            <w:r/>
            <w:r>
              <w:rPr>
                <w:b w:val="0"/>
                <w:sz w:val="16"/>
              </w:rPr>
              <w:t>Each telco shall have independently configurable endpoints, credentials, queue/topic names, limits and failure policies.</w:t>
            </w:r>
          </w:p>
        </w:tc>
        <w:tc>
          <w:tcPr>
            <w:tcW w:type="dxa" w:w="2045"/>
            <w:vAlign w:val="center"/>
          </w:tcPr>
          <w:p>
            <w:r/>
            <w:r>
              <w:rPr>
                <w:b w:val="0"/>
                <w:sz w:val="16"/>
              </w:rPr>
              <w:t>Must</w:t>
            </w:r>
          </w:p>
        </w:tc>
        <w:tc>
          <w:tcPr>
            <w:tcW w:type="dxa" w:w="2045"/>
            <w:vAlign w:val="center"/>
          </w:tcPr>
          <w:p>
            <w:r/>
            <w:r>
              <w:rPr>
                <w:b w:val="0"/>
                <w:sz w:val="16"/>
              </w:rPr>
              <w:t>Onboard second telco without core-code change.</w:t>
            </w:r>
          </w:p>
        </w:tc>
        <w:tc>
          <w:tcPr>
            <w:tcW w:type="dxa" w:w="2045"/>
            <w:vAlign w:val="center"/>
          </w:tcPr>
          <w:p>
            <w:r/>
            <w:r>
              <w:rPr>
                <w:b w:val="0"/>
                <w:sz w:val="16"/>
              </w:rPr>
              <w:t>Yes</w:t>
            </w:r>
          </w:p>
        </w:tc>
      </w:tr>
      <w:tr>
        <w:tc>
          <w:tcPr>
            <w:tcW w:type="dxa" w:w="2045"/>
            <w:vAlign w:val="center"/>
          </w:tcPr>
          <w:p>
            <w:r/>
            <w:r>
              <w:rPr>
                <w:b w:val="0"/>
                <w:sz w:val="16"/>
              </w:rPr>
              <w:t>MT-003</w:t>
            </w:r>
          </w:p>
        </w:tc>
        <w:tc>
          <w:tcPr>
            <w:tcW w:type="dxa" w:w="2045"/>
            <w:vAlign w:val="center"/>
          </w:tcPr>
          <w:p>
            <w:r/>
            <w:r>
              <w:rPr>
                <w:b w:val="0"/>
                <w:sz w:val="16"/>
              </w:rPr>
              <w:t>A telco adapter failure shall not consume all shared worker, connection or queue capacity.</w:t>
            </w:r>
          </w:p>
        </w:tc>
        <w:tc>
          <w:tcPr>
            <w:tcW w:type="dxa" w:w="2045"/>
            <w:vAlign w:val="center"/>
          </w:tcPr>
          <w:p>
            <w:r/>
            <w:r>
              <w:rPr>
                <w:b w:val="0"/>
                <w:sz w:val="16"/>
              </w:rPr>
              <w:t>Must</w:t>
            </w:r>
          </w:p>
        </w:tc>
        <w:tc>
          <w:tcPr>
            <w:tcW w:type="dxa" w:w="2045"/>
            <w:vAlign w:val="center"/>
          </w:tcPr>
          <w:p>
            <w:r/>
            <w:r>
              <w:rPr>
                <w:b w:val="0"/>
                <w:sz w:val="16"/>
              </w:rPr>
              <w:t>Chaos test demonstrates continued service for other telcos.</w:t>
            </w:r>
          </w:p>
        </w:tc>
        <w:tc>
          <w:tcPr>
            <w:tcW w:type="dxa" w:w="2045"/>
            <w:vAlign w:val="center"/>
          </w:tcPr>
          <w:p>
            <w:r/>
            <w:r>
              <w:rPr>
                <w:b w:val="0"/>
                <w:sz w:val="16"/>
              </w:rPr>
              <w:t>Partly</w:t>
            </w:r>
          </w:p>
        </w:tc>
      </w:tr>
      <w:tr>
        <w:tc>
          <w:tcPr>
            <w:tcW w:type="dxa" w:w="2045"/>
            <w:vAlign w:val="center"/>
          </w:tcPr>
          <w:p>
            <w:r/>
            <w:r>
              <w:rPr>
                <w:b w:val="0"/>
                <w:sz w:val="16"/>
              </w:rPr>
              <w:t>MT-004</w:t>
            </w:r>
          </w:p>
        </w:tc>
        <w:tc>
          <w:tcPr>
            <w:tcW w:type="dxa" w:w="2045"/>
            <w:vAlign w:val="center"/>
          </w:tcPr>
          <w:p>
            <w:r/>
            <w:r>
              <w:rPr>
                <w:b w:val="0"/>
                <w:sz w:val="16"/>
              </w:rPr>
              <w:t>Administrative users shall be restricted to permitted telco tenants.</w:t>
            </w:r>
          </w:p>
        </w:tc>
        <w:tc>
          <w:tcPr>
            <w:tcW w:type="dxa" w:w="2045"/>
            <w:vAlign w:val="center"/>
          </w:tcPr>
          <w:p>
            <w:r/>
            <w:r>
              <w:rPr>
                <w:b w:val="0"/>
                <w:sz w:val="16"/>
              </w:rPr>
              <w:t>Must</w:t>
            </w:r>
          </w:p>
        </w:tc>
        <w:tc>
          <w:tcPr>
            <w:tcW w:type="dxa" w:w="2045"/>
            <w:vAlign w:val="center"/>
          </w:tcPr>
          <w:p>
            <w:r/>
            <w:r>
              <w:rPr>
                <w:b w:val="0"/>
                <w:sz w:val="16"/>
              </w:rPr>
              <w:t>RBAC and row-level security tests.</w:t>
            </w:r>
          </w:p>
        </w:tc>
        <w:tc>
          <w:tcPr>
            <w:tcW w:type="dxa" w:w="2045"/>
            <w:vAlign w:val="center"/>
          </w:tcPr>
          <w:p>
            <w:r/>
            <w:r>
              <w:rPr>
                <w:b w:val="0"/>
                <w:sz w:val="16"/>
              </w:rPr>
              <w:t>Yes</w:t>
            </w:r>
          </w:p>
        </w:tc>
      </w:tr>
      <w:tr>
        <w:tc>
          <w:tcPr>
            <w:tcW w:type="dxa" w:w="2045"/>
            <w:vAlign w:val="center"/>
          </w:tcPr>
          <w:p>
            <w:r/>
            <w:r>
              <w:rPr>
                <w:b w:val="0"/>
                <w:sz w:val="16"/>
              </w:rPr>
              <w:t>MT-005</w:t>
            </w:r>
          </w:p>
        </w:tc>
        <w:tc>
          <w:tcPr>
            <w:tcW w:type="dxa" w:w="2045"/>
            <w:vAlign w:val="center"/>
          </w:tcPr>
          <w:p>
            <w:r/>
            <w:r>
              <w:rPr>
                <w:b w:val="0"/>
                <w:sz w:val="16"/>
              </w:rPr>
              <w:t>The platform shall support shared, schema-isolated or dedicated database deployment modes by telco.</w:t>
            </w:r>
          </w:p>
        </w:tc>
        <w:tc>
          <w:tcPr>
            <w:tcW w:type="dxa" w:w="2045"/>
            <w:vAlign w:val="center"/>
          </w:tcPr>
          <w:p>
            <w:r/>
            <w:r>
              <w:rPr>
                <w:b w:val="0"/>
                <w:sz w:val="16"/>
              </w:rPr>
              <w:t>Should</w:t>
            </w:r>
          </w:p>
        </w:tc>
        <w:tc>
          <w:tcPr>
            <w:tcW w:type="dxa" w:w="2045"/>
            <w:vAlign w:val="center"/>
          </w:tcPr>
          <w:p>
            <w:r/>
            <w:r>
              <w:rPr>
                <w:b w:val="0"/>
                <w:sz w:val="16"/>
              </w:rPr>
              <w:t>Deployment runbook and migration test.</w:t>
            </w:r>
          </w:p>
        </w:tc>
        <w:tc>
          <w:tcPr>
            <w:tcW w:type="dxa" w:w="2045"/>
            <w:vAlign w:val="center"/>
          </w:tcPr>
          <w:p>
            <w:r/>
            <w:r>
              <w:rPr>
                <w:b w:val="0"/>
                <w:sz w:val="16"/>
              </w:rPr>
              <w:t>Yes</w:t>
            </w:r>
          </w:p>
        </w:tc>
      </w:tr>
    </w:tbl>
    <w:p/>
    <w:p>
      <w:pPr>
        <w:pStyle w:val="Heading1"/>
        <w:pageBreakBefore/>
      </w:pPr>
      <w:r>
        <w:t>8. Configuration and Rules Management Framework</w:t>
      </w:r>
    </w:p>
    <w:p>
      <w:r>
        <w:t>The platform shall implement governed configuration, not uncontrolled editable values. Every material configuration shall have scope, effective dates, version, owner, approver, status, validation, impact preview, audit history and rollback capability.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Configuration Domain</w:t>
            </w:r>
          </w:p>
        </w:tc>
        <w:tc>
          <w:tcPr>
            <w:tcW w:type="dxa" w:w="5112"/>
            <w:vAlign w:val="center"/>
            <w:shd w:fill="1F4E78"/>
          </w:tcPr>
          <w:p>
            <w:r/>
            <w:r>
              <w:rPr>
                <w:b/>
                <w:color w:val="FFFFFF"/>
                <w:sz w:val="16"/>
              </w:rPr>
              <w:t>Examples</w:t>
            </w:r>
          </w:p>
        </w:tc>
      </w:tr>
      <w:tr>
        <w:tc>
          <w:tcPr>
            <w:tcW w:type="dxa" w:w="5112"/>
            <w:vAlign w:val="center"/>
          </w:tcPr>
          <w:p>
            <w:r/>
            <w:r>
              <w:rPr>
                <w:b w:val="0"/>
                <w:sz w:val="16"/>
              </w:rPr>
              <w:t>Tenant</w:t>
            </w:r>
          </w:p>
        </w:tc>
        <w:tc>
          <w:tcPr>
            <w:tcW w:type="dxa" w:w="5112"/>
            <w:vAlign w:val="center"/>
          </w:tcPr>
          <w:p>
            <w:r/>
            <w:r>
              <w:rPr>
                <w:b w:val="0"/>
                <w:sz w:val="16"/>
              </w:rPr>
              <w:t>Telco code, country, currency, time zone, operational status, data residency.</w:t>
            </w:r>
          </w:p>
        </w:tc>
      </w:tr>
      <w:tr>
        <w:tc>
          <w:tcPr>
            <w:tcW w:type="dxa" w:w="5112"/>
            <w:vAlign w:val="center"/>
          </w:tcPr>
          <w:p>
            <w:r/>
            <w:r>
              <w:rPr>
                <w:b w:val="0"/>
                <w:sz w:val="16"/>
              </w:rPr>
              <w:t>Integration</w:t>
            </w:r>
          </w:p>
        </w:tc>
        <w:tc>
          <w:tcPr>
            <w:tcW w:type="dxa" w:w="5112"/>
            <w:vAlign w:val="center"/>
          </w:tcPr>
          <w:p>
            <w:r/>
            <w:r>
              <w:rPr>
                <w:b w:val="0"/>
                <w:sz w:val="16"/>
              </w:rPr>
              <w:t>URLs, protocol, auth method, certificates, schemas, timeouts, retries, rate limits, queue names, file locations.</w:t>
            </w:r>
          </w:p>
        </w:tc>
      </w:tr>
      <w:tr>
        <w:tc>
          <w:tcPr>
            <w:tcW w:type="dxa" w:w="5112"/>
            <w:vAlign w:val="center"/>
          </w:tcPr>
          <w:p>
            <w:r/>
            <w:r>
              <w:rPr>
                <w:b w:val="0"/>
                <w:sz w:val="16"/>
              </w:rPr>
              <w:t>Products</w:t>
            </w:r>
          </w:p>
        </w:tc>
        <w:tc>
          <w:tcPr>
            <w:tcW w:type="dxa" w:w="5112"/>
            <w:vAlign w:val="center"/>
          </w:tcPr>
          <w:p>
            <w:r/>
            <w:r>
              <w:rPr>
                <w:b w:val="0"/>
                <w:sz w:val="16"/>
              </w:rPr>
              <w:t>Airtime/data/voice/device product, denominations, fee display, repayment method, eligibility.</w:t>
            </w:r>
          </w:p>
        </w:tc>
      </w:tr>
      <w:tr>
        <w:tc>
          <w:tcPr>
            <w:tcW w:type="dxa" w:w="5112"/>
            <w:vAlign w:val="center"/>
          </w:tcPr>
          <w:p>
            <w:r/>
            <w:r>
              <w:rPr>
                <w:b w:val="0"/>
                <w:sz w:val="16"/>
              </w:rPr>
              <w:t>Scoring</w:t>
            </w:r>
          </w:p>
        </w:tc>
        <w:tc>
          <w:tcPr>
            <w:tcW w:type="dxa" w:w="5112"/>
            <w:vAlign w:val="center"/>
          </w:tcPr>
          <w:p>
            <w:r/>
            <w:r>
              <w:rPr>
                <w:b w:val="0"/>
                <w:sz w:val="16"/>
              </w:rPr>
              <w:t>Feature definitions, weights, transformations, thresholds, model version, override rules.</w:t>
            </w:r>
          </w:p>
        </w:tc>
      </w:tr>
      <w:tr>
        <w:tc>
          <w:tcPr>
            <w:tcW w:type="dxa" w:w="5112"/>
            <w:vAlign w:val="center"/>
          </w:tcPr>
          <w:p>
            <w:r/>
            <w:r>
              <w:rPr>
                <w:b w:val="0"/>
                <w:sz w:val="16"/>
              </w:rPr>
              <w:t>Tiers and limits</w:t>
            </w:r>
          </w:p>
        </w:tc>
        <w:tc>
          <w:tcPr>
            <w:tcW w:type="dxa" w:w="5112"/>
            <w:vAlign w:val="center"/>
          </w:tcPr>
          <w:p>
            <w:r/>
            <w:r>
              <w:rPr>
                <w:b w:val="0"/>
                <w:sz w:val="16"/>
              </w:rPr>
              <w:t>Tier values, max movement, exposure caps, cooling periods, offer denominations.</w:t>
            </w:r>
          </w:p>
        </w:tc>
      </w:tr>
      <w:tr>
        <w:tc>
          <w:tcPr>
            <w:tcW w:type="dxa" w:w="5112"/>
            <w:vAlign w:val="center"/>
          </w:tcPr>
          <w:p>
            <w:r/>
            <w:r>
              <w:rPr>
                <w:b w:val="0"/>
                <w:sz w:val="16"/>
              </w:rPr>
              <w:t>Anti-gaming</w:t>
            </w:r>
          </w:p>
        </w:tc>
        <w:tc>
          <w:tcPr>
            <w:tcW w:type="dxa" w:w="5112"/>
            <w:vAlign w:val="center"/>
          </w:tcPr>
          <w:p>
            <w:r/>
            <w:r>
              <w:rPr>
                <w:b w:val="0"/>
                <w:sz w:val="16"/>
              </w:rPr>
              <w:t>Spike thresholds, winsorisation caps, stability windows, suspicious-pattern rules.</w:t>
            </w:r>
          </w:p>
        </w:tc>
      </w:tr>
      <w:tr>
        <w:tc>
          <w:tcPr>
            <w:tcW w:type="dxa" w:w="5112"/>
            <w:vAlign w:val="center"/>
          </w:tcPr>
          <w:p>
            <w:r/>
            <w:r>
              <w:rPr>
                <w:b w:val="0"/>
                <w:sz w:val="16"/>
              </w:rPr>
              <w:t>Recovery</w:t>
            </w:r>
          </w:p>
        </w:tc>
        <w:tc>
          <w:tcPr>
            <w:tcW w:type="dxa" w:w="5112"/>
            <w:vAlign w:val="center"/>
          </w:tcPr>
          <w:p>
            <w:r/>
            <w:r>
              <w:rPr>
                <w:b w:val="0"/>
                <w:sz w:val="16"/>
              </w:rPr>
              <w:t>Allocation order, partial recovery, protected recharge amount, grace logic, event sources.</w:t>
            </w:r>
          </w:p>
        </w:tc>
      </w:tr>
      <w:tr>
        <w:tc>
          <w:tcPr>
            <w:tcW w:type="dxa" w:w="5112"/>
            <w:vAlign w:val="center"/>
          </w:tcPr>
          <w:p>
            <w:r/>
            <w:r>
              <w:rPr>
                <w:b w:val="0"/>
                <w:sz w:val="16"/>
              </w:rPr>
              <w:t>Commercials</w:t>
            </w:r>
          </w:p>
        </w:tc>
        <w:tc>
          <w:tcPr>
            <w:tcW w:type="dxa" w:w="5112"/>
            <w:vAlign w:val="center"/>
          </w:tcPr>
          <w:p>
            <w:r/>
            <w:r>
              <w:rPr>
                <w:b w:val="0"/>
                <w:sz w:val="16"/>
              </w:rPr>
              <w:t>Fee rate, revenue split, tax, funder return, settlement account and cycle.</w:t>
            </w:r>
          </w:p>
        </w:tc>
      </w:tr>
      <w:tr>
        <w:tc>
          <w:tcPr>
            <w:tcW w:type="dxa" w:w="5112"/>
            <w:vAlign w:val="center"/>
          </w:tcPr>
          <w:p>
            <w:r/>
            <w:r>
              <w:rPr>
                <w:b w:val="0"/>
                <w:sz w:val="16"/>
              </w:rPr>
              <w:t>Reconciliation</w:t>
            </w:r>
          </w:p>
        </w:tc>
        <w:tc>
          <w:tcPr>
            <w:tcW w:type="dxa" w:w="5112"/>
            <w:vAlign w:val="center"/>
          </w:tcPr>
          <w:p>
            <w:r/>
            <w:r>
              <w:rPr>
                <w:b w:val="0"/>
                <w:sz w:val="16"/>
              </w:rPr>
              <w:t>Matching keys, tolerance, ageing, auto-resolution and escalation rules.</w:t>
            </w:r>
          </w:p>
        </w:tc>
      </w:tr>
      <w:tr>
        <w:tc>
          <w:tcPr>
            <w:tcW w:type="dxa" w:w="5112"/>
            <w:vAlign w:val="center"/>
          </w:tcPr>
          <w:p>
            <w:r/>
            <w:r>
              <w:rPr>
                <w:b w:val="0"/>
                <w:sz w:val="16"/>
              </w:rPr>
              <w:t>Workflow</w:t>
            </w:r>
          </w:p>
        </w:tc>
        <w:tc>
          <w:tcPr>
            <w:tcW w:type="dxa" w:w="5112"/>
            <w:vAlign w:val="center"/>
          </w:tcPr>
          <w:p>
            <w:r/>
            <w:r>
              <w:rPr>
                <w:b w:val="0"/>
                <w:sz w:val="16"/>
              </w:rPr>
              <w:t>Maker-checker, approval levels, manual review triggers, SLA and escalation.</w:t>
            </w:r>
          </w:p>
        </w:tc>
      </w:tr>
      <w:tr>
        <w:tc>
          <w:tcPr>
            <w:tcW w:type="dxa" w:w="5112"/>
            <w:vAlign w:val="center"/>
          </w:tcPr>
          <w:p>
            <w:r/>
            <w:r>
              <w:rPr>
                <w:b w:val="0"/>
                <w:sz w:val="16"/>
              </w:rPr>
              <w:t>Feature flags</w:t>
            </w:r>
          </w:p>
        </w:tc>
        <w:tc>
          <w:tcPr>
            <w:tcW w:type="dxa" w:w="5112"/>
            <w:vAlign w:val="center"/>
          </w:tcPr>
          <w:p>
            <w:r/>
            <w:r>
              <w:rPr>
                <w:b w:val="0"/>
                <w:sz w:val="16"/>
              </w:rPr>
              <w:t>Enable product/telco/channel/segment/pilot, kill switches and rollout percentages.</w:t>
            </w:r>
          </w:p>
        </w:tc>
      </w:tr>
      <w:tr>
        <w:tc>
          <w:tcPr>
            <w:tcW w:type="dxa" w:w="5112"/>
            <w:vAlign w:val="center"/>
          </w:tcPr>
          <w:p>
            <w:r/>
            <w:r>
              <w:rPr>
                <w:b w:val="0"/>
                <w:sz w:val="16"/>
              </w:rPr>
              <w:t>Notifications</w:t>
            </w:r>
          </w:p>
        </w:tc>
        <w:tc>
          <w:tcPr>
            <w:tcW w:type="dxa" w:w="5112"/>
            <w:vAlign w:val="center"/>
          </w:tcPr>
          <w:p>
            <w:r/>
            <w:r>
              <w:rPr>
                <w:b w:val="0"/>
                <w:sz w:val="16"/>
              </w:rPr>
              <w:t>Templates, language, channels, triggers and quiet hours.</w:t>
            </w:r>
          </w:p>
        </w:tc>
      </w:tr>
      <w:tr>
        <w:tc>
          <w:tcPr>
            <w:tcW w:type="dxa" w:w="5112"/>
            <w:vAlign w:val="center"/>
          </w:tcPr>
          <w:p>
            <w:r/>
            <w:r>
              <w:rPr>
                <w:b w:val="0"/>
                <w:sz w:val="16"/>
              </w:rPr>
              <w:t>Retention</w:t>
            </w:r>
          </w:p>
        </w:tc>
        <w:tc>
          <w:tcPr>
            <w:tcW w:type="dxa" w:w="5112"/>
            <w:vAlign w:val="center"/>
          </w:tcPr>
          <w:p>
            <w:r/>
            <w:r>
              <w:rPr>
                <w:b w:val="0"/>
                <w:sz w:val="16"/>
              </w:rPr>
              <w:t>Data retention and archival by data class and telco.</w:t>
            </w:r>
          </w:p>
        </w:tc>
      </w:tr>
      <w:tr>
        <w:tc>
          <w:tcPr>
            <w:tcW w:type="dxa" w:w="5112"/>
            <w:vAlign w:val="center"/>
          </w:tcPr>
          <w:p>
            <w:r/>
            <w:r>
              <w:rPr>
                <w:b w:val="0"/>
                <w:sz w:val="16"/>
              </w:rPr>
              <w:t>Reporting</w:t>
            </w:r>
          </w:p>
        </w:tc>
        <w:tc>
          <w:tcPr>
            <w:tcW w:type="dxa" w:w="5112"/>
            <w:vAlign w:val="center"/>
          </w:tcPr>
          <w:p>
            <w:r/>
            <w:r>
              <w:rPr>
                <w:b w:val="0"/>
                <w:sz w:val="16"/>
              </w:rPr>
              <w:t>Scheduled reports, recipients, fields, filters and formats.</w:t>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r/>
            <w:r>
              <w:rPr>
                <w:b/>
                <w:color w:val="FFFFFF"/>
                <w:sz w:val="16"/>
              </w:rPr>
              <w:t>ID</w:t>
            </w:r>
          </w:p>
        </w:tc>
        <w:tc>
          <w:tcPr>
            <w:tcW w:type="dxa" w:w="2045"/>
            <w:vAlign w:val="center"/>
            <w:shd w:fill="17365D"/>
          </w:tcPr>
          <w:p>
            <w:r/>
            <w:r>
              <w:rPr>
                <w:b/>
                <w:color w:val="FFFFFF"/>
                <w:sz w:val="16"/>
              </w:rPr>
              <w:t>Requirement</w:t>
            </w:r>
          </w:p>
        </w:tc>
        <w:tc>
          <w:tcPr>
            <w:tcW w:type="dxa" w:w="2045"/>
            <w:vAlign w:val="center"/>
            <w:shd w:fill="17365D"/>
          </w:tcPr>
          <w:p>
            <w:r/>
            <w:r>
              <w:rPr>
                <w:b/>
                <w:color w:val="FFFFFF"/>
                <w:sz w:val="16"/>
              </w:rPr>
              <w:t>Priority</w:t>
            </w:r>
          </w:p>
        </w:tc>
        <w:tc>
          <w:tcPr>
            <w:tcW w:type="dxa" w:w="2045"/>
            <w:vAlign w:val="center"/>
            <w:shd w:fill="17365D"/>
          </w:tcPr>
          <w:p>
            <w:r/>
            <w:r>
              <w:rPr>
                <w:b/>
                <w:color w:val="FFFFFF"/>
                <w:sz w:val="16"/>
              </w:rPr>
              <w:t>Acceptance Evidence</w:t>
            </w:r>
          </w:p>
        </w:tc>
        <w:tc>
          <w:tcPr>
            <w:tcW w:type="dxa" w:w="2045"/>
            <w:vAlign w:val="center"/>
            <w:shd w:fill="17365D"/>
          </w:tcPr>
          <w:p>
            <w:r/>
            <w:r>
              <w:rPr>
                <w:b/>
                <w:color w:val="FFFFFF"/>
                <w:sz w:val="16"/>
              </w:rPr>
              <w:t>Configurable?</w:t>
            </w:r>
          </w:p>
        </w:tc>
      </w:tr>
      <w:tr>
        <w:tc>
          <w:tcPr>
            <w:tcW w:type="dxa" w:w="2045"/>
            <w:vAlign w:val="center"/>
          </w:tcPr>
          <w:p>
            <w:r/>
            <w:r>
              <w:rPr>
                <w:b w:val="0"/>
                <w:sz w:val="16"/>
              </w:rPr>
              <w:t>CFG-001</w:t>
            </w:r>
          </w:p>
        </w:tc>
        <w:tc>
          <w:tcPr>
            <w:tcW w:type="dxa" w:w="2045"/>
            <w:vAlign w:val="center"/>
          </w:tcPr>
          <w:p>
            <w:r/>
            <w:r>
              <w:rPr>
                <w:b w:val="0"/>
                <w:sz w:val="16"/>
              </w:rPr>
              <w:t>Material configuration changes shall require maker-checker approval.</w:t>
            </w:r>
          </w:p>
        </w:tc>
        <w:tc>
          <w:tcPr>
            <w:tcW w:type="dxa" w:w="2045"/>
            <w:vAlign w:val="center"/>
          </w:tcPr>
          <w:p>
            <w:r/>
            <w:r>
              <w:rPr>
                <w:b w:val="0"/>
                <w:sz w:val="16"/>
              </w:rPr>
              <w:t>Must</w:t>
            </w:r>
          </w:p>
        </w:tc>
        <w:tc>
          <w:tcPr>
            <w:tcW w:type="dxa" w:w="2045"/>
            <w:vAlign w:val="center"/>
          </w:tcPr>
          <w:p>
            <w:r/>
            <w:r>
              <w:rPr>
                <w:b w:val="0"/>
                <w:sz w:val="16"/>
              </w:rPr>
              <w:t>Approval workflow and audit test.</w:t>
            </w:r>
          </w:p>
        </w:tc>
        <w:tc>
          <w:tcPr>
            <w:tcW w:type="dxa" w:w="2045"/>
            <w:vAlign w:val="center"/>
          </w:tcPr>
          <w:p>
            <w:r/>
            <w:r>
              <w:rPr>
                <w:b w:val="0"/>
                <w:sz w:val="16"/>
              </w:rPr>
              <w:t>No</w:t>
            </w:r>
          </w:p>
        </w:tc>
      </w:tr>
      <w:tr>
        <w:tc>
          <w:tcPr>
            <w:tcW w:type="dxa" w:w="2045"/>
            <w:vAlign w:val="center"/>
          </w:tcPr>
          <w:p>
            <w:r/>
            <w:r>
              <w:rPr>
                <w:b w:val="0"/>
                <w:sz w:val="16"/>
              </w:rPr>
              <w:t>CFG-002</w:t>
            </w:r>
          </w:p>
        </w:tc>
        <w:tc>
          <w:tcPr>
            <w:tcW w:type="dxa" w:w="2045"/>
            <w:vAlign w:val="center"/>
          </w:tcPr>
          <w:p>
            <w:r/>
            <w:r>
              <w:rPr>
                <w:b w:val="0"/>
                <w:sz w:val="16"/>
              </w:rPr>
              <w:t>Configuration shall support draft, simulation, approved, scheduled, active, superseded and rolled-back states.</w:t>
            </w:r>
          </w:p>
        </w:tc>
        <w:tc>
          <w:tcPr>
            <w:tcW w:type="dxa" w:w="2045"/>
            <w:vAlign w:val="center"/>
          </w:tcPr>
          <w:p>
            <w:r/>
            <w:r>
              <w:rPr>
                <w:b w:val="0"/>
                <w:sz w:val="16"/>
              </w:rPr>
              <w:t>Must</w:t>
            </w:r>
          </w:p>
        </w:tc>
        <w:tc>
          <w:tcPr>
            <w:tcW w:type="dxa" w:w="2045"/>
            <w:vAlign w:val="center"/>
          </w:tcPr>
          <w:p>
            <w:r/>
            <w:r>
              <w:rPr>
                <w:b w:val="0"/>
                <w:sz w:val="16"/>
              </w:rPr>
              <w:t>Lifecycle tests.</w:t>
            </w:r>
          </w:p>
        </w:tc>
        <w:tc>
          <w:tcPr>
            <w:tcW w:type="dxa" w:w="2045"/>
            <w:vAlign w:val="center"/>
          </w:tcPr>
          <w:p>
            <w:r/>
            <w:r>
              <w:rPr>
                <w:b w:val="0"/>
                <w:sz w:val="16"/>
              </w:rPr>
              <w:t>No</w:t>
            </w:r>
          </w:p>
        </w:tc>
      </w:tr>
      <w:tr>
        <w:tc>
          <w:tcPr>
            <w:tcW w:type="dxa" w:w="2045"/>
            <w:vAlign w:val="center"/>
          </w:tcPr>
          <w:p>
            <w:r/>
            <w:r>
              <w:rPr>
                <w:b w:val="0"/>
                <w:sz w:val="16"/>
              </w:rPr>
              <w:t>CFG-003</w:t>
            </w:r>
          </w:p>
        </w:tc>
        <w:tc>
          <w:tcPr>
            <w:tcW w:type="dxa" w:w="2045"/>
            <w:vAlign w:val="center"/>
          </w:tcPr>
          <w:p>
            <w:r/>
            <w:r>
              <w:rPr>
                <w:b w:val="0"/>
                <w:sz w:val="16"/>
              </w:rPr>
              <w:t>The platform shall prevent activation of invalid or internally inconsistent configuration.</w:t>
            </w:r>
          </w:p>
        </w:tc>
        <w:tc>
          <w:tcPr>
            <w:tcW w:type="dxa" w:w="2045"/>
            <w:vAlign w:val="center"/>
          </w:tcPr>
          <w:p>
            <w:r/>
            <w:r>
              <w:rPr>
                <w:b w:val="0"/>
                <w:sz w:val="16"/>
              </w:rPr>
              <w:t>Must</w:t>
            </w:r>
          </w:p>
        </w:tc>
        <w:tc>
          <w:tcPr>
            <w:tcW w:type="dxa" w:w="2045"/>
            <w:vAlign w:val="center"/>
          </w:tcPr>
          <w:p>
            <w:r/>
            <w:r>
              <w:rPr>
                <w:b w:val="0"/>
                <w:sz w:val="16"/>
              </w:rPr>
              <w:t>Negative validation tests.</w:t>
            </w:r>
          </w:p>
        </w:tc>
        <w:tc>
          <w:tcPr>
            <w:tcW w:type="dxa" w:w="2045"/>
            <w:vAlign w:val="center"/>
          </w:tcPr>
          <w:p>
            <w:r/>
            <w:r>
              <w:rPr>
                <w:b w:val="0"/>
                <w:sz w:val="16"/>
              </w:rPr>
              <w:t>No</w:t>
            </w:r>
          </w:p>
        </w:tc>
      </w:tr>
      <w:tr>
        <w:tc>
          <w:tcPr>
            <w:tcW w:type="dxa" w:w="2045"/>
            <w:vAlign w:val="center"/>
          </w:tcPr>
          <w:p>
            <w:r/>
            <w:r>
              <w:rPr>
                <w:b w:val="0"/>
                <w:sz w:val="16"/>
              </w:rPr>
              <w:t>CFG-004</w:t>
            </w:r>
          </w:p>
        </w:tc>
        <w:tc>
          <w:tcPr>
            <w:tcW w:type="dxa" w:w="2045"/>
            <w:vAlign w:val="center"/>
          </w:tcPr>
          <w:p>
            <w:r/>
            <w:r>
              <w:rPr>
                <w:b w:val="0"/>
                <w:sz w:val="16"/>
              </w:rPr>
              <w:t>Each decision and transaction shall retain the exact configuration version used.</w:t>
            </w:r>
          </w:p>
        </w:tc>
        <w:tc>
          <w:tcPr>
            <w:tcW w:type="dxa" w:w="2045"/>
            <w:vAlign w:val="center"/>
          </w:tcPr>
          <w:p>
            <w:r/>
            <w:r>
              <w:rPr>
                <w:b w:val="0"/>
                <w:sz w:val="16"/>
              </w:rPr>
              <w:t>Must</w:t>
            </w:r>
          </w:p>
        </w:tc>
        <w:tc>
          <w:tcPr>
            <w:tcW w:type="dxa" w:w="2045"/>
            <w:vAlign w:val="center"/>
          </w:tcPr>
          <w:p>
            <w:r/>
            <w:r>
              <w:rPr>
                <w:b w:val="0"/>
                <w:sz w:val="16"/>
              </w:rPr>
              <w:t>Historical replay reproduces result.</w:t>
            </w:r>
          </w:p>
        </w:tc>
        <w:tc>
          <w:tcPr>
            <w:tcW w:type="dxa" w:w="2045"/>
            <w:vAlign w:val="center"/>
          </w:tcPr>
          <w:p>
            <w:r/>
            <w:r>
              <w:rPr>
                <w:b w:val="0"/>
                <w:sz w:val="16"/>
              </w:rPr>
              <w:t>No</w:t>
            </w:r>
          </w:p>
        </w:tc>
      </w:tr>
      <w:tr>
        <w:tc>
          <w:tcPr>
            <w:tcW w:type="dxa" w:w="2045"/>
            <w:vAlign w:val="center"/>
          </w:tcPr>
          <w:p>
            <w:r/>
            <w:r>
              <w:rPr>
                <w:b w:val="0"/>
                <w:sz w:val="16"/>
              </w:rPr>
              <w:t>CFG-005</w:t>
            </w:r>
          </w:p>
        </w:tc>
        <w:tc>
          <w:tcPr>
            <w:tcW w:type="dxa" w:w="2045"/>
            <w:vAlign w:val="center"/>
          </w:tcPr>
          <w:p>
            <w:r/>
            <w:r>
              <w:rPr>
                <w:b w:val="0"/>
                <w:sz w:val="16"/>
              </w:rPr>
              <w:t>Emergency kill switches shall be available per telco, product and channel.</w:t>
            </w:r>
          </w:p>
        </w:tc>
        <w:tc>
          <w:tcPr>
            <w:tcW w:type="dxa" w:w="2045"/>
            <w:vAlign w:val="center"/>
          </w:tcPr>
          <w:p>
            <w:r/>
            <w:r>
              <w:rPr>
                <w:b w:val="0"/>
                <w:sz w:val="16"/>
              </w:rPr>
              <w:t>Must</w:t>
            </w:r>
          </w:p>
        </w:tc>
        <w:tc>
          <w:tcPr>
            <w:tcW w:type="dxa" w:w="2045"/>
            <w:vAlign w:val="center"/>
          </w:tcPr>
          <w:p>
            <w:r/>
            <w:r>
              <w:rPr>
                <w:b w:val="0"/>
                <w:sz w:val="16"/>
              </w:rPr>
              <w:t>Operational drill.</w:t>
            </w:r>
          </w:p>
        </w:tc>
        <w:tc>
          <w:tcPr>
            <w:tcW w:type="dxa" w:w="2045"/>
            <w:vAlign w:val="center"/>
          </w:tcPr>
          <w:p>
            <w:r/>
            <w:r>
              <w:rPr>
                <w:b w:val="0"/>
                <w:sz w:val="16"/>
              </w:rPr>
              <w:t>Yes</w:t>
            </w:r>
          </w:p>
        </w:tc>
      </w:tr>
      <w:tr>
        <w:tc>
          <w:tcPr>
            <w:tcW w:type="dxa" w:w="2045"/>
            <w:vAlign w:val="center"/>
          </w:tcPr>
          <w:p>
            <w:r/>
            <w:r>
              <w:rPr>
                <w:b w:val="0"/>
                <w:sz w:val="16"/>
              </w:rPr>
              <w:t>CFG-006</w:t>
            </w:r>
          </w:p>
        </w:tc>
        <w:tc>
          <w:tcPr>
            <w:tcW w:type="dxa" w:w="2045"/>
            <w:vAlign w:val="center"/>
          </w:tcPr>
          <w:p>
            <w:r/>
            <w:r>
              <w:rPr>
                <w:b w:val="0"/>
                <w:sz w:val="16"/>
              </w:rPr>
              <w:t>Secrets shall not be displayed in plain text in the admin portal.</w:t>
            </w:r>
          </w:p>
        </w:tc>
        <w:tc>
          <w:tcPr>
            <w:tcW w:type="dxa" w:w="2045"/>
            <w:vAlign w:val="center"/>
          </w:tcPr>
          <w:p>
            <w:r/>
            <w:r>
              <w:rPr>
                <w:b w:val="0"/>
                <w:sz w:val="16"/>
              </w:rPr>
              <w:t>Must</w:t>
            </w:r>
          </w:p>
        </w:tc>
        <w:tc>
          <w:tcPr>
            <w:tcW w:type="dxa" w:w="2045"/>
            <w:vAlign w:val="center"/>
          </w:tcPr>
          <w:p>
            <w:r/>
            <w:r>
              <w:rPr>
                <w:b w:val="0"/>
                <w:sz w:val="16"/>
              </w:rPr>
              <w:t>Security test.</w:t>
            </w:r>
          </w:p>
        </w:tc>
        <w:tc>
          <w:tcPr>
            <w:tcW w:type="dxa" w:w="2045"/>
            <w:vAlign w:val="center"/>
          </w:tcPr>
          <w:p>
            <w:r/>
            <w:r>
              <w:rPr>
                <w:b w:val="0"/>
                <w:sz w:val="16"/>
              </w:rPr>
              <w:t>No</w:t>
            </w:r>
          </w:p>
        </w:tc>
      </w:tr>
    </w:tbl>
    <w:p/>
    <w:p>
      <w:pPr>
        <w:pStyle w:val="Heading1"/>
        <w:pageBreakBefore/>
      </w:pPr>
      <w:r>
        <w:t>9. Telco Data Ingestion and Data Contracts</w:t>
      </w:r>
    </w:p>
    <w:p>
      <w:pPr>
        <w:pStyle w:val="Heading2"/>
      </w:pPr>
      <w:r>
        <w:t>9.1 Supported Interfaces</w:t>
      </w:r>
    </w:p>
    <w:p>
      <w:pPr>
        <w:pStyle w:val="ListBullet"/>
      </w:pPr>
      <w:r>
        <w:t>Nightly or intraday batch files for large subscriber feature sets.</w:t>
      </w:r>
    </w:p>
    <w:p>
      <w:pPr>
        <w:pStyle w:val="ListBullet"/>
      </w:pPr>
      <w:r>
        <w:t>Streaming events for recharge, repayment deduction, SIM swap, fraud, barring, NIN-verification changes and fulfilment status.</w:t>
      </w:r>
    </w:p>
    <w:p>
      <w:pPr>
        <w:pStyle w:val="ListBullet"/>
      </w:pPr>
      <w:r>
        <w:t>Synchronous APIs for eligibility checks, offer retrieval, fulfilment and status enquiries.</w:t>
      </w:r>
    </w:p>
    <w:p>
      <w:pPr>
        <w:pStyle w:val="ListBullet"/>
      </w:pPr>
      <w:r>
        <w:t>Secure object storage, SFTP, private API connectivity, VPN or dedicated links as agreed.</w:t>
      </w:r>
    </w:p>
    <w:p>
      <w:pPr>
        <w:pStyle w:val="Heading2"/>
      </w:pPr>
      <w:r>
        <w:t>9.2 Minimum Canonical Subscriber Attributes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Category</w:t>
            </w:r>
          </w:p>
        </w:tc>
        <w:tc>
          <w:tcPr>
            <w:tcW w:type="dxa" w:w="5112"/>
            <w:vAlign w:val="center"/>
            <w:shd w:fill="1F4E78"/>
          </w:tcPr>
          <w:p>
            <w:r/>
            <w:r>
              <w:rPr>
                <w:b/>
                <w:color w:val="FFFFFF"/>
                <w:sz w:val="16"/>
              </w:rPr>
              <w:t>Illustrative Attributes</w:t>
            </w:r>
          </w:p>
        </w:tc>
      </w:tr>
      <w:tr>
        <w:tc>
          <w:tcPr>
            <w:tcW w:type="dxa" w:w="5112"/>
            <w:vAlign w:val="center"/>
          </w:tcPr>
          <w:p>
            <w:r/>
            <w:r>
              <w:rPr>
                <w:b w:val="0"/>
                <w:sz w:val="16"/>
              </w:rPr>
              <w:t>Identity/status</w:t>
            </w:r>
          </w:p>
        </w:tc>
        <w:tc>
          <w:tcPr>
            <w:tcW w:type="dxa" w:w="5112"/>
            <w:vAlign w:val="center"/>
          </w:tcPr>
          <w:p>
            <w:r/>
            <w:r>
              <w:rPr>
                <w:b w:val="0"/>
                <w:sz w:val="16"/>
              </w:rPr>
              <w:t>telco_id, normalised MSISDN, subscriber status, prepaid/postpaid, SIM age, registration status, NIN verified flag, KYC tier.</w:t>
            </w:r>
          </w:p>
        </w:tc>
      </w:tr>
      <w:tr>
        <w:tc>
          <w:tcPr>
            <w:tcW w:type="dxa" w:w="5112"/>
            <w:vAlign w:val="center"/>
          </w:tcPr>
          <w:p>
            <w:r/>
            <w:r>
              <w:rPr>
                <w:b w:val="0"/>
                <w:sz w:val="16"/>
              </w:rPr>
              <w:t>Recharge</w:t>
            </w:r>
          </w:p>
        </w:tc>
        <w:tc>
          <w:tcPr>
            <w:tcW w:type="dxa" w:w="5112"/>
            <w:vAlign w:val="center"/>
          </w:tcPr>
          <w:p>
            <w:r/>
            <w:r>
              <w:rPr>
                <w:b w:val="0"/>
                <w:sz w:val="16"/>
              </w:rPr>
              <w:t>Counts, amounts, medians, percentiles, recency, channel, reversals and rolling windows.</w:t>
            </w:r>
          </w:p>
        </w:tc>
      </w:tr>
      <w:tr>
        <w:tc>
          <w:tcPr>
            <w:tcW w:type="dxa" w:w="5112"/>
            <w:vAlign w:val="center"/>
          </w:tcPr>
          <w:p>
            <w:r/>
            <w:r>
              <w:rPr>
                <w:b w:val="0"/>
                <w:sz w:val="16"/>
              </w:rPr>
              <w:t>Usage</w:t>
            </w:r>
          </w:p>
        </w:tc>
        <w:tc>
          <w:tcPr>
            <w:tcW w:type="dxa" w:w="5112"/>
            <w:vAlign w:val="center"/>
          </w:tcPr>
          <w:p>
            <w:r/>
            <w:r>
              <w:rPr>
                <w:b w:val="0"/>
                <w:sz w:val="16"/>
              </w:rPr>
              <w:t>Voice, data, SMS, VAS usage and active days in rolling windows.</w:t>
            </w:r>
          </w:p>
        </w:tc>
      </w:tr>
      <w:tr>
        <w:tc>
          <w:tcPr>
            <w:tcW w:type="dxa" w:w="5112"/>
            <w:vAlign w:val="center"/>
          </w:tcPr>
          <w:p>
            <w:r/>
            <w:r>
              <w:rPr>
                <w:b w:val="0"/>
                <w:sz w:val="16"/>
              </w:rPr>
              <w:t>Risk events</w:t>
            </w:r>
          </w:p>
        </w:tc>
        <w:tc>
          <w:tcPr>
            <w:tcW w:type="dxa" w:w="5112"/>
            <w:vAlign w:val="center"/>
          </w:tcPr>
          <w:p>
            <w:r/>
            <w:r>
              <w:rPr>
                <w:b w:val="0"/>
                <w:sz w:val="16"/>
              </w:rPr>
              <w:t>SIM swap, porting, barring, fraud flag, abnormal recharge, device change and account linkage.</w:t>
            </w:r>
          </w:p>
        </w:tc>
      </w:tr>
      <w:tr>
        <w:tc>
          <w:tcPr>
            <w:tcW w:type="dxa" w:w="5112"/>
            <w:vAlign w:val="center"/>
          </w:tcPr>
          <w:p>
            <w:r/>
            <w:r>
              <w:rPr>
                <w:b w:val="0"/>
                <w:sz w:val="16"/>
              </w:rPr>
              <w:t>Credit history</w:t>
            </w:r>
          </w:p>
        </w:tc>
        <w:tc>
          <w:tcPr>
            <w:tcW w:type="dxa" w:w="5112"/>
            <w:vAlign w:val="center"/>
          </w:tcPr>
          <w:p>
            <w:r/>
            <w:r>
              <w:rPr>
                <w:b w:val="0"/>
                <w:sz w:val="16"/>
              </w:rPr>
              <w:t>Prior advances, recovery amounts, repayment speed, delinquency, write-off and dispute outcomes.</w:t>
            </w:r>
          </w:p>
        </w:tc>
      </w:tr>
      <w:tr>
        <w:tc>
          <w:tcPr>
            <w:tcW w:type="dxa" w:w="5112"/>
            <w:vAlign w:val="center"/>
          </w:tcPr>
          <w:p>
            <w:r/>
            <w:r>
              <w:rPr>
                <w:b w:val="0"/>
                <w:sz w:val="16"/>
              </w:rPr>
              <w:t>Data quality</w:t>
            </w:r>
          </w:p>
        </w:tc>
        <w:tc>
          <w:tcPr>
            <w:tcW w:type="dxa" w:w="5112"/>
            <w:vAlign w:val="center"/>
          </w:tcPr>
          <w:p>
            <w:r/>
            <w:r>
              <w:rPr>
                <w:b w:val="0"/>
                <w:sz w:val="16"/>
              </w:rPr>
              <w:t>Source timestamp, extract timestamp, schema version, completeness and confidence indicators.</w:t>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r/>
            <w:r>
              <w:rPr>
                <w:b/>
                <w:color w:val="FFFFFF"/>
                <w:sz w:val="16"/>
              </w:rPr>
              <w:t>ID</w:t>
            </w:r>
          </w:p>
        </w:tc>
        <w:tc>
          <w:tcPr>
            <w:tcW w:type="dxa" w:w="2045"/>
            <w:vAlign w:val="center"/>
            <w:shd w:fill="17365D"/>
          </w:tcPr>
          <w:p>
            <w:r/>
            <w:r>
              <w:rPr>
                <w:b/>
                <w:color w:val="FFFFFF"/>
                <w:sz w:val="16"/>
              </w:rPr>
              <w:t>Requirement</w:t>
            </w:r>
          </w:p>
        </w:tc>
        <w:tc>
          <w:tcPr>
            <w:tcW w:type="dxa" w:w="2045"/>
            <w:vAlign w:val="center"/>
            <w:shd w:fill="17365D"/>
          </w:tcPr>
          <w:p>
            <w:r/>
            <w:r>
              <w:rPr>
                <w:b/>
                <w:color w:val="FFFFFF"/>
                <w:sz w:val="16"/>
              </w:rPr>
              <w:t>Priority</w:t>
            </w:r>
          </w:p>
        </w:tc>
        <w:tc>
          <w:tcPr>
            <w:tcW w:type="dxa" w:w="2045"/>
            <w:vAlign w:val="center"/>
            <w:shd w:fill="17365D"/>
          </w:tcPr>
          <w:p>
            <w:r/>
            <w:r>
              <w:rPr>
                <w:b/>
                <w:color w:val="FFFFFF"/>
                <w:sz w:val="16"/>
              </w:rPr>
              <w:t>Acceptance Evidence</w:t>
            </w:r>
          </w:p>
        </w:tc>
        <w:tc>
          <w:tcPr>
            <w:tcW w:type="dxa" w:w="2045"/>
            <w:vAlign w:val="center"/>
            <w:shd w:fill="17365D"/>
          </w:tcPr>
          <w:p>
            <w:r/>
            <w:r>
              <w:rPr>
                <w:b/>
                <w:color w:val="FFFFFF"/>
                <w:sz w:val="16"/>
              </w:rPr>
              <w:t>Configurable?</w:t>
            </w:r>
          </w:p>
        </w:tc>
      </w:tr>
      <w:tr>
        <w:tc>
          <w:tcPr>
            <w:tcW w:type="dxa" w:w="2045"/>
            <w:vAlign w:val="center"/>
          </w:tcPr>
          <w:p>
            <w:r/>
            <w:r>
              <w:rPr>
                <w:b w:val="0"/>
                <w:sz w:val="16"/>
              </w:rPr>
              <w:t>DATA-001</w:t>
            </w:r>
          </w:p>
        </w:tc>
        <w:tc>
          <w:tcPr>
            <w:tcW w:type="dxa" w:w="2045"/>
            <w:vAlign w:val="center"/>
          </w:tcPr>
          <w:p>
            <w:r/>
            <w:r>
              <w:rPr>
                <w:b w:val="0"/>
                <w:sz w:val="16"/>
              </w:rPr>
              <w:t>Actual NIN values shall not be required where a verified flag is sufficient.</w:t>
            </w:r>
          </w:p>
        </w:tc>
        <w:tc>
          <w:tcPr>
            <w:tcW w:type="dxa" w:w="2045"/>
            <w:vAlign w:val="center"/>
          </w:tcPr>
          <w:p>
            <w:r/>
            <w:r>
              <w:rPr>
                <w:b w:val="0"/>
                <w:sz w:val="16"/>
              </w:rPr>
              <w:t>Must</w:t>
            </w:r>
          </w:p>
        </w:tc>
        <w:tc>
          <w:tcPr>
            <w:tcW w:type="dxa" w:w="2045"/>
            <w:vAlign w:val="center"/>
          </w:tcPr>
          <w:p>
            <w:r/>
            <w:r>
              <w:rPr>
                <w:b w:val="0"/>
                <w:sz w:val="16"/>
              </w:rPr>
              <w:t>Data contract review.</w:t>
            </w:r>
          </w:p>
        </w:tc>
        <w:tc>
          <w:tcPr>
            <w:tcW w:type="dxa" w:w="2045"/>
            <w:vAlign w:val="center"/>
          </w:tcPr>
          <w:p>
            <w:r/>
            <w:r>
              <w:rPr>
                <w:b w:val="0"/>
                <w:sz w:val="16"/>
              </w:rPr>
              <w:t>Yes</w:t>
            </w:r>
          </w:p>
        </w:tc>
      </w:tr>
      <w:tr>
        <w:tc>
          <w:tcPr>
            <w:tcW w:type="dxa" w:w="2045"/>
            <w:vAlign w:val="center"/>
          </w:tcPr>
          <w:p>
            <w:r/>
            <w:r>
              <w:rPr>
                <w:b w:val="0"/>
                <w:sz w:val="16"/>
              </w:rPr>
              <w:t>DATA-002</w:t>
            </w:r>
          </w:p>
        </w:tc>
        <w:tc>
          <w:tcPr>
            <w:tcW w:type="dxa" w:w="2045"/>
            <w:vAlign w:val="center"/>
          </w:tcPr>
          <w:p>
            <w:r/>
            <w:r>
              <w:rPr>
                <w:b w:val="0"/>
                <w:sz w:val="16"/>
              </w:rPr>
              <w:t>Every feed shall include source time, extract time, telco_id, schema version and unique file/event identifier.</w:t>
            </w:r>
          </w:p>
        </w:tc>
        <w:tc>
          <w:tcPr>
            <w:tcW w:type="dxa" w:w="2045"/>
            <w:vAlign w:val="center"/>
          </w:tcPr>
          <w:p>
            <w:r/>
            <w:r>
              <w:rPr>
                <w:b w:val="0"/>
                <w:sz w:val="16"/>
              </w:rPr>
              <w:t>Must</w:t>
            </w:r>
          </w:p>
        </w:tc>
        <w:tc>
          <w:tcPr>
            <w:tcW w:type="dxa" w:w="2045"/>
            <w:vAlign w:val="center"/>
          </w:tcPr>
          <w:p>
            <w:r/>
            <w:r>
              <w:rPr>
                <w:b w:val="0"/>
                <w:sz w:val="16"/>
              </w:rPr>
              <w:t>Contract validation.</w:t>
            </w:r>
          </w:p>
        </w:tc>
        <w:tc>
          <w:tcPr>
            <w:tcW w:type="dxa" w:w="2045"/>
            <w:vAlign w:val="center"/>
          </w:tcPr>
          <w:p>
            <w:r/>
            <w:r>
              <w:rPr>
                <w:b w:val="0"/>
                <w:sz w:val="16"/>
              </w:rPr>
              <w:t>No</w:t>
            </w:r>
          </w:p>
        </w:tc>
      </w:tr>
      <w:tr>
        <w:tc>
          <w:tcPr>
            <w:tcW w:type="dxa" w:w="2045"/>
            <w:vAlign w:val="center"/>
          </w:tcPr>
          <w:p>
            <w:r/>
            <w:r>
              <w:rPr>
                <w:b w:val="0"/>
                <w:sz w:val="16"/>
              </w:rPr>
              <w:t>DATA-003</w:t>
            </w:r>
          </w:p>
        </w:tc>
        <w:tc>
          <w:tcPr>
            <w:tcW w:type="dxa" w:w="2045"/>
            <w:vAlign w:val="center"/>
          </w:tcPr>
          <w:p>
            <w:r/>
            <w:r>
              <w:rPr>
                <w:b w:val="0"/>
                <w:sz w:val="16"/>
              </w:rPr>
              <w:t>Batch files shall be checksum-validated, decryptable, schema-validated and reconciled to control totals before use.</w:t>
            </w:r>
          </w:p>
        </w:tc>
        <w:tc>
          <w:tcPr>
            <w:tcW w:type="dxa" w:w="2045"/>
            <w:vAlign w:val="center"/>
          </w:tcPr>
          <w:p>
            <w:r/>
            <w:r>
              <w:rPr>
                <w:b w:val="0"/>
                <w:sz w:val="16"/>
              </w:rPr>
              <w:t>Must</w:t>
            </w:r>
          </w:p>
        </w:tc>
        <w:tc>
          <w:tcPr>
            <w:tcW w:type="dxa" w:w="2045"/>
            <w:vAlign w:val="center"/>
          </w:tcPr>
          <w:p>
            <w:r/>
            <w:r>
              <w:rPr>
                <w:b w:val="0"/>
                <w:sz w:val="16"/>
              </w:rPr>
              <w:t>Failed-file test.</w:t>
            </w:r>
          </w:p>
        </w:tc>
        <w:tc>
          <w:tcPr>
            <w:tcW w:type="dxa" w:w="2045"/>
            <w:vAlign w:val="center"/>
          </w:tcPr>
          <w:p>
            <w:r/>
            <w:r>
              <w:rPr>
                <w:b w:val="0"/>
                <w:sz w:val="16"/>
              </w:rPr>
              <w:t>No</w:t>
            </w:r>
          </w:p>
        </w:tc>
      </w:tr>
      <w:tr>
        <w:tc>
          <w:tcPr>
            <w:tcW w:type="dxa" w:w="2045"/>
            <w:vAlign w:val="center"/>
          </w:tcPr>
          <w:p>
            <w:r/>
            <w:r>
              <w:rPr>
                <w:b w:val="0"/>
                <w:sz w:val="16"/>
              </w:rPr>
              <w:t>DATA-004</w:t>
            </w:r>
          </w:p>
        </w:tc>
        <w:tc>
          <w:tcPr>
            <w:tcW w:type="dxa" w:w="2045"/>
            <w:vAlign w:val="center"/>
          </w:tcPr>
          <w:p>
            <w:r/>
            <w:r>
              <w:rPr>
                <w:b w:val="0"/>
                <w:sz w:val="16"/>
              </w:rPr>
              <w:t>Late, duplicate and out-of-order events shall be handled idempotently.</w:t>
            </w:r>
          </w:p>
        </w:tc>
        <w:tc>
          <w:tcPr>
            <w:tcW w:type="dxa" w:w="2045"/>
            <w:vAlign w:val="center"/>
          </w:tcPr>
          <w:p>
            <w:r/>
            <w:r>
              <w:rPr>
                <w:b w:val="0"/>
                <w:sz w:val="16"/>
              </w:rPr>
              <w:t>Must</w:t>
            </w:r>
          </w:p>
        </w:tc>
        <w:tc>
          <w:tcPr>
            <w:tcW w:type="dxa" w:w="2045"/>
            <w:vAlign w:val="center"/>
          </w:tcPr>
          <w:p>
            <w:r/>
            <w:r>
              <w:rPr>
                <w:b w:val="0"/>
                <w:sz w:val="16"/>
              </w:rPr>
              <w:t>Replay test.</w:t>
            </w:r>
          </w:p>
        </w:tc>
        <w:tc>
          <w:tcPr>
            <w:tcW w:type="dxa" w:w="2045"/>
            <w:vAlign w:val="center"/>
          </w:tcPr>
          <w:p>
            <w:r/>
            <w:r>
              <w:rPr>
                <w:b w:val="0"/>
                <w:sz w:val="16"/>
              </w:rPr>
              <w:t>No</w:t>
            </w:r>
          </w:p>
        </w:tc>
      </w:tr>
      <w:tr>
        <w:tc>
          <w:tcPr>
            <w:tcW w:type="dxa" w:w="2045"/>
            <w:vAlign w:val="center"/>
          </w:tcPr>
          <w:p>
            <w:r/>
            <w:r>
              <w:rPr>
                <w:b w:val="0"/>
                <w:sz w:val="16"/>
              </w:rPr>
              <w:t>DATA-005</w:t>
            </w:r>
          </w:p>
        </w:tc>
        <w:tc>
          <w:tcPr>
            <w:tcW w:type="dxa" w:w="2045"/>
            <w:vAlign w:val="center"/>
          </w:tcPr>
          <w:p>
            <w:r/>
            <w:r>
              <w:rPr>
                <w:b w:val="0"/>
                <w:sz w:val="16"/>
              </w:rPr>
              <w:t>Data-quality failures shall not silently overwrite a previously valid subscriber profile.</w:t>
            </w:r>
          </w:p>
        </w:tc>
        <w:tc>
          <w:tcPr>
            <w:tcW w:type="dxa" w:w="2045"/>
            <w:vAlign w:val="center"/>
          </w:tcPr>
          <w:p>
            <w:r/>
            <w:r>
              <w:rPr>
                <w:b w:val="0"/>
                <w:sz w:val="16"/>
              </w:rPr>
              <w:t>Must</w:t>
            </w:r>
          </w:p>
        </w:tc>
        <w:tc>
          <w:tcPr>
            <w:tcW w:type="dxa" w:w="2045"/>
            <w:vAlign w:val="center"/>
          </w:tcPr>
          <w:p>
            <w:r/>
            <w:r>
              <w:rPr>
                <w:b w:val="0"/>
                <w:sz w:val="16"/>
              </w:rPr>
              <w:t>Quarantine and fallback test.</w:t>
            </w:r>
          </w:p>
        </w:tc>
        <w:tc>
          <w:tcPr>
            <w:tcW w:type="dxa" w:w="2045"/>
            <w:vAlign w:val="center"/>
          </w:tcPr>
          <w:p>
            <w:r/>
            <w:r>
              <w:rPr>
                <w:b w:val="0"/>
                <w:sz w:val="16"/>
              </w:rPr>
              <w:t>Partly</w:t>
            </w:r>
          </w:p>
        </w:tc>
      </w:tr>
    </w:tbl>
    <w:p/>
    <w:p>
      <w:pPr>
        <w:pStyle w:val="Heading1"/>
        <w:pageBreakBefore/>
      </w:pPr>
      <w:r>
        <w:t>10. Eligibility, Scoring, Affordability and Limit Assignment</w:t>
      </w:r>
    </w:p>
    <w:p>
      <w:pPr>
        <w:pStyle w:val="Heading2"/>
      </w:pPr>
      <w:r>
        <w:t>10.1 Processing Model</w:t>
      </w:r>
    </w:p>
    <w:p>
      <w:r>
        <w:t>The default architecture shall use pre-calculated subscriber eligibility and limits on a scheduled basis, combined with real-time overlays for critical changes. The real-time request path shall normally read an approved offer snapshot rather than recompute all historical features. Full or partial recalculation may be triggered by configured events.</w:t>
      </w:r>
    </w:p>
    <w:p>
      <w:pPr>
        <w:pStyle w:val="ListBullet"/>
      </w:pPr>
      <w:r>
        <w:t>Scheduled portfolio scoring: daily by default, configurable by telco and segment.</w:t>
      </w:r>
    </w:p>
    <w:p>
      <w:pPr>
        <w:pStyle w:val="ListBullet"/>
      </w:pPr>
      <w:r>
        <w:t>Event-driven overlays: repayment completion, SIM swap, NIN status change, barring, fraud alert, material recharge, tenure threshold and manual restriction.</w:t>
      </w:r>
    </w:p>
    <w:p>
      <w:pPr>
        <w:pStyle w:val="ListBullet"/>
      </w:pPr>
      <w:r>
        <w:t>On-demand re-score: authorised operations/risk action with full audit.</w:t>
      </w:r>
    </w:p>
    <w:p>
      <w:pPr>
        <w:pStyle w:val="ListBullet"/>
      </w:pPr>
      <w:r>
        <w:t>Stale-score policy: configurable maximum score age and safe fallback behaviour.</w:t>
      </w:r>
    </w:p>
    <w:p>
      <w:pPr>
        <w:pStyle w:val="Heading2"/>
      </w:pPr>
      <w:r>
        <w:t>10.2 Scoring Dimensions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6"/>
              </w:rPr>
              <w:t>Dimension</w:t>
            </w:r>
          </w:p>
        </w:tc>
        <w:tc>
          <w:tcPr>
            <w:tcW w:type="dxa" w:w="3408"/>
            <w:vAlign w:val="center"/>
            <w:shd w:fill="1F4E78"/>
          </w:tcPr>
          <w:p>
            <w:r/>
            <w:r>
              <w:rPr>
                <w:b/>
                <w:color w:val="FFFFFF"/>
                <w:sz w:val="16"/>
              </w:rPr>
              <w:t>Examples</w:t>
            </w:r>
          </w:p>
        </w:tc>
        <w:tc>
          <w:tcPr>
            <w:tcW w:type="dxa" w:w="3408"/>
            <w:vAlign w:val="center"/>
            <w:shd w:fill="1F4E78"/>
          </w:tcPr>
          <w:p>
            <w:r/>
            <w:r>
              <w:rPr>
                <w:b/>
                <w:color w:val="FFFFFF"/>
                <w:sz w:val="16"/>
              </w:rPr>
              <w:t>Role</w:t>
            </w:r>
          </w:p>
        </w:tc>
      </w:tr>
      <w:tr>
        <w:tc>
          <w:tcPr>
            <w:tcW w:type="dxa" w:w="3408"/>
            <w:vAlign w:val="center"/>
          </w:tcPr>
          <w:p>
            <w:r/>
            <w:r>
              <w:rPr>
                <w:b w:val="0"/>
                <w:sz w:val="16"/>
              </w:rPr>
              <w:t>Eligibility gates</w:t>
            </w:r>
          </w:p>
        </w:tc>
        <w:tc>
          <w:tcPr>
            <w:tcW w:type="dxa" w:w="3408"/>
            <w:vAlign w:val="center"/>
          </w:tcPr>
          <w:p>
            <w:r/>
            <w:r>
              <w:rPr>
                <w:b w:val="0"/>
                <w:sz w:val="16"/>
              </w:rPr>
              <w:t>Prepaid status, SIM age, active status, NIN verification, fraud/barring, minimum history.</w:t>
            </w:r>
          </w:p>
        </w:tc>
        <w:tc>
          <w:tcPr>
            <w:tcW w:type="dxa" w:w="3408"/>
            <w:vAlign w:val="center"/>
          </w:tcPr>
          <w:p>
            <w:r/>
            <w:r>
              <w:rPr>
                <w:b w:val="0"/>
                <w:sz w:val="16"/>
              </w:rPr>
              <w:t>Hard pass/fail before scoring.</w:t>
            </w:r>
          </w:p>
        </w:tc>
      </w:tr>
      <w:tr>
        <w:tc>
          <w:tcPr>
            <w:tcW w:type="dxa" w:w="3408"/>
            <w:vAlign w:val="center"/>
          </w:tcPr>
          <w:p>
            <w:r/>
            <w:r>
              <w:rPr>
                <w:b w:val="0"/>
                <w:sz w:val="16"/>
              </w:rPr>
              <w:t>Behaviour score</w:t>
            </w:r>
          </w:p>
        </w:tc>
        <w:tc>
          <w:tcPr>
            <w:tcW w:type="dxa" w:w="3408"/>
            <w:vAlign w:val="center"/>
          </w:tcPr>
          <w:p>
            <w:r/>
            <w:r>
              <w:rPr>
                <w:b w:val="0"/>
                <w:sz w:val="16"/>
              </w:rPr>
              <w:t>Recharge consistency, usage stability, active days, tenure and recency.</w:t>
            </w:r>
          </w:p>
        </w:tc>
        <w:tc>
          <w:tcPr>
            <w:tcW w:type="dxa" w:w="3408"/>
            <w:vAlign w:val="center"/>
          </w:tcPr>
          <w:p>
            <w:r/>
            <w:r>
              <w:rPr>
                <w:b w:val="0"/>
                <w:sz w:val="16"/>
              </w:rPr>
              <w:t>Predictive behavioural quality.</w:t>
            </w:r>
          </w:p>
        </w:tc>
      </w:tr>
      <w:tr>
        <w:tc>
          <w:tcPr>
            <w:tcW w:type="dxa" w:w="3408"/>
            <w:vAlign w:val="center"/>
          </w:tcPr>
          <w:p>
            <w:r/>
            <w:r>
              <w:rPr>
                <w:b w:val="0"/>
                <w:sz w:val="16"/>
              </w:rPr>
              <w:t>Trust score</w:t>
            </w:r>
          </w:p>
        </w:tc>
        <w:tc>
          <w:tcPr>
            <w:tcW w:type="dxa" w:w="3408"/>
            <w:vAlign w:val="center"/>
          </w:tcPr>
          <w:p>
            <w:r/>
            <w:r>
              <w:rPr>
                <w:b w:val="0"/>
                <w:sz w:val="16"/>
              </w:rPr>
              <w:t>Successful advance cycles, recovery speed, partial repayments and defaults.</w:t>
            </w:r>
          </w:p>
        </w:tc>
        <w:tc>
          <w:tcPr>
            <w:tcW w:type="dxa" w:w="3408"/>
            <w:vAlign w:val="center"/>
          </w:tcPr>
          <w:p>
            <w:r/>
            <w:r>
              <w:rPr>
                <w:b w:val="0"/>
                <w:sz w:val="16"/>
              </w:rPr>
              <w:t>Progressive limit growth.</w:t>
            </w:r>
          </w:p>
        </w:tc>
      </w:tr>
      <w:tr>
        <w:tc>
          <w:tcPr>
            <w:tcW w:type="dxa" w:w="3408"/>
            <w:vAlign w:val="center"/>
          </w:tcPr>
          <w:p>
            <w:r/>
            <w:r>
              <w:rPr>
                <w:b w:val="0"/>
                <w:sz w:val="16"/>
              </w:rPr>
              <w:t>Affordability</w:t>
            </w:r>
          </w:p>
        </w:tc>
        <w:tc>
          <w:tcPr>
            <w:tcW w:type="dxa" w:w="3408"/>
            <w:vAlign w:val="center"/>
          </w:tcPr>
          <w:p>
            <w:r/>
            <w:r>
              <w:rPr>
                <w:b w:val="0"/>
                <w:sz w:val="16"/>
              </w:rPr>
              <w:t>Stable recharge capacity, expected recovery and exposure-to-spend ratio.</w:t>
            </w:r>
          </w:p>
        </w:tc>
        <w:tc>
          <w:tcPr>
            <w:tcW w:type="dxa" w:w="3408"/>
            <w:vAlign w:val="center"/>
          </w:tcPr>
          <w:p>
            <w:r/>
            <w:r>
              <w:rPr>
                <w:b w:val="0"/>
                <w:sz w:val="16"/>
              </w:rPr>
              <w:t>Caps maximum sustainable exposure.</w:t>
            </w:r>
          </w:p>
        </w:tc>
      </w:tr>
      <w:tr>
        <w:tc>
          <w:tcPr>
            <w:tcW w:type="dxa" w:w="3408"/>
            <w:vAlign w:val="center"/>
          </w:tcPr>
          <w:p>
            <w:r/>
            <w:r>
              <w:rPr>
                <w:b w:val="0"/>
                <w:sz w:val="16"/>
              </w:rPr>
              <w:t>Fraud score</w:t>
            </w:r>
          </w:p>
        </w:tc>
        <w:tc>
          <w:tcPr>
            <w:tcW w:type="dxa" w:w="3408"/>
            <w:vAlign w:val="center"/>
          </w:tcPr>
          <w:p>
            <w:r/>
            <w:r>
              <w:rPr>
                <w:b w:val="0"/>
                <w:sz w:val="16"/>
              </w:rPr>
              <w:t>Spikes, cycling, linked accounts, SIM changes, device patterns and suspicious channels.</w:t>
            </w:r>
          </w:p>
        </w:tc>
        <w:tc>
          <w:tcPr>
            <w:tcW w:type="dxa" w:w="3408"/>
            <w:vAlign w:val="center"/>
          </w:tcPr>
          <w:p>
            <w:r/>
            <w:r>
              <w:rPr>
                <w:b w:val="0"/>
                <w:sz w:val="16"/>
              </w:rPr>
              <w:t>Decline, reduce or review.</w:t>
            </w:r>
          </w:p>
        </w:tc>
      </w:tr>
      <w:tr>
        <w:tc>
          <w:tcPr>
            <w:tcW w:type="dxa" w:w="3408"/>
            <w:vAlign w:val="center"/>
          </w:tcPr>
          <w:p>
            <w:r/>
            <w:r>
              <w:rPr>
                <w:b w:val="0"/>
                <w:sz w:val="16"/>
              </w:rPr>
              <w:t>Portfolio controls</w:t>
            </w:r>
          </w:p>
        </w:tc>
        <w:tc>
          <w:tcPr>
            <w:tcW w:type="dxa" w:w="3408"/>
            <w:vAlign w:val="center"/>
          </w:tcPr>
          <w:p>
            <w:r/>
            <w:r>
              <w:rPr>
                <w:b w:val="0"/>
                <w:sz w:val="16"/>
              </w:rPr>
              <w:t>Telco/product/funder exposure, vintage performance and concentration.</w:t>
            </w:r>
          </w:p>
        </w:tc>
        <w:tc>
          <w:tcPr>
            <w:tcW w:type="dxa" w:w="3408"/>
            <w:vAlign w:val="center"/>
          </w:tcPr>
          <w:p>
            <w:r/>
            <w:r>
              <w:rPr>
                <w:b w:val="0"/>
                <w:sz w:val="16"/>
              </w:rPr>
              <w:t>Portfolio-level cap.</w:t>
            </w:r>
          </w:p>
        </w:tc>
      </w:tr>
    </w:tbl>
    <w:p/>
    <w:p>
      <w:pPr>
        <w:pStyle w:val="Heading2"/>
      </w:pPr>
      <w:r>
        <w:t>10.3 Anti-Gaming Requirements</w:t>
      </w:r>
    </w:p>
    <w:p>
      <w:pPr>
        <w:pStyle w:val="ListBullet"/>
      </w:pPr>
      <w:r>
        <w:t>A single large recharge shall not immediately increase a limit materially.</w:t>
      </w:r>
    </w:p>
    <w:p>
      <w:pPr>
        <w:pStyle w:val="ListBullet"/>
      </w:pPr>
      <w:r>
        <w:t>Features shall use rolling windows, median/trimmed mean, percentiles, variance and stability measures.</w:t>
      </w:r>
    </w:p>
    <w:p>
      <w:pPr>
        <w:pStyle w:val="ListBullet"/>
      </w:pPr>
      <w:r>
        <w:t>Recharge spikes shall be compared with the subscriber baseline, peer segment and channel behaviour.</w:t>
      </w:r>
    </w:p>
    <w:p>
      <w:pPr>
        <w:pStyle w:val="ListBullet"/>
      </w:pPr>
      <w:r>
        <w:t>Configured outliers may be capped, discounted, quarantined or excluded from affordability.</w:t>
      </w:r>
    </w:p>
    <w:p>
      <w:pPr>
        <w:pStyle w:val="ListBullet"/>
      </w:pPr>
      <w:r>
        <w:t>Circular or refunded recharges, agent self-funding patterns and rapid recharge-borrow sequences shall be detected.</w:t>
      </w:r>
    </w:p>
    <w:p>
      <w:pPr>
        <w:pStyle w:val="ListBullet"/>
      </w:pPr>
      <w:r>
        <w:t>Tier increases shall be limited to the configured maximum per scoring cycle; default one tier.</w:t>
      </w:r>
    </w:p>
    <w:p>
      <w:pPr>
        <w:pStyle w:val="ListBullet"/>
      </w:pPr>
      <w:r>
        <w:t>Tier decreases may occur immediately where risk increases, subject to customer-treatment rules.</w:t>
      </w:r>
    </w:p>
    <w:p>
      <w:pPr>
        <w:pStyle w:val="ListBullet"/>
      </w:pPr>
      <w:r>
        <w:t>New subscribers shall begin at conservative starter tiers and earn trust through successful cycles.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r/>
            <w:r>
              <w:rPr>
                <w:b/>
                <w:color w:val="FFFFFF"/>
                <w:sz w:val="16"/>
              </w:rPr>
              <w:t>ID</w:t>
            </w:r>
          </w:p>
        </w:tc>
        <w:tc>
          <w:tcPr>
            <w:tcW w:type="dxa" w:w="2045"/>
            <w:vAlign w:val="center"/>
            <w:shd w:fill="17365D"/>
          </w:tcPr>
          <w:p>
            <w:r/>
            <w:r>
              <w:rPr>
                <w:b/>
                <w:color w:val="FFFFFF"/>
                <w:sz w:val="16"/>
              </w:rPr>
              <w:t>Requirement</w:t>
            </w:r>
          </w:p>
        </w:tc>
        <w:tc>
          <w:tcPr>
            <w:tcW w:type="dxa" w:w="2045"/>
            <w:vAlign w:val="center"/>
            <w:shd w:fill="17365D"/>
          </w:tcPr>
          <w:p>
            <w:r/>
            <w:r>
              <w:rPr>
                <w:b/>
                <w:color w:val="FFFFFF"/>
                <w:sz w:val="16"/>
              </w:rPr>
              <w:t>Priority</w:t>
            </w:r>
          </w:p>
        </w:tc>
        <w:tc>
          <w:tcPr>
            <w:tcW w:type="dxa" w:w="2045"/>
            <w:vAlign w:val="center"/>
            <w:shd w:fill="17365D"/>
          </w:tcPr>
          <w:p>
            <w:r/>
            <w:r>
              <w:rPr>
                <w:b/>
                <w:color w:val="FFFFFF"/>
                <w:sz w:val="16"/>
              </w:rPr>
              <w:t>Acceptance Evidence</w:t>
            </w:r>
          </w:p>
        </w:tc>
        <w:tc>
          <w:tcPr>
            <w:tcW w:type="dxa" w:w="2045"/>
            <w:vAlign w:val="center"/>
            <w:shd w:fill="17365D"/>
          </w:tcPr>
          <w:p>
            <w:r/>
            <w:r>
              <w:rPr>
                <w:b/>
                <w:color w:val="FFFFFF"/>
                <w:sz w:val="16"/>
              </w:rPr>
              <w:t>Configurable?</w:t>
            </w:r>
          </w:p>
        </w:tc>
      </w:tr>
      <w:tr>
        <w:tc>
          <w:tcPr>
            <w:tcW w:type="dxa" w:w="2045"/>
            <w:vAlign w:val="center"/>
          </w:tcPr>
          <w:p>
            <w:r/>
            <w:r>
              <w:rPr>
                <w:b w:val="0"/>
                <w:sz w:val="16"/>
              </w:rPr>
              <w:t>SCR-001</w:t>
            </w:r>
          </w:p>
        </w:tc>
        <w:tc>
          <w:tcPr>
            <w:tcW w:type="dxa" w:w="2045"/>
            <w:vAlign w:val="center"/>
          </w:tcPr>
          <w:p>
            <w:r/>
            <w:r>
              <w:rPr>
                <w:b w:val="0"/>
                <w:sz w:val="16"/>
              </w:rPr>
              <w:t>A one-off recharge spike shall not by itself move a subscriber more than the configured maximum tier movement.</w:t>
            </w:r>
          </w:p>
        </w:tc>
        <w:tc>
          <w:tcPr>
            <w:tcW w:type="dxa" w:w="2045"/>
            <w:vAlign w:val="center"/>
          </w:tcPr>
          <w:p>
            <w:r/>
            <w:r>
              <w:rPr>
                <w:b w:val="0"/>
                <w:sz w:val="16"/>
              </w:rPr>
              <w:t>Must</w:t>
            </w:r>
          </w:p>
        </w:tc>
        <w:tc>
          <w:tcPr>
            <w:tcW w:type="dxa" w:w="2045"/>
            <w:vAlign w:val="center"/>
          </w:tcPr>
          <w:p>
            <w:r/>
            <w:r>
              <w:rPr>
                <w:b w:val="0"/>
                <w:sz w:val="16"/>
              </w:rPr>
              <w:t>Synthetic spike scenario.</w:t>
            </w:r>
          </w:p>
        </w:tc>
        <w:tc>
          <w:tcPr>
            <w:tcW w:type="dxa" w:w="2045"/>
            <w:vAlign w:val="center"/>
          </w:tcPr>
          <w:p>
            <w:r/>
            <w:r>
              <w:rPr>
                <w:b w:val="0"/>
                <w:sz w:val="16"/>
              </w:rPr>
              <w:t>Yes</w:t>
            </w:r>
          </w:p>
        </w:tc>
      </w:tr>
      <w:tr>
        <w:tc>
          <w:tcPr>
            <w:tcW w:type="dxa" w:w="2045"/>
            <w:vAlign w:val="center"/>
          </w:tcPr>
          <w:p>
            <w:r/>
            <w:r>
              <w:rPr>
                <w:b w:val="0"/>
                <w:sz w:val="16"/>
              </w:rPr>
              <w:t>SCR-002</w:t>
            </w:r>
          </w:p>
        </w:tc>
        <w:tc>
          <w:tcPr>
            <w:tcW w:type="dxa" w:w="2045"/>
            <w:vAlign w:val="center"/>
          </w:tcPr>
          <w:p>
            <w:r/>
            <w:r>
              <w:rPr>
                <w:b w:val="0"/>
                <w:sz w:val="16"/>
              </w:rPr>
              <w:t>Default maximum upward tier movement shall be one tier per scoring cycle.</w:t>
            </w:r>
          </w:p>
        </w:tc>
        <w:tc>
          <w:tcPr>
            <w:tcW w:type="dxa" w:w="2045"/>
            <w:vAlign w:val="center"/>
          </w:tcPr>
          <w:p>
            <w:r/>
            <w:r>
              <w:rPr>
                <w:b w:val="0"/>
                <w:sz w:val="16"/>
              </w:rPr>
              <w:t>Must</w:t>
            </w:r>
          </w:p>
        </w:tc>
        <w:tc>
          <w:tcPr>
            <w:tcW w:type="dxa" w:w="2045"/>
            <w:vAlign w:val="center"/>
          </w:tcPr>
          <w:p>
            <w:r/>
            <w:r>
              <w:rPr>
                <w:b w:val="0"/>
                <w:sz w:val="16"/>
              </w:rPr>
              <w:t>Tier transition tests.</w:t>
            </w:r>
          </w:p>
        </w:tc>
        <w:tc>
          <w:tcPr>
            <w:tcW w:type="dxa" w:w="2045"/>
            <w:vAlign w:val="center"/>
          </w:tcPr>
          <w:p>
            <w:r/>
            <w:r>
              <w:rPr>
                <w:b w:val="0"/>
                <w:sz w:val="16"/>
              </w:rPr>
              <w:t>Yes</w:t>
            </w:r>
          </w:p>
        </w:tc>
      </w:tr>
      <w:tr>
        <w:tc>
          <w:tcPr>
            <w:tcW w:type="dxa" w:w="2045"/>
            <w:vAlign w:val="center"/>
          </w:tcPr>
          <w:p>
            <w:r/>
            <w:r>
              <w:rPr>
                <w:b w:val="0"/>
                <w:sz w:val="16"/>
              </w:rPr>
              <w:t>SCR-003</w:t>
            </w:r>
          </w:p>
        </w:tc>
        <w:tc>
          <w:tcPr>
            <w:tcW w:type="dxa" w:w="2045"/>
            <w:vAlign w:val="center"/>
          </w:tcPr>
          <w:p>
            <w:r/>
            <w:r>
              <w:rPr>
                <w:b w:val="0"/>
                <w:sz w:val="16"/>
              </w:rPr>
              <w:t>Scoring shall store input snapshot, feature values, score contributions, rules, model and configuration versions.</w:t>
            </w:r>
          </w:p>
        </w:tc>
        <w:tc>
          <w:tcPr>
            <w:tcW w:type="dxa" w:w="2045"/>
            <w:vAlign w:val="center"/>
          </w:tcPr>
          <w:p>
            <w:r/>
            <w:r>
              <w:rPr>
                <w:b w:val="0"/>
                <w:sz w:val="16"/>
              </w:rPr>
              <w:t>Must</w:t>
            </w:r>
          </w:p>
        </w:tc>
        <w:tc>
          <w:tcPr>
            <w:tcW w:type="dxa" w:w="2045"/>
            <w:vAlign w:val="center"/>
          </w:tcPr>
          <w:p>
            <w:r/>
            <w:r>
              <w:rPr>
                <w:b w:val="0"/>
                <w:sz w:val="16"/>
              </w:rPr>
              <w:t>Decision replay.</w:t>
            </w:r>
          </w:p>
        </w:tc>
        <w:tc>
          <w:tcPr>
            <w:tcW w:type="dxa" w:w="2045"/>
            <w:vAlign w:val="center"/>
          </w:tcPr>
          <w:p>
            <w:r/>
            <w:r>
              <w:rPr>
                <w:b w:val="0"/>
                <w:sz w:val="16"/>
              </w:rPr>
              <w:t>No</w:t>
            </w:r>
          </w:p>
        </w:tc>
      </w:tr>
      <w:tr>
        <w:tc>
          <w:tcPr>
            <w:tcW w:type="dxa" w:w="2045"/>
            <w:vAlign w:val="center"/>
          </w:tcPr>
          <w:p>
            <w:r/>
            <w:r>
              <w:rPr>
                <w:b w:val="0"/>
                <w:sz w:val="16"/>
              </w:rPr>
              <w:t>SCR-004</w:t>
            </w:r>
          </w:p>
        </w:tc>
        <w:tc>
          <w:tcPr>
            <w:tcW w:type="dxa" w:w="2045"/>
            <w:vAlign w:val="center"/>
          </w:tcPr>
          <w:p>
            <w:r/>
            <w:r>
              <w:rPr>
                <w:b w:val="0"/>
                <w:sz w:val="16"/>
              </w:rPr>
              <w:t>Scoring shall support champion/challenger models and controlled A/B allocation.</w:t>
            </w:r>
          </w:p>
        </w:tc>
        <w:tc>
          <w:tcPr>
            <w:tcW w:type="dxa" w:w="2045"/>
            <w:vAlign w:val="center"/>
          </w:tcPr>
          <w:p>
            <w:r/>
            <w:r>
              <w:rPr>
                <w:b w:val="0"/>
                <w:sz w:val="16"/>
              </w:rPr>
              <w:t>Should</w:t>
            </w:r>
          </w:p>
        </w:tc>
        <w:tc>
          <w:tcPr>
            <w:tcW w:type="dxa" w:w="2045"/>
            <w:vAlign w:val="center"/>
          </w:tcPr>
          <w:p>
            <w:r/>
            <w:r>
              <w:rPr>
                <w:b w:val="0"/>
                <w:sz w:val="16"/>
              </w:rPr>
              <w:t>Model governance test.</w:t>
            </w:r>
          </w:p>
        </w:tc>
        <w:tc>
          <w:tcPr>
            <w:tcW w:type="dxa" w:w="2045"/>
            <w:vAlign w:val="center"/>
          </w:tcPr>
          <w:p>
            <w:r/>
            <w:r>
              <w:rPr>
                <w:b w:val="0"/>
                <w:sz w:val="16"/>
              </w:rPr>
              <w:t>Yes</w:t>
            </w:r>
          </w:p>
        </w:tc>
      </w:tr>
      <w:tr>
        <w:tc>
          <w:tcPr>
            <w:tcW w:type="dxa" w:w="2045"/>
            <w:vAlign w:val="center"/>
          </w:tcPr>
          <w:p>
            <w:r/>
            <w:r>
              <w:rPr>
                <w:b w:val="0"/>
                <w:sz w:val="16"/>
              </w:rPr>
              <w:t>SCR-005</w:t>
            </w:r>
          </w:p>
        </w:tc>
        <w:tc>
          <w:tcPr>
            <w:tcW w:type="dxa" w:w="2045"/>
            <w:vAlign w:val="center"/>
          </w:tcPr>
          <w:p>
            <w:r/>
            <w:r>
              <w:rPr>
                <w:b w:val="0"/>
                <w:sz w:val="16"/>
              </w:rPr>
              <w:t>Limits shall be the minimum of risk limit, affordability limit, product cap, telco cap, funder cap and portfolio cap.</w:t>
            </w:r>
          </w:p>
        </w:tc>
        <w:tc>
          <w:tcPr>
            <w:tcW w:type="dxa" w:w="2045"/>
            <w:vAlign w:val="center"/>
          </w:tcPr>
          <w:p>
            <w:r/>
            <w:r>
              <w:rPr>
                <w:b w:val="0"/>
                <w:sz w:val="16"/>
              </w:rPr>
              <w:t>Must</w:t>
            </w:r>
          </w:p>
        </w:tc>
        <w:tc>
          <w:tcPr>
            <w:tcW w:type="dxa" w:w="2045"/>
            <w:vAlign w:val="center"/>
          </w:tcPr>
          <w:p>
            <w:r/>
            <w:r>
              <w:rPr>
                <w:b w:val="0"/>
                <w:sz w:val="16"/>
              </w:rPr>
              <w:t>Boundary tests.</w:t>
            </w:r>
          </w:p>
        </w:tc>
        <w:tc>
          <w:tcPr>
            <w:tcW w:type="dxa" w:w="2045"/>
            <w:vAlign w:val="center"/>
          </w:tcPr>
          <w:p>
            <w:r/>
            <w:r>
              <w:rPr>
                <w:b w:val="0"/>
                <w:sz w:val="16"/>
              </w:rPr>
              <w:t>Partly</w:t>
            </w:r>
          </w:p>
        </w:tc>
      </w:tr>
      <w:tr>
        <w:tc>
          <w:tcPr>
            <w:tcW w:type="dxa" w:w="2045"/>
            <w:vAlign w:val="center"/>
          </w:tcPr>
          <w:p>
            <w:r/>
            <w:r>
              <w:rPr>
                <w:b w:val="0"/>
                <w:sz w:val="16"/>
              </w:rPr>
              <w:t>SCR-006</w:t>
            </w:r>
          </w:p>
        </w:tc>
        <w:tc>
          <w:tcPr>
            <w:tcW w:type="dxa" w:w="2045"/>
            <w:vAlign w:val="center"/>
          </w:tcPr>
          <w:p>
            <w:r/>
            <w:r>
              <w:rPr>
                <w:b w:val="0"/>
                <w:sz w:val="16"/>
              </w:rPr>
              <w:t>The platform shall support reason codes understandable to operations and customers.</w:t>
            </w:r>
          </w:p>
        </w:tc>
        <w:tc>
          <w:tcPr>
            <w:tcW w:type="dxa" w:w="2045"/>
            <w:vAlign w:val="center"/>
          </w:tcPr>
          <w:p>
            <w:r/>
            <w:r>
              <w:rPr>
                <w:b w:val="0"/>
                <w:sz w:val="16"/>
              </w:rPr>
              <w:t>Must</w:t>
            </w:r>
          </w:p>
        </w:tc>
        <w:tc>
          <w:tcPr>
            <w:tcW w:type="dxa" w:w="2045"/>
            <w:vAlign w:val="center"/>
          </w:tcPr>
          <w:p>
            <w:r/>
            <w:r>
              <w:rPr>
                <w:b w:val="0"/>
                <w:sz w:val="16"/>
              </w:rPr>
              <w:t>Reason-code review.</w:t>
            </w:r>
          </w:p>
        </w:tc>
        <w:tc>
          <w:tcPr>
            <w:tcW w:type="dxa" w:w="2045"/>
            <w:vAlign w:val="center"/>
          </w:tcPr>
          <w:p>
            <w:r/>
            <w:r>
              <w:rPr>
                <w:b w:val="0"/>
                <w:sz w:val="16"/>
              </w:rPr>
              <w:t>Yes</w:t>
            </w:r>
          </w:p>
        </w:tc>
      </w:tr>
    </w:tbl>
    <w:p/>
    <w:p>
      <w:pPr>
        <w:pStyle w:val="Heading1"/>
        <w:pageBreakBefore/>
      </w:pPr>
      <w:r>
        <w:t>11. Product and Offer Management</w:t>
      </w:r>
    </w:p>
    <w:p>
      <w:pPr>
        <w:pStyle w:val="ListBullet"/>
      </w:pPr>
      <w:r>
        <w:t>Products shall be data-driven and scoped by telco, country, segment, channel and effective date.</w:t>
      </w:r>
    </w:p>
    <w:p>
      <w:pPr>
        <w:pStyle w:val="ListBullet"/>
      </w:pPr>
      <w:r>
        <w:t>A product may represent airtime, data, voice, device or another approved digital credit item.</w:t>
      </w:r>
    </w:p>
    <w:p>
      <w:pPr>
        <w:pStyle w:val="ListBullet"/>
      </w:pPr>
      <w:r>
        <w:t>Offer denominations, fee treatment, net value, repayment value, expiry and disclosure shall be configurable.</w:t>
      </w:r>
    </w:p>
    <w:p>
      <w:pPr>
        <w:pStyle w:val="ListBullet"/>
      </w:pPr>
      <w:r>
        <w:t>Offers shall be generated only from currently active products and the subscriber current available exposure.</w:t>
      </w:r>
    </w:p>
    <w:p>
      <w:pPr>
        <w:pStyle w:val="ListBullet"/>
      </w:pPr>
      <w:r>
        <w:t>The platform shall support a catalogue of permitted denominations rather than arbitrary values where required by the telco.</w:t>
      </w:r>
    </w:p>
    <w:p>
      <w:pPr>
        <w:pStyle w:val="ListBullet"/>
      </w:pPr>
      <w:r>
        <w:t>Product changes shall be versioned; existing advances retain the terms accepted at origination.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r/>
            <w:r>
              <w:rPr>
                <w:b/>
                <w:color w:val="FFFFFF"/>
                <w:sz w:val="16"/>
              </w:rPr>
              <w:t>ID</w:t>
            </w:r>
          </w:p>
        </w:tc>
        <w:tc>
          <w:tcPr>
            <w:tcW w:type="dxa" w:w="2045"/>
            <w:vAlign w:val="center"/>
            <w:shd w:fill="17365D"/>
          </w:tcPr>
          <w:p>
            <w:r/>
            <w:r>
              <w:rPr>
                <w:b/>
                <w:color w:val="FFFFFF"/>
                <w:sz w:val="16"/>
              </w:rPr>
              <w:t>Requirement</w:t>
            </w:r>
          </w:p>
        </w:tc>
        <w:tc>
          <w:tcPr>
            <w:tcW w:type="dxa" w:w="2045"/>
            <w:vAlign w:val="center"/>
            <w:shd w:fill="17365D"/>
          </w:tcPr>
          <w:p>
            <w:r/>
            <w:r>
              <w:rPr>
                <w:b/>
                <w:color w:val="FFFFFF"/>
                <w:sz w:val="16"/>
              </w:rPr>
              <w:t>Priority</w:t>
            </w:r>
          </w:p>
        </w:tc>
        <w:tc>
          <w:tcPr>
            <w:tcW w:type="dxa" w:w="2045"/>
            <w:vAlign w:val="center"/>
            <w:shd w:fill="17365D"/>
          </w:tcPr>
          <w:p>
            <w:r/>
            <w:r>
              <w:rPr>
                <w:b/>
                <w:color w:val="FFFFFF"/>
                <w:sz w:val="16"/>
              </w:rPr>
              <w:t>Acceptance Evidence</w:t>
            </w:r>
          </w:p>
        </w:tc>
        <w:tc>
          <w:tcPr>
            <w:tcW w:type="dxa" w:w="2045"/>
            <w:vAlign w:val="center"/>
            <w:shd w:fill="17365D"/>
          </w:tcPr>
          <w:p>
            <w:r/>
            <w:r>
              <w:rPr>
                <w:b/>
                <w:color w:val="FFFFFF"/>
                <w:sz w:val="16"/>
              </w:rPr>
              <w:t>Configurable?</w:t>
            </w:r>
          </w:p>
        </w:tc>
      </w:tr>
      <w:tr>
        <w:tc>
          <w:tcPr>
            <w:tcW w:type="dxa" w:w="2045"/>
            <w:vAlign w:val="center"/>
          </w:tcPr>
          <w:p>
            <w:r/>
            <w:r>
              <w:rPr>
                <w:b w:val="0"/>
                <w:sz w:val="16"/>
              </w:rPr>
              <w:t>PRD-001</w:t>
            </w:r>
          </w:p>
        </w:tc>
        <w:tc>
          <w:tcPr>
            <w:tcW w:type="dxa" w:w="2045"/>
            <w:vAlign w:val="center"/>
          </w:tcPr>
          <w:p>
            <w:r/>
            <w:r>
              <w:rPr>
                <w:b w:val="0"/>
                <w:sz w:val="16"/>
              </w:rPr>
              <w:t>Admin users shall create and version products without code deployment.</w:t>
            </w:r>
          </w:p>
        </w:tc>
        <w:tc>
          <w:tcPr>
            <w:tcW w:type="dxa" w:w="2045"/>
            <w:vAlign w:val="center"/>
          </w:tcPr>
          <w:p>
            <w:r/>
            <w:r>
              <w:rPr>
                <w:b w:val="0"/>
                <w:sz w:val="16"/>
              </w:rPr>
              <w:t>Must</w:t>
            </w:r>
          </w:p>
        </w:tc>
        <w:tc>
          <w:tcPr>
            <w:tcW w:type="dxa" w:w="2045"/>
            <w:vAlign w:val="center"/>
          </w:tcPr>
          <w:p>
            <w:r/>
            <w:r>
              <w:rPr>
                <w:b w:val="0"/>
                <w:sz w:val="16"/>
              </w:rPr>
              <w:t>Create pilot product in test.</w:t>
            </w:r>
          </w:p>
        </w:tc>
        <w:tc>
          <w:tcPr>
            <w:tcW w:type="dxa" w:w="2045"/>
            <w:vAlign w:val="center"/>
          </w:tcPr>
          <w:p>
            <w:r/>
            <w:r>
              <w:rPr>
                <w:b w:val="0"/>
                <w:sz w:val="16"/>
              </w:rPr>
              <w:t>Yes</w:t>
            </w:r>
          </w:p>
        </w:tc>
      </w:tr>
      <w:tr>
        <w:tc>
          <w:tcPr>
            <w:tcW w:type="dxa" w:w="2045"/>
            <w:vAlign w:val="center"/>
          </w:tcPr>
          <w:p>
            <w:r/>
            <w:r>
              <w:rPr>
                <w:b w:val="0"/>
                <w:sz w:val="16"/>
              </w:rPr>
              <w:t>PRD-002</w:t>
            </w:r>
          </w:p>
        </w:tc>
        <w:tc>
          <w:tcPr>
            <w:tcW w:type="dxa" w:w="2045"/>
            <w:vAlign w:val="center"/>
          </w:tcPr>
          <w:p>
            <w:r/>
            <w:r>
              <w:rPr>
                <w:b w:val="0"/>
                <w:sz w:val="16"/>
              </w:rPr>
              <w:t>Offer responses shall show gross advance, service fee, net delivered value, total repayment and expiry.</w:t>
            </w:r>
          </w:p>
        </w:tc>
        <w:tc>
          <w:tcPr>
            <w:tcW w:type="dxa" w:w="2045"/>
            <w:vAlign w:val="center"/>
          </w:tcPr>
          <w:p>
            <w:r/>
            <w:r>
              <w:rPr>
                <w:b w:val="0"/>
                <w:sz w:val="16"/>
              </w:rPr>
              <w:t>Must</w:t>
            </w:r>
          </w:p>
        </w:tc>
        <w:tc>
          <w:tcPr>
            <w:tcW w:type="dxa" w:w="2045"/>
            <w:vAlign w:val="center"/>
          </w:tcPr>
          <w:p>
            <w:r/>
            <w:r>
              <w:rPr>
                <w:b w:val="0"/>
                <w:sz w:val="16"/>
              </w:rPr>
              <w:t>API/UI acceptance test.</w:t>
            </w:r>
          </w:p>
        </w:tc>
        <w:tc>
          <w:tcPr>
            <w:tcW w:type="dxa" w:w="2045"/>
            <w:vAlign w:val="center"/>
          </w:tcPr>
          <w:p>
            <w:r/>
            <w:r>
              <w:rPr>
                <w:b w:val="0"/>
                <w:sz w:val="16"/>
              </w:rPr>
              <w:t>Yes</w:t>
            </w:r>
          </w:p>
        </w:tc>
      </w:tr>
      <w:tr>
        <w:tc>
          <w:tcPr>
            <w:tcW w:type="dxa" w:w="2045"/>
            <w:vAlign w:val="center"/>
          </w:tcPr>
          <w:p>
            <w:r/>
            <w:r>
              <w:rPr>
                <w:b w:val="0"/>
                <w:sz w:val="16"/>
              </w:rPr>
              <w:t>PRD-003</w:t>
            </w:r>
          </w:p>
        </w:tc>
        <w:tc>
          <w:tcPr>
            <w:tcW w:type="dxa" w:w="2045"/>
            <w:vAlign w:val="center"/>
          </w:tcPr>
          <w:p>
            <w:r/>
            <w:r>
              <w:rPr>
                <w:b w:val="0"/>
                <w:sz w:val="16"/>
              </w:rPr>
              <w:t>An expired or superseded offer shall not be accepted.</w:t>
            </w:r>
          </w:p>
        </w:tc>
        <w:tc>
          <w:tcPr>
            <w:tcW w:type="dxa" w:w="2045"/>
            <w:vAlign w:val="center"/>
          </w:tcPr>
          <w:p>
            <w:r/>
            <w:r>
              <w:rPr>
                <w:b w:val="0"/>
                <w:sz w:val="16"/>
              </w:rPr>
              <w:t>Must</w:t>
            </w:r>
          </w:p>
        </w:tc>
        <w:tc>
          <w:tcPr>
            <w:tcW w:type="dxa" w:w="2045"/>
            <w:vAlign w:val="center"/>
          </w:tcPr>
          <w:p>
            <w:r/>
            <w:r>
              <w:rPr>
                <w:b w:val="0"/>
                <w:sz w:val="16"/>
              </w:rPr>
              <w:t>Expiry race test.</w:t>
            </w:r>
          </w:p>
        </w:tc>
        <w:tc>
          <w:tcPr>
            <w:tcW w:type="dxa" w:w="2045"/>
            <w:vAlign w:val="center"/>
          </w:tcPr>
          <w:p>
            <w:r/>
            <w:r>
              <w:rPr>
                <w:b w:val="0"/>
                <w:sz w:val="16"/>
              </w:rPr>
              <w:t>No</w:t>
            </w:r>
          </w:p>
        </w:tc>
      </w:tr>
      <w:tr>
        <w:tc>
          <w:tcPr>
            <w:tcW w:type="dxa" w:w="2045"/>
            <w:vAlign w:val="center"/>
          </w:tcPr>
          <w:p>
            <w:r/>
            <w:r>
              <w:rPr>
                <w:b w:val="0"/>
                <w:sz w:val="16"/>
              </w:rPr>
              <w:t>PRD-004</w:t>
            </w:r>
          </w:p>
        </w:tc>
        <w:tc>
          <w:tcPr>
            <w:tcW w:type="dxa" w:w="2045"/>
            <w:vAlign w:val="center"/>
          </w:tcPr>
          <w:p>
            <w:r/>
            <w:r>
              <w:rPr>
                <w:b w:val="0"/>
                <w:sz w:val="16"/>
              </w:rPr>
              <w:t>The platform shall prevent a product from being activated without required settlement and fulfilment configuration.</w:t>
            </w:r>
          </w:p>
        </w:tc>
        <w:tc>
          <w:tcPr>
            <w:tcW w:type="dxa" w:w="2045"/>
            <w:vAlign w:val="center"/>
          </w:tcPr>
          <w:p>
            <w:r/>
            <w:r>
              <w:rPr>
                <w:b w:val="0"/>
                <w:sz w:val="16"/>
              </w:rPr>
              <w:t>Must</w:t>
            </w:r>
          </w:p>
        </w:tc>
        <w:tc>
          <w:tcPr>
            <w:tcW w:type="dxa" w:w="2045"/>
            <w:vAlign w:val="center"/>
          </w:tcPr>
          <w:p>
            <w:r/>
            <w:r>
              <w:rPr>
                <w:b w:val="0"/>
                <w:sz w:val="16"/>
              </w:rPr>
              <w:t>Validation test.</w:t>
            </w:r>
          </w:p>
        </w:tc>
        <w:tc>
          <w:tcPr>
            <w:tcW w:type="dxa" w:w="2045"/>
            <w:vAlign w:val="center"/>
          </w:tcPr>
          <w:p>
            <w:r/>
            <w:r>
              <w:rPr>
                <w:b w:val="0"/>
                <w:sz w:val="16"/>
              </w:rPr>
              <w:t>No</w:t>
            </w:r>
          </w:p>
        </w:tc>
      </w:tr>
    </w:tbl>
    <w:p/>
    <w:p>
      <w:pPr>
        <w:pStyle w:val="Heading1"/>
        <w:pageBreakBefore/>
      </w:pPr>
      <w:r>
        <w:t>12. Advance Lifecycle and Fulfilment Orchestration</w:t>
      </w:r>
    </w:p>
    <w:p>
      <w:pPr>
        <w:pStyle w:val="Heading2"/>
      </w:pPr>
      <w:r>
        <w:t>12.1 State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State</w:t>
            </w:r>
          </w:p>
        </w:tc>
        <w:tc>
          <w:tcPr>
            <w:tcW w:type="dxa" w:w="5112"/>
            <w:vAlign w:val="center"/>
            <w:shd w:fill="1F4E78"/>
          </w:tcPr>
          <w:p>
            <w:r/>
            <w:r>
              <w:rPr>
                <w:b/>
                <w:color w:val="FFFFFF"/>
                <w:sz w:val="16"/>
              </w:rPr>
              <w:t>Meaning</w:t>
            </w:r>
          </w:p>
        </w:tc>
      </w:tr>
      <w:tr>
        <w:tc>
          <w:tcPr>
            <w:tcW w:type="dxa" w:w="5112"/>
            <w:vAlign w:val="center"/>
          </w:tcPr>
          <w:p>
            <w:r/>
            <w:r>
              <w:rPr>
                <w:b w:val="0"/>
                <w:sz w:val="16"/>
              </w:rPr>
              <w:t>OFFERED</w:t>
            </w:r>
          </w:p>
        </w:tc>
        <w:tc>
          <w:tcPr>
            <w:tcW w:type="dxa" w:w="5112"/>
            <w:vAlign w:val="center"/>
          </w:tcPr>
          <w:p>
            <w:r/>
            <w:r>
              <w:rPr>
                <w:b w:val="0"/>
                <w:sz w:val="16"/>
              </w:rPr>
              <w:t>Offer is available but not accepted.</w:t>
            </w:r>
          </w:p>
        </w:tc>
      </w:tr>
      <w:tr>
        <w:tc>
          <w:tcPr>
            <w:tcW w:type="dxa" w:w="5112"/>
            <w:vAlign w:val="center"/>
          </w:tcPr>
          <w:p>
            <w:r/>
            <w:r>
              <w:rPr>
                <w:b w:val="0"/>
                <w:sz w:val="16"/>
              </w:rPr>
              <w:t>REQUESTED</w:t>
            </w:r>
          </w:p>
        </w:tc>
        <w:tc>
          <w:tcPr>
            <w:tcW w:type="dxa" w:w="5112"/>
            <w:vAlign w:val="center"/>
          </w:tcPr>
          <w:p>
            <w:r/>
            <w:r>
              <w:rPr>
                <w:b w:val="0"/>
                <w:sz w:val="16"/>
              </w:rPr>
              <w:t>Customer request received and authenticated.</w:t>
            </w:r>
          </w:p>
        </w:tc>
      </w:tr>
      <w:tr>
        <w:tc>
          <w:tcPr>
            <w:tcW w:type="dxa" w:w="5112"/>
            <w:vAlign w:val="center"/>
          </w:tcPr>
          <w:p>
            <w:r/>
            <w:r>
              <w:rPr>
                <w:b w:val="0"/>
                <w:sz w:val="16"/>
              </w:rPr>
              <w:t>RESERVED</w:t>
            </w:r>
          </w:p>
        </w:tc>
        <w:tc>
          <w:tcPr>
            <w:tcW w:type="dxa" w:w="5112"/>
            <w:vAlign w:val="center"/>
          </w:tcPr>
          <w:p>
            <w:r/>
            <w:r>
              <w:rPr>
                <w:b w:val="0"/>
                <w:sz w:val="16"/>
              </w:rPr>
              <w:t>Exposure reserved; duplicate/concurrent requests blocked.</w:t>
            </w:r>
          </w:p>
        </w:tc>
      </w:tr>
      <w:tr>
        <w:tc>
          <w:tcPr>
            <w:tcW w:type="dxa" w:w="5112"/>
            <w:vAlign w:val="center"/>
          </w:tcPr>
          <w:p>
            <w:r/>
            <w:r>
              <w:rPr>
                <w:b w:val="0"/>
                <w:sz w:val="16"/>
              </w:rPr>
              <w:t>PENDING_FULFILMENT</w:t>
            </w:r>
          </w:p>
        </w:tc>
        <w:tc>
          <w:tcPr>
            <w:tcW w:type="dxa" w:w="5112"/>
            <w:vAlign w:val="center"/>
          </w:tcPr>
          <w:p>
            <w:r/>
            <w:r>
              <w:rPr>
                <w:b w:val="0"/>
                <w:sz w:val="16"/>
              </w:rPr>
              <w:t>Fulfilment instruction submitted or awaiting submission.</w:t>
            </w:r>
          </w:p>
        </w:tc>
      </w:tr>
      <w:tr>
        <w:tc>
          <w:tcPr>
            <w:tcW w:type="dxa" w:w="5112"/>
            <w:vAlign w:val="center"/>
          </w:tcPr>
          <w:p>
            <w:r/>
            <w:r>
              <w:rPr>
                <w:b w:val="0"/>
                <w:sz w:val="16"/>
              </w:rPr>
              <w:t>ACTIVE</w:t>
            </w:r>
          </w:p>
        </w:tc>
        <w:tc>
          <w:tcPr>
            <w:tcW w:type="dxa" w:w="5112"/>
            <w:vAlign w:val="center"/>
          </w:tcPr>
          <w:p>
            <w:r/>
            <w:r>
              <w:rPr>
                <w:b w:val="0"/>
                <w:sz w:val="16"/>
              </w:rPr>
              <w:t>Telco confirmed credit and advance is outstanding.</w:t>
            </w:r>
          </w:p>
        </w:tc>
      </w:tr>
      <w:tr>
        <w:tc>
          <w:tcPr>
            <w:tcW w:type="dxa" w:w="5112"/>
            <w:vAlign w:val="center"/>
          </w:tcPr>
          <w:p>
            <w:r/>
            <w:r>
              <w:rPr>
                <w:b w:val="0"/>
                <w:sz w:val="16"/>
              </w:rPr>
              <w:t>PARTIALLY_REPAID</w:t>
            </w:r>
          </w:p>
        </w:tc>
        <w:tc>
          <w:tcPr>
            <w:tcW w:type="dxa" w:w="5112"/>
            <w:vAlign w:val="center"/>
          </w:tcPr>
          <w:p>
            <w:r/>
            <w:r>
              <w:rPr>
                <w:b w:val="0"/>
                <w:sz w:val="16"/>
              </w:rPr>
              <w:t>Some recovery received.</w:t>
            </w:r>
          </w:p>
        </w:tc>
      </w:tr>
      <w:tr>
        <w:tc>
          <w:tcPr>
            <w:tcW w:type="dxa" w:w="5112"/>
            <w:vAlign w:val="center"/>
          </w:tcPr>
          <w:p>
            <w:r/>
            <w:r>
              <w:rPr>
                <w:b w:val="0"/>
                <w:sz w:val="16"/>
              </w:rPr>
              <w:t>REPAID</w:t>
            </w:r>
          </w:p>
        </w:tc>
        <w:tc>
          <w:tcPr>
            <w:tcW w:type="dxa" w:w="5112"/>
            <w:vAlign w:val="center"/>
          </w:tcPr>
          <w:p>
            <w:r/>
            <w:r>
              <w:rPr>
                <w:b w:val="0"/>
                <w:sz w:val="16"/>
              </w:rPr>
              <w:t>Principal/repayment obligation fully satisfied.</w:t>
            </w:r>
          </w:p>
        </w:tc>
      </w:tr>
      <w:tr>
        <w:tc>
          <w:tcPr>
            <w:tcW w:type="dxa" w:w="5112"/>
            <w:vAlign w:val="center"/>
          </w:tcPr>
          <w:p>
            <w:r/>
            <w:r>
              <w:rPr>
                <w:b w:val="0"/>
                <w:sz w:val="16"/>
              </w:rPr>
              <w:t>FULFILMENT_FAILED</w:t>
            </w:r>
          </w:p>
        </w:tc>
        <w:tc>
          <w:tcPr>
            <w:tcW w:type="dxa" w:w="5112"/>
            <w:vAlign w:val="center"/>
          </w:tcPr>
          <w:p>
            <w:r/>
            <w:r>
              <w:rPr>
                <w:b w:val="0"/>
                <w:sz w:val="16"/>
              </w:rPr>
              <w:t>Telco confirmed no credit; reservation released.</w:t>
            </w:r>
          </w:p>
        </w:tc>
      </w:tr>
      <w:tr>
        <w:tc>
          <w:tcPr>
            <w:tcW w:type="dxa" w:w="5112"/>
            <w:vAlign w:val="center"/>
          </w:tcPr>
          <w:p>
            <w:r/>
            <w:r>
              <w:rPr>
                <w:b w:val="0"/>
                <w:sz w:val="16"/>
              </w:rPr>
              <w:t>FULFILMENT_UNKNOWN</w:t>
            </w:r>
          </w:p>
        </w:tc>
        <w:tc>
          <w:tcPr>
            <w:tcW w:type="dxa" w:w="5112"/>
            <w:vAlign w:val="center"/>
          </w:tcPr>
          <w:p>
            <w:r/>
            <w:r>
              <w:rPr>
                <w:b w:val="0"/>
                <w:sz w:val="16"/>
              </w:rPr>
              <w:t>Outcome uncertain; no retry that could duplicate credit without status enquiry.</w:t>
            </w:r>
          </w:p>
        </w:tc>
      </w:tr>
      <w:tr>
        <w:tc>
          <w:tcPr>
            <w:tcW w:type="dxa" w:w="5112"/>
            <w:vAlign w:val="center"/>
          </w:tcPr>
          <w:p>
            <w:r/>
            <w:r>
              <w:rPr>
                <w:b w:val="0"/>
                <w:sz w:val="16"/>
              </w:rPr>
              <w:t>REVERSED</w:t>
            </w:r>
          </w:p>
        </w:tc>
        <w:tc>
          <w:tcPr>
            <w:tcW w:type="dxa" w:w="5112"/>
            <w:vAlign w:val="center"/>
          </w:tcPr>
          <w:p>
            <w:r/>
            <w:r>
              <w:rPr>
                <w:b w:val="0"/>
                <w:sz w:val="16"/>
              </w:rPr>
              <w:t>Original credit and advance reversed under controlled process.</w:t>
            </w:r>
          </w:p>
        </w:tc>
      </w:tr>
      <w:tr>
        <w:tc>
          <w:tcPr>
            <w:tcW w:type="dxa" w:w="5112"/>
            <w:vAlign w:val="center"/>
          </w:tcPr>
          <w:p>
            <w:r/>
            <w:r>
              <w:rPr>
                <w:b w:val="0"/>
                <w:sz w:val="16"/>
              </w:rPr>
              <w:t>WRITTEN_OFF</w:t>
            </w:r>
          </w:p>
        </w:tc>
        <w:tc>
          <w:tcPr>
            <w:tcW w:type="dxa" w:w="5112"/>
            <w:vAlign w:val="center"/>
          </w:tcPr>
          <w:p>
            <w:r/>
            <w:r>
              <w:rPr>
                <w:b w:val="0"/>
                <w:sz w:val="16"/>
              </w:rPr>
              <w:t>Accounting/risk write-off recorded; later recoveries still supported.</w:t>
            </w:r>
          </w:p>
        </w:tc>
      </w:tr>
      <w:tr>
        <w:tc>
          <w:tcPr>
            <w:tcW w:type="dxa" w:w="5112"/>
            <w:vAlign w:val="center"/>
          </w:tcPr>
          <w:p>
            <w:r/>
            <w:r>
              <w:rPr>
                <w:b w:val="0"/>
                <w:sz w:val="16"/>
              </w:rPr>
              <w:t>CANCELLED</w:t>
            </w:r>
          </w:p>
        </w:tc>
        <w:tc>
          <w:tcPr>
            <w:tcW w:type="dxa" w:w="5112"/>
            <w:vAlign w:val="center"/>
          </w:tcPr>
          <w:p>
            <w:r/>
            <w:r>
              <w:rPr>
                <w:b w:val="0"/>
                <w:sz w:val="16"/>
              </w:rPr>
              <w:t>Request cancelled before fulfilment.</w:t>
            </w:r>
          </w:p>
        </w:tc>
      </w:tr>
      <w:tr>
        <w:tc>
          <w:tcPr>
            <w:tcW w:type="dxa" w:w="5112"/>
            <w:vAlign w:val="center"/>
          </w:tcPr>
          <w:p>
            <w:r/>
            <w:r>
              <w:rPr>
                <w:b w:val="0"/>
                <w:sz w:val="16"/>
              </w:rPr>
              <w:t>DISPUTED</w:t>
            </w:r>
          </w:p>
        </w:tc>
        <w:tc>
          <w:tcPr>
            <w:tcW w:type="dxa" w:w="5112"/>
            <w:vAlign w:val="center"/>
          </w:tcPr>
          <w:p>
            <w:r/>
            <w:r>
              <w:rPr>
                <w:b w:val="0"/>
                <w:sz w:val="16"/>
              </w:rPr>
              <w:t>Operational or customer dispute attached; financial state remains explicit.</w:t>
            </w:r>
          </w:p>
        </w:tc>
      </w:tr>
    </w:tbl>
    <w:p/>
    <w:p>
      <w:pPr>
        <w:pStyle w:val="Heading2"/>
      </w:pPr>
      <w:r>
        <w:t>12.2 Origination Flow</w:t>
      </w:r>
    </w:p>
    <w:p>
      <w:pPr>
        <w:pStyle w:val="ListNumber"/>
      </w:pPr>
      <w:r>
        <w:t>Receive telco/channel request with telco_id, MSISDN, product/amount, request ID and timestamp.</w:t>
      </w:r>
    </w:p>
    <w:p>
      <w:pPr>
        <w:pStyle w:val="ListNumber"/>
      </w:pPr>
      <w:r>
        <w:t>Authenticate telco/channel and validate payload.</w:t>
      </w:r>
    </w:p>
    <w:p>
      <w:pPr>
        <w:pStyle w:val="ListNumber"/>
      </w:pPr>
      <w:r>
        <w:t>Resolve subscriber account and current offer snapshot.</w:t>
      </w:r>
    </w:p>
    <w:p>
      <w:pPr>
        <w:pStyle w:val="ListNumber"/>
      </w:pPr>
      <w:r>
        <w:t>Apply real-time overlay, exposure and product validations.</w:t>
      </w:r>
    </w:p>
    <w:p>
      <w:pPr>
        <w:pStyle w:val="ListNumber"/>
      </w:pPr>
      <w:r>
        <w:t>Acquire subscriber-level concurrency control and idempotency record.</w:t>
      </w:r>
    </w:p>
    <w:p>
      <w:pPr>
        <w:pStyle w:val="ListNumber"/>
      </w:pPr>
      <w:r>
        <w:t>Reserve exposure and create pending advance record.</w:t>
      </w:r>
    </w:p>
    <w:p>
      <w:pPr>
        <w:pStyle w:val="ListNumber"/>
      </w:pPr>
      <w:r>
        <w:t>Post provisional ledger/control entries where applicable.</w:t>
      </w:r>
    </w:p>
    <w:p>
      <w:pPr>
        <w:pStyle w:val="ListNumber"/>
      </w:pPr>
      <w:r>
        <w:t>Submit fulfilment to telco or return approval for telco-managed fulfilment according to integration mode.</w:t>
      </w:r>
    </w:p>
    <w:p>
      <w:pPr>
        <w:pStyle w:val="ListNumber"/>
      </w:pPr>
      <w:r>
        <w:t>Process definitive telco acknowledgement.</w:t>
      </w:r>
    </w:p>
    <w:p>
      <w:pPr>
        <w:pStyle w:val="ListNumber"/>
      </w:pPr>
      <w:r>
        <w:t>Activate or fail the advance and post final ledger entries.</w:t>
      </w:r>
    </w:p>
    <w:p>
      <w:pPr>
        <w:pStyle w:val="ListNumber"/>
      </w:pPr>
      <w:r>
        <w:t>Send response/notification and emit downstream events.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r/>
            <w:r>
              <w:rPr>
                <w:b/>
                <w:color w:val="FFFFFF"/>
                <w:sz w:val="16"/>
              </w:rPr>
              <w:t>ID</w:t>
            </w:r>
          </w:p>
        </w:tc>
        <w:tc>
          <w:tcPr>
            <w:tcW w:type="dxa" w:w="2045"/>
            <w:vAlign w:val="center"/>
            <w:shd w:fill="17365D"/>
          </w:tcPr>
          <w:p>
            <w:r/>
            <w:r>
              <w:rPr>
                <w:b/>
                <w:color w:val="FFFFFF"/>
                <w:sz w:val="16"/>
              </w:rPr>
              <w:t>Requirement</w:t>
            </w:r>
          </w:p>
        </w:tc>
        <w:tc>
          <w:tcPr>
            <w:tcW w:type="dxa" w:w="2045"/>
            <w:vAlign w:val="center"/>
            <w:shd w:fill="17365D"/>
          </w:tcPr>
          <w:p>
            <w:r/>
            <w:r>
              <w:rPr>
                <w:b/>
                <w:color w:val="FFFFFF"/>
                <w:sz w:val="16"/>
              </w:rPr>
              <w:t>Priority</w:t>
            </w:r>
          </w:p>
        </w:tc>
        <w:tc>
          <w:tcPr>
            <w:tcW w:type="dxa" w:w="2045"/>
            <w:vAlign w:val="center"/>
            <w:shd w:fill="17365D"/>
          </w:tcPr>
          <w:p>
            <w:r/>
            <w:r>
              <w:rPr>
                <w:b/>
                <w:color w:val="FFFFFF"/>
                <w:sz w:val="16"/>
              </w:rPr>
              <w:t>Acceptance Evidence</w:t>
            </w:r>
          </w:p>
        </w:tc>
        <w:tc>
          <w:tcPr>
            <w:tcW w:type="dxa" w:w="2045"/>
            <w:vAlign w:val="center"/>
            <w:shd w:fill="17365D"/>
          </w:tcPr>
          <w:p>
            <w:r/>
            <w:r>
              <w:rPr>
                <w:b/>
                <w:color w:val="FFFFFF"/>
                <w:sz w:val="16"/>
              </w:rPr>
              <w:t>Configurable?</w:t>
            </w:r>
          </w:p>
        </w:tc>
      </w:tr>
      <w:tr>
        <w:tc>
          <w:tcPr>
            <w:tcW w:type="dxa" w:w="2045"/>
            <w:vAlign w:val="center"/>
          </w:tcPr>
          <w:p>
            <w:r/>
            <w:r>
              <w:rPr>
                <w:b w:val="0"/>
                <w:sz w:val="16"/>
              </w:rPr>
              <w:t>ADV-001</w:t>
            </w:r>
          </w:p>
        </w:tc>
        <w:tc>
          <w:tcPr>
            <w:tcW w:type="dxa" w:w="2045"/>
            <w:vAlign w:val="center"/>
          </w:tcPr>
          <w:p>
            <w:r/>
            <w:r>
              <w:rPr>
                <w:b w:val="0"/>
                <w:sz w:val="16"/>
              </w:rPr>
              <w:t>The platform shall maintain an advance record for every approved fulfilment attempt.</w:t>
            </w:r>
          </w:p>
        </w:tc>
        <w:tc>
          <w:tcPr>
            <w:tcW w:type="dxa" w:w="2045"/>
            <w:vAlign w:val="center"/>
          </w:tcPr>
          <w:p>
            <w:r/>
            <w:r>
              <w:rPr>
                <w:b w:val="0"/>
                <w:sz w:val="16"/>
              </w:rPr>
              <w:t>Must</w:t>
            </w:r>
          </w:p>
        </w:tc>
        <w:tc>
          <w:tcPr>
            <w:tcW w:type="dxa" w:w="2045"/>
            <w:vAlign w:val="center"/>
          </w:tcPr>
          <w:p>
            <w:r/>
            <w:r>
              <w:rPr>
                <w:b w:val="0"/>
                <w:sz w:val="16"/>
              </w:rPr>
              <w:t>Traceability test.</w:t>
            </w:r>
          </w:p>
        </w:tc>
        <w:tc>
          <w:tcPr>
            <w:tcW w:type="dxa" w:w="2045"/>
            <w:vAlign w:val="center"/>
          </w:tcPr>
          <w:p>
            <w:r/>
            <w:r>
              <w:rPr>
                <w:b w:val="0"/>
                <w:sz w:val="16"/>
              </w:rPr>
              <w:t>No</w:t>
            </w:r>
          </w:p>
        </w:tc>
      </w:tr>
      <w:tr>
        <w:tc>
          <w:tcPr>
            <w:tcW w:type="dxa" w:w="2045"/>
            <w:vAlign w:val="center"/>
          </w:tcPr>
          <w:p>
            <w:r/>
            <w:r>
              <w:rPr>
                <w:b w:val="0"/>
                <w:sz w:val="16"/>
              </w:rPr>
              <w:t>ADV-002</w:t>
            </w:r>
          </w:p>
        </w:tc>
        <w:tc>
          <w:tcPr>
            <w:tcW w:type="dxa" w:w="2045"/>
            <w:vAlign w:val="center"/>
          </w:tcPr>
          <w:p>
            <w:r/>
            <w:r>
              <w:rPr>
                <w:b w:val="0"/>
                <w:sz w:val="16"/>
              </w:rPr>
              <w:t>Duplicate requests with the same idempotency key shall return the original outcome.</w:t>
            </w:r>
          </w:p>
        </w:tc>
        <w:tc>
          <w:tcPr>
            <w:tcW w:type="dxa" w:w="2045"/>
            <w:vAlign w:val="center"/>
          </w:tcPr>
          <w:p>
            <w:r/>
            <w:r>
              <w:rPr>
                <w:b w:val="0"/>
                <w:sz w:val="16"/>
              </w:rPr>
              <w:t>Must</w:t>
            </w:r>
          </w:p>
        </w:tc>
        <w:tc>
          <w:tcPr>
            <w:tcW w:type="dxa" w:w="2045"/>
            <w:vAlign w:val="center"/>
          </w:tcPr>
          <w:p>
            <w:r/>
            <w:r>
              <w:rPr>
                <w:b w:val="0"/>
                <w:sz w:val="16"/>
              </w:rPr>
              <w:t>Duplicate storm test.</w:t>
            </w:r>
          </w:p>
        </w:tc>
        <w:tc>
          <w:tcPr>
            <w:tcW w:type="dxa" w:w="2045"/>
            <w:vAlign w:val="center"/>
          </w:tcPr>
          <w:p>
            <w:r/>
            <w:r>
              <w:rPr>
                <w:b w:val="0"/>
                <w:sz w:val="16"/>
              </w:rPr>
              <w:t>No</w:t>
            </w:r>
          </w:p>
        </w:tc>
      </w:tr>
      <w:tr>
        <w:tc>
          <w:tcPr>
            <w:tcW w:type="dxa" w:w="2045"/>
            <w:vAlign w:val="center"/>
          </w:tcPr>
          <w:p>
            <w:r/>
            <w:r>
              <w:rPr>
                <w:b w:val="0"/>
                <w:sz w:val="16"/>
              </w:rPr>
              <w:t>ADV-003</w:t>
            </w:r>
          </w:p>
        </w:tc>
        <w:tc>
          <w:tcPr>
            <w:tcW w:type="dxa" w:w="2045"/>
            <w:vAlign w:val="center"/>
          </w:tcPr>
          <w:p>
            <w:r/>
            <w:r>
              <w:rPr>
                <w:b w:val="0"/>
                <w:sz w:val="16"/>
              </w:rPr>
              <w:t>Concurrent requests shall not exceed the subscriber available limit.</w:t>
            </w:r>
          </w:p>
        </w:tc>
        <w:tc>
          <w:tcPr>
            <w:tcW w:type="dxa" w:w="2045"/>
            <w:vAlign w:val="center"/>
          </w:tcPr>
          <w:p>
            <w:r/>
            <w:r>
              <w:rPr>
                <w:b w:val="0"/>
                <w:sz w:val="16"/>
              </w:rPr>
              <w:t>Must</w:t>
            </w:r>
          </w:p>
        </w:tc>
        <w:tc>
          <w:tcPr>
            <w:tcW w:type="dxa" w:w="2045"/>
            <w:vAlign w:val="center"/>
          </w:tcPr>
          <w:p>
            <w:r/>
            <w:r>
              <w:rPr>
                <w:b w:val="0"/>
                <w:sz w:val="16"/>
              </w:rPr>
              <w:t>Concurrency test.</w:t>
            </w:r>
          </w:p>
        </w:tc>
        <w:tc>
          <w:tcPr>
            <w:tcW w:type="dxa" w:w="2045"/>
            <w:vAlign w:val="center"/>
          </w:tcPr>
          <w:p>
            <w:r/>
            <w:r>
              <w:rPr>
                <w:b w:val="0"/>
                <w:sz w:val="16"/>
              </w:rPr>
              <w:t>No</w:t>
            </w:r>
          </w:p>
        </w:tc>
      </w:tr>
      <w:tr>
        <w:tc>
          <w:tcPr>
            <w:tcW w:type="dxa" w:w="2045"/>
            <w:vAlign w:val="center"/>
          </w:tcPr>
          <w:p>
            <w:r/>
            <w:r>
              <w:rPr>
                <w:b w:val="0"/>
                <w:sz w:val="16"/>
              </w:rPr>
              <w:t>ADV-004</w:t>
            </w:r>
          </w:p>
        </w:tc>
        <w:tc>
          <w:tcPr>
            <w:tcW w:type="dxa" w:w="2045"/>
            <w:vAlign w:val="center"/>
          </w:tcPr>
          <w:p>
            <w:r/>
            <w:r>
              <w:rPr>
                <w:b w:val="0"/>
                <w:sz w:val="16"/>
              </w:rPr>
              <w:t>Unknown fulfilment outcomes shall use status enquiry/reconciliation before any repeat credit instruction.</w:t>
            </w:r>
          </w:p>
        </w:tc>
        <w:tc>
          <w:tcPr>
            <w:tcW w:type="dxa" w:w="2045"/>
            <w:vAlign w:val="center"/>
          </w:tcPr>
          <w:p>
            <w:r/>
            <w:r>
              <w:rPr>
                <w:b w:val="0"/>
                <w:sz w:val="16"/>
              </w:rPr>
              <w:t>Must</w:t>
            </w:r>
          </w:p>
        </w:tc>
        <w:tc>
          <w:tcPr>
            <w:tcW w:type="dxa" w:w="2045"/>
            <w:vAlign w:val="center"/>
          </w:tcPr>
          <w:p>
            <w:r/>
            <w:r>
              <w:rPr>
                <w:b w:val="0"/>
                <w:sz w:val="16"/>
              </w:rPr>
              <w:t>Timeout-after-success simulation.</w:t>
            </w:r>
          </w:p>
        </w:tc>
        <w:tc>
          <w:tcPr>
            <w:tcW w:type="dxa" w:w="2045"/>
            <w:vAlign w:val="center"/>
          </w:tcPr>
          <w:p>
            <w:r/>
            <w:r>
              <w:rPr>
                <w:b w:val="0"/>
                <w:sz w:val="16"/>
              </w:rPr>
              <w:t>No</w:t>
            </w:r>
          </w:p>
        </w:tc>
      </w:tr>
      <w:tr>
        <w:tc>
          <w:tcPr>
            <w:tcW w:type="dxa" w:w="2045"/>
            <w:vAlign w:val="center"/>
          </w:tcPr>
          <w:p>
            <w:r/>
            <w:r>
              <w:rPr>
                <w:b w:val="0"/>
                <w:sz w:val="16"/>
              </w:rPr>
              <w:t>ADV-005</w:t>
            </w:r>
          </w:p>
        </w:tc>
        <w:tc>
          <w:tcPr>
            <w:tcW w:type="dxa" w:w="2045"/>
            <w:vAlign w:val="center"/>
          </w:tcPr>
          <w:p>
            <w:r/>
            <w:r>
              <w:rPr>
                <w:b w:val="0"/>
                <w:sz w:val="16"/>
              </w:rPr>
              <w:t>Exposure reservations shall expire or be repaired according to configured policies without losing audit history.</w:t>
            </w:r>
          </w:p>
        </w:tc>
        <w:tc>
          <w:tcPr>
            <w:tcW w:type="dxa" w:w="2045"/>
            <w:vAlign w:val="center"/>
          </w:tcPr>
          <w:p>
            <w:r/>
            <w:r>
              <w:rPr>
                <w:b w:val="0"/>
                <w:sz w:val="16"/>
              </w:rPr>
              <w:t>Must</w:t>
            </w:r>
          </w:p>
        </w:tc>
        <w:tc>
          <w:tcPr>
            <w:tcW w:type="dxa" w:w="2045"/>
            <w:vAlign w:val="center"/>
          </w:tcPr>
          <w:p>
            <w:r/>
            <w:r>
              <w:rPr>
                <w:b w:val="0"/>
                <w:sz w:val="16"/>
              </w:rPr>
              <w:t>Stuck-reservation test.</w:t>
            </w:r>
          </w:p>
        </w:tc>
        <w:tc>
          <w:tcPr>
            <w:tcW w:type="dxa" w:w="2045"/>
            <w:vAlign w:val="center"/>
          </w:tcPr>
          <w:p>
            <w:r/>
            <w:r>
              <w:rPr>
                <w:b w:val="0"/>
                <w:sz w:val="16"/>
              </w:rPr>
              <w:t>Yes</w:t>
            </w:r>
          </w:p>
        </w:tc>
      </w:tr>
    </w:tbl>
    <w:p/>
    <w:p>
      <w:pPr>
        <w:pStyle w:val="Heading1"/>
        <w:pageBreakBefore/>
      </w:pPr>
      <w:r>
        <w:t>13. Loan Records, Ledger and Exposure</w:t>
      </w:r>
    </w:p>
    <w:p>
      <w:r>
        <w:t>The lending platform shall be the authoritative system for advance records and exposure. It shall maintain both lifecycle records and an append-only financial/sub-ledger. Mutable balance fields may be cached for performance but must be reproducible from ledger entries.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Ledger Event</w:t>
            </w:r>
          </w:p>
        </w:tc>
        <w:tc>
          <w:tcPr>
            <w:tcW w:type="dxa" w:w="5112"/>
            <w:vAlign w:val="center"/>
            <w:shd w:fill="1F4E78"/>
          </w:tcPr>
          <w:p>
            <w:r/>
            <w:r>
              <w:rPr>
                <w:b/>
                <w:color w:val="FFFFFF"/>
                <w:sz w:val="16"/>
              </w:rPr>
              <w:t>Illustrative Accounting Meaning</w:t>
            </w:r>
          </w:p>
        </w:tc>
      </w:tr>
      <w:tr>
        <w:tc>
          <w:tcPr>
            <w:tcW w:type="dxa" w:w="5112"/>
            <w:vAlign w:val="center"/>
          </w:tcPr>
          <w:p>
            <w:r/>
            <w:r>
              <w:rPr>
                <w:b w:val="0"/>
                <w:sz w:val="16"/>
              </w:rPr>
              <w:t>ADVANCE_ORIGINATED</w:t>
            </w:r>
          </w:p>
        </w:tc>
        <w:tc>
          <w:tcPr>
            <w:tcW w:type="dxa" w:w="5112"/>
            <w:vAlign w:val="center"/>
          </w:tcPr>
          <w:p>
            <w:r/>
            <w:r>
              <w:rPr>
                <w:b w:val="0"/>
                <w:sz w:val="16"/>
              </w:rPr>
              <w:t>Principal/exposure recognised after confirmed fulfilment.</w:t>
            </w:r>
          </w:p>
        </w:tc>
      </w:tr>
      <w:tr>
        <w:tc>
          <w:tcPr>
            <w:tcW w:type="dxa" w:w="5112"/>
            <w:vAlign w:val="center"/>
          </w:tcPr>
          <w:p>
            <w:r/>
            <w:r>
              <w:rPr>
                <w:b w:val="0"/>
                <w:sz w:val="16"/>
              </w:rPr>
              <w:t>SERVICE_FEE_RECOGNISED/DEFERRED</w:t>
            </w:r>
          </w:p>
        </w:tc>
        <w:tc>
          <w:tcPr>
            <w:tcW w:type="dxa" w:w="5112"/>
            <w:vAlign w:val="center"/>
          </w:tcPr>
          <w:p>
            <w:r/>
            <w:r>
              <w:rPr>
                <w:b w:val="0"/>
                <w:sz w:val="16"/>
              </w:rPr>
              <w:t>Fee treatment based on policy.</w:t>
            </w:r>
          </w:p>
        </w:tc>
      </w:tr>
      <w:tr>
        <w:tc>
          <w:tcPr>
            <w:tcW w:type="dxa" w:w="5112"/>
            <w:vAlign w:val="center"/>
          </w:tcPr>
          <w:p>
            <w:r/>
            <w:r>
              <w:rPr>
                <w:b w:val="0"/>
                <w:sz w:val="16"/>
              </w:rPr>
              <w:t>REPAYMENT_RECEIVED</w:t>
            </w:r>
          </w:p>
        </w:tc>
        <w:tc>
          <w:tcPr>
            <w:tcW w:type="dxa" w:w="5112"/>
            <w:vAlign w:val="center"/>
          </w:tcPr>
          <w:p>
            <w:r/>
            <w:r>
              <w:rPr>
                <w:b w:val="0"/>
                <w:sz w:val="16"/>
              </w:rPr>
              <w:t>Recovery applied to an advance.</w:t>
            </w:r>
          </w:p>
        </w:tc>
      </w:tr>
      <w:tr>
        <w:tc>
          <w:tcPr>
            <w:tcW w:type="dxa" w:w="5112"/>
            <w:vAlign w:val="center"/>
          </w:tcPr>
          <w:p>
            <w:r/>
            <w:r>
              <w:rPr>
                <w:b w:val="0"/>
                <w:sz w:val="16"/>
              </w:rPr>
              <w:t>REPAYMENT_REVERSAL</w:t>
            </w:r>
          </w:p>
        </w:tc>
        <w:tc>
          <w:tcPr>
            <w:tcW w:type="dxa" w:w="5112"/>
            <w:vAlign w:val="center"/>
          </w:tcPr>
          <w:p>
            <w:r/>
            <w:r>
              <w:rPr>
                <w:b w:val="0"/>
                <w:sz w:val="16"/>
              </w:rPr>
              <w:t>Previously reported recovery reversed.</w:t>
            </w:r>
          </w:p>
        </w:tc>
      </w:tr>
      <w:tr>
        <w:tc>
          <w:tcPr>
            <w:tcW w:type="dxa" w:w="5112"/>
            <w:vAlign w:val="center"/>
          </w:tcPr>
          <w:p>
            <w:r/>
            <w:r>
              <w:rPr>
                <w:b w:val="0"/>
                <w:sz w:val="16"/>
              </w:rPr>
              <w:t>FULFILMENT_REVERSAL</w:t>
            </w:r>
          </w:p>
        </w:tc>
        <w:tc>
          <w:tcPr>
            <w:tcW w:type="dxa" w:w="5112"/>
            <w:vAlign w:val="center"/>
          </w:tcPr>
          <w:p>
            <w:r/>
            <w:r>
              <w:rPr>
                <w:b w:val="0"/>
                <w:sz w:val="16"/>
              </w:rPr>
              <w:t>Telco reverses credited value.</w:t>
            </w:r>
          </w:p>
        </w:tc>
      </w:tr>
      <w:tr>
        <w:tc>
          <w:tcPr>
            <w:tcW w:type="dxa" w:w="5112"/>
            <w:vAlign w:val="center"/>
          </w:tcPr>
          <w:p>
            <w:r/>
            <w:r>
              <w:rPr>
                <w:b w:val="0"/>
                <w:sz w:val="16"/>
              </w:rPr>
              <w:t>ADJUSTMENT</w:t>
            </w:r>
          </w:p>
        </w:tc>
        <w:tc>
          <w:tcPr>
            <w:tcW w:type="dxa" w:w="5112"/>
            <w:vAlign w:val="center"/>
          </w:tcPr>
          <w:p>
            <w:r/>
            <w:r>
              <w:rPr>
                <w:b w:val="0"/>
                <w:sz w:val="16"/>
              </w:rPr>
              <w:t>Authorised non-standard correction with reason and approval.</w:t>
            </w:r>
          </w:p>
        </w:tc>
      </w:tr>
      <w:tr>
        <w:tc>
          <w:tcPr>
            <w:tcW w:type="dxa" w:w="5112"/>
            <w:vAlign w:val="center"/>
          </w:tcPr>
          <w:p>
            <w:r/>
            <w:r>
              <w:rPr>
                <w:b w:val="0"/>
                <w:sz w:val="16"/>
              </w:rPr>
              <w:t>WRITE_OFF</w:t>
            </w:r>
          </w:p>
        </w:tc>
        <w:tc>
          <w:tcPr>
            <w:tcW w:type="dxa" w:w="5112"/>
            <w:vAlign w:val="center"/>
          </w:tcPr>
          <w:p>
            <w:r/>
            <w:r>
              <w:rPr>
                <w:b w:val="0"/>
                <w:sz w:val="16"/>
              </w:rPr>
              <w:t>Exposure moved to written-off status.</w:t>
            </w:r>
          </w:p>
        </w:tc>
      </w:tr>
      <w:tr>
        <w:tc>
          <w:tcPr>
            <w:tcW w:type="dxa" w:w="5112"/>
            <w:vAlign w:val="center"/>
          </w:tcPr>
          <w:p>
            <w:r/>
            <w:r>
              <w:rPr>
                <w:b w:val="0"/>
                <w:sz w:val="16"/>
              </w:rPr>
              <w:t>POST_WRITE_OFF_RECOVERY</w:t>
            </w:r>
          </w:p>
        </w:tc>
        <w:tc>
          <w:tcPr>
            <w:tcW w:type="dxa" w:w="5112"/>
            <w:vAlign w:val="center"/>
          </w:tcPr>
          <w:p>
            <w:r/>
            <w:r>
              <w:rPr>
                <w:b w:val="0"/>
                <w:sz w:val="16"/>
              </w:rPr>
              <w:t>Recovery received after write-off.</w:t>
            </w:r>
          </w:p>
        </w:tc>
      </w:tr>
      <w:tr>
        <w:tc>
          <w:tcPr>
            <w:tcW w:type="dxa" w:w="5112"/>
            <w:vAlign w:val="center"/>
          </w:tcPr>
          <w:p>
            <w:r/>
            <w:r>
              <w:rPr>
                <w:b w:val="0"/>
                <w:sz w:val="16"/>
              </w:rPr>
              <w:t>COMMISSION_ACCRUAL</w:t>
            </w:r>
          </w:p>
        </w:tc>
        <w:tc>
          <w:tcPr>
            <w:tcW w:type="dxa" w:w="5112"/>
            <w:vAlign w:val="center"/>
          </w:tcPr>
          <w:p>
            <w:r/>
            <w:r>
              <w:rPr>
                <w:b w:val="0"/>
                <w:sz w:val="16"/>
              </w:rPr>
              <w:t>Telco/funder/platform commercial share calculated.</w:t>
            </w:r>
          </w:p>
        </w:tc>
      </w:tr>
      <w:tr>
        <w:tc>
          <w:tcPr>
            <w:tcW w:type="dxa" w:w="5112"/>
            <w:vAlign w:val="center"/>
          </w:tcPr>
          <w:p>
            <w:r/>
            <w:r>
              <w:rPr>
                <w:b w:val="0"/>
                <w:sz w:val="16"/>
              </w:rPr>
              <w:t>SETTLEMENT</w:t>
            </w:r>
          </w:p>
        </w:tc>
        <w:tc>
          <w:tcPr>
            <w:tcW w:type="dxa" w:w="5112"/>
            <w:vAlign w:val="center"/>
          </w:tcPr>
          <w:p>
            <w:r/>
            <w:r>
              <w:rPr>
                <w:b w:val="0"/>
                <w:sz w:val="16"/>
              </w:rPr>
              <w:t>Obligation settled or netted.</w:t>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r/>
            <w:r>
              <w:rPr>
                <w:b/>
                <w:color w:val="FFFFFF"/>
                <w:sz w:val="16"/>
              </w:rPr>
              <w:t>ID</w:t>
            </w:r>
          </w:p>
        </w:tc>
        <w:tc>
          <w:tcPr>
            <w:tcW w:type="dxa" w:w="2045"/>
            <w:vAlign w:val="center"/>
            <w:shd w:fill="17365D"/>
          </w:tcPr>
          <w:p>
            <w:r/>
            <w:r>
              <w:rPr>
                <w:b/>
                <w:color w:val="FFFFFF"/>
                <w:sz w:val="16"/>
              </w:rPr>
              <w:t>Requirement</w:t>
            </w:r>
          </w:p>
        </w:tc>
        <w:tc>
          <w:tcPr>
            <w:tcW w:type="dxa" w:w="2045"/>
            <w:vAlign w:val="center"/>
            <w:shd w:fill="17365D"/>
          </w:tcPr>
          <w:p>
            <w:r/>
            <w:r>
              <w:rPr>
                <w:b/>
                <w:color w:val="FFFFFF"/>
                <w:sz w:val="16"/>
              </w:rPr>
              <w:t>Priority</w:t>
            </w:r>
          </w:p>
        </w:tc>
        <w:tc>
          <w:tcPr>
            <w:tcW w:type="dxa" w:w="2045"/>
            <w:vAlign w:val="center"/>
            <w:shd w:fill="17365D"/>
          </w:tcPr>
          <w:p>
            <w:r/>
            <w:r>
              <w:rPr>
                <w:b/>
                <w:color w:val="FFFFFF"/>
                <w:sz w:val="16"/>
              </w:rPr>
              <w:t>Acceptance Evidence</w:t>
            </w:r>
          </w:p>
        </w:tc>
        <w:tc>
          <w:tcPr>
            <w:tcW w:type="dxa" w:w="2045"/>
            <w:vAlign w:val="center"/>
            <w:shd w:fill="17365D"/>
          </w:tcPr>
          <w:p>
            <w:r/>
            <w:r>
              <w:rPr>
                <w:b/>
                <w:color w:val="FFFFFF"/>
                <w:sz w:val="16"/>
              </w:rPr>
              <w:t>Configurable?</w:t>
            </w:r>
          </w:p>
        </w:tc>
      </w:tr>
      <w:tr>
        <w:tc>
          <w:tcPr>
            <w:tcW w:type="dxa" w:w="2045"/>
            <w:vAlign w:val="center"/>
          </w:tcPr>
          <w:p>
            <w:r/>
            <w:r>
              <w:rPr>
                <w:b w:val="0"/>
                <w:sz w:val="16"/>
              </w:rPr>
              <w:t>LED-001</w:t>
            </w:r>
          </w:p>
        </w:tc>
        <w:tc>
          <w:tcPr>
            <w:tcW w:type="dxa" w:w="2045"/>
            <w:vAlign w:val="center"/>
          </w:tcPr>
          <w:p>
            <w:r/>
            <w:r>
              <w:rPr>
                <w:b w:val="0"/>
                <w:sz w:val="16"/>
              </w:rPr>
              <w:t>Ledger entries shall be append-only and balanced according to configured accounting event templates.</w:t>
            </w:r>
          </w:p>
        </w:tc>
        <w:tc>
          <w:tcPr>
            <w:tcW w:type="dxa" w:w="2045"/>
            <w:vAlign w:val="center"/>
          </w:tcPr>
          <w:p>
            <w:r/>
            <w:r>
              <w:rPr>
                <w:b w:val="0"/>
                <w:sz w:val="16"/>
              </w:rPr>
              <w:t>Must</w:t>
            </w:r>
          </w:p>
        </w:tc>
        <w:tc>
          <w:tcPr>
            <w:tcW w:type="dxa" w:w="2045"/>
            <w:vAlign w:val="center"/>
          </w:tcPr>
          <w:p>
            <w:r/>
            <w:r>
              <w:rPr>
                <w:b w:val="0"/>
                <w:sz w:val="16"/>
              </w:rPr>
              <w:t>Ledger integrity tests.</w:t>
            </w:r>
          </w:p>
        </w:tc>
        <w:tc>
          <w:tcPr>
            <w:tcW w:type="dxa" w:w="2045"/>
            <w:vAlign w:val="center"/>
          </w:tcPr>
          <w:p>
            <w:r/>
            <w:r>
              <w:rPr>
                <w:b w:val="0"/>
                <w:sz w:val="16"/>
              </w:rPr>
              <w:t>Partly</w:t>
            </w:r>
          </w:p>
        </w:tc>
      </w:tr>
      <w:tr>
        <w:tc>
          <w:tcPr>
            <w:tcW w:type="dxa" w:w="2045"/>
            <w:vAlign w:val="center"/>
          </w:tcPr>
          <w:p>
            <w:r/>
            <w:r>
              <w:rPr>
                <w:b w:val="0"/>
                <w:sz w:val="16"/>
              </w:rPr>
              <w:t>LED-002</w:t>
            </w:r>
          </w:p>
        </w:tc>
        <w:tc>
          <w:tcPr>
            <w:tcW w:type="dxa" w:w="2045"/>
            <w:vAlign w:val="center"/>
          </w:tcPr>
          <w:p>
            <w:r/>
            <w:r>
              <w:rPr>
                <w:b w:val="0"/>
                <w:sz w:val="16"/>
              </w:rPr>
              <w:t>No user shall edit or delete posted ledger entries. Corrections shall use reversal and replacement entries.</w:t>
            </w:r>
          </w:p>
        </w:tc>
        <w:tc>
          <w:tcPr>
            <w:tcW w:type="dxa" w:w="2045"/>
            <w:vAlign w:val="center"/>
          </w:tcPr>
          <w:p>
            <w:r/>
            <w:r>
              <w:rPr>
                <w:b w:val="0"/>
                <w:sz w:val="16"/>
              </w:rPr>
              <w:t>Must</w:t>
            </w:r>
          </w:p>
        </w:tc>
        <w:tc>
          <w:tcPr>
            <w:tcW w:type="dxa" w:w="2045"/>
            <w:vAlign w:val="center"/>
          </w:tcPr>
          <w:p>
            <w:r/>
            <w:r>
              <w:rPr>
                <w:b w:val="0"/>
                <w:sz w:val="16"/>
              </w:rPr>
              <w:t>Permission and audit test.</w:t>
            </w:r>
          </w:p>
        </w:tc>
        <w:tc>
          <w:tcPr>
            <w:tcW w:type="dxa" w:w="2045"/>
            <w:vAlign w:val="center"/>
          </w:tcPr>
          <w:p>
            <w:r/>
            <w:r>
              <w:rPr>
                <w:b w:val="0"/>
                <w:sz w:val="16"/>
              </w:rPr>
              <w:t>No</w:t>
            </w:r>
          </w:p>
        </w:tc>
      </w:tr>
      <w:tr>
        <w:tc>
          <w:tcPr>
            <w:tcW w:type="dxa" w:w="2045"/>
            <w:vAlign w:val="center"/>
          </w:tcPr>
          <w:p>
            <w:r/>
            <w:r>
              <w:rPr>
                <w:b w:val="0"/>
                <w:sz w:val="16"/>
              </w:rPr>
              <w:t>LED-003</w:t>
            </w:r>
          </w:p>
        </w:tc>
        <w:tc>
          <w:tcPr>
            <w:tcW w:type="dxa" w:w="2045"/>
            <w:vAlign w:val="center"/>
          </w:tcPr>
          <w:p>
            <w:r/>
            <w:r>
              <w:rPr>
                <w:b w:val="0"/>
                <w:sz w:val="16"/>
              </w:rPr>
              <w:t>Every entry shall contain telco_id, advance_id, event_id, currency, amount, event time, posting time and source reference.</w:t>
            </w:r>
          </w:p>
        </w:tc>
        <w:tc>
          <w:tcPr>
            <w:tcW w:type="dxa" w:w="2045"/>
            <w:vAlign w:val="center"/>
          </w:tcPr>
          <w:p>
            <w:r/>
            <w:r>
              <w:rPr>
                <w:b w:val="0"/>
                <w:sz w:val="16"/>
              </w:rPr>
              <w:t>Must</w:t>
            </w:r>
          </w:p>
        </w:tc>
        <w:tc>
          <w:tcPr>
            <w:tcW w:type="dxa" w:w="2045"/>
            <w:vAlign w:val="center"/>
          </w:tcPr>
          <w:p>
            <w:r/>
            <w:r>
              <w:rPr>
                <w:b w:val="0"/>
                <w:sz w:val="16"/>
              </w:rPr>
              <w:t>Schema validation.</w:t>
            </w:r>
          </w:p>
        </w:tc>
        <w:tc>
          <w:tcPr>
            <w:tcW w:type="dxa" w:w="2045"/>
            <w:vAlign w:val="center"/>
          </w:tcPr>
          <w:p>
            <w:r/>
            <w:r>
              <w:rPr>
                <w:b w:val="0"/>
                <w:sz w:val="16"/>
              </w:rPr>
              <w:t>No</w:t>
            </w:r>
          </w:p>
        </w:tc>
      </w:tr>
      <w:tr>
        <w:tc>
          <w:tcPr>
            <w:tcW w:type="dxa" w:w="2045"/>
            <w:vAlign w:val="center"/>
          </w:tcPr>
          <w:p>
            <w:r/>
            <w:r>
              <w:rPr>
                <w:b w:val="0"/>
                <w:sz w:val="16"/>
              </w:rPr>
              <w:t>LED-004</w:t>
            </w:r>
          </w:p>
        </w:tc>
        <w:tc>
          <w:tcPr>
            <w:tcW w:type="dxa" w:w="2045"/>
            <w:vAlign w:val="center"/>
          </w:tcPr>
          <w:p>
            <w:r/>
            <w:r>
              <w:rPr>
                <w:b w:val="0"/>
                <w:sz w:val="16"/>
              </w:rPr>
              <w:t>Exposure shall be available by subscriber, telco, product, funder, vintage and portfolio.</w:t>
            </w:r>
          </w:p>
        </w:tc>
        <w:tc>
          <w:tcPr>
            <w:tcW w:type="dxa" w:w="2045"/>
            <w:vAlign w:val="center"/>
          </w:tcPr>
          <w:p>
            <w:r/>
            <w:r>
              <w:rPr>
                <w:b w:val="0"/>
                <w:sz w:val="16"/>
              </w:rPr>
              <w:t>Must</w:t>
            </w:r>
          </w:p>
        </w:tc>
        <w:tc>
          <w:tcPr>
            <w:tcW w:type="dxa" w:w="2045"/>
            <w:vAlign w:val="center"/>
          </w:tcPr>
          <w:p>
            <w:r/>
            <w:r>
              <w:rPr>
                <w:b w:val="0"/>
                <w:sz w:val="16"/>
              </w:rPr>
              <w:t>Reporting test.</w:t>
            </w:r>
          </w:p>
        </w:tc>
        <w:tc>
          <w:tcPr>
            <w:tcW w:type="dxa" w:w="2045"/>
            <w:vAlign w:val="center"/>
          </w:tcPr>
          <w:p>
            <w:r/>
            <w:r>
              <w:rPr>
                <w:b w:val="0"/>
                <w:sz w:val="16"/>
              </w:rPr>
              <w:t>No</w:t>
            </w:r>
          </w:p>
        </w:tc>
      </w:tr>
      <w:tr>
        <w:tc>
          <w:tcPr>
            <w:tcW w:type="dxa" w:w="2045"/>
            <w:vAlign w:val="center"/>
          </w:tcPr>
          <w:p>
            <w:r/>
            <w:r>
              <w:rPr>
                <w:b w:val="0"/>
                <w:sz w:val="16"/>
              </w:rPr>
              <w:t>LED-005</w:t>
            </w:r>
          </w:p>
        </w:tc>
        <w:tc>
          <w:tcPr>
            <w:tcW w:type="dxa" w:w="2045"/>
            <w:vAlign w:val="center"/>
          </w:tcPr>
          <w:p>
            <w:r/>
            <w:r>
              <w:rPr>
                <w:b w:val="0"/>
                <w:sz w:val="16"/>
              </w:rPr>
              <w:t>The platform shall prevent negative exposure or over-repayment except through explicit adjustment workflows.</w:t>
            </w:r>
          </w:p>
        </w:tc>
        <w:tc>
          <w:tcPr>
            <w:tcW w:type="dxa" w:w="2045"/>
            <w:vAlign w:val="center"/>
          </w:tcPr>
          <w:p>
            <w:r/>
            <w:r>
              <w:rPr>
                <w:b w:val="0"/>
                <w:sz w:val="16"/>
              </w:rPr>
              <w:t>Must</w:t>
            </w:r>
          </w:p>
        </w:tc>
        <w:tc>
          <w:tcPr>
            <w:tcW w:type="dxa" w:w="2045"/>
            <w:vAlign w:val="center"/>
          </w:tcPr>
          <w:p>
            <w:r/>
            <w:r>
              <w:rPr>
                <w:b w:val="0"/>
                <w:sz w:val="16"/>
              </w:rPr>
              <w:t>Boundary tests.</w:t>
            </w:r>
          </w:p>
        </w:tc>
        <w:tc>
          <w:tcPr>
            <w:tcW w:type="dxa" w:w="2045"/>
            <w:vAlign w:val="center"/>
          </w:tcPr>
          <w:p>
            <w:r/>
            <w:r>
              <w:rPr>
                <w:b w:val="0"/>
                <w:sz w:val="16"/>
              </w:rPr>
              <w:t>No</w:t>
            </w:r>
          </w:p>
        </w:tc>
      </w:tr>
    </w:tbl>
    <w:p/>
    <w:p>
      <w:pPr>
        <w:pStyle w:val="Heading1"/>
        <w:pageBreakBefore/>
      </w:pPr>
      <w:r>
        <w:t>14. Recharge Recovery and Repayment Allocation</w:t>
      </w:r>
    </w:p>
    <w:p>
      <w:r>
        <w:t>The telco may intercept or deduct value from recharges and report the recovery, or the platform may calculate a requested deduction that the telco executes. The integration mode shall be configured per telco/product. In both modes, the platform must receive definitive recovery events and maintain the authoritative allocation to advances.</w:t>
      </w:r>
    </w:p>
    <w:p>
      <w:pPr>
        <w:pStyle w:val="ListBullet"/>
      </w:pPr>
      <w:r>
        <w:t>Support full, partial and multi-event repayment.</w:t>
      </w:r>
    </w:p>
    <w:p>
      <w:pPr>
        <w:pStyle w:val="ListBullet"/>
      </w:pPr>
      <w:r>
        <w:t>Support configurable allocation order: oldest first, earliest due, product priority, pro-rata or other approved method.</w:t>
      </w:r>
    </w:p>
    <w:p>
      <w:pPr>
        <w:pStyle w:val="ListBullet"/>
      </w:pPr>
      <w:r>
        <w:t>Support protected recharge portions or minimum retained balances where required.</w:t>
      </w:r>
    </w:p>
    <w:p>
      <w:pPr>
        <w:pStyle w:val="ListBullet"/>
      </w:pPr>
      <w:r>
        <w:t>Support repayment events from voucher, bank top-up, transfer or other channels as configured.</w:t>
      </w:r>
    </w:p>
    <w:p>
      <w:pPr>
        <w:pStyle w:val="ListBullet"/>
      </w:pPr>
      <w:r>
        <w:t>Support recovery reversals caused by top-up reversal, chargeback or telco correction.</w:t>
      </w:r>
    </w:p>
    <w:p>
      <w:pPr>
        <w:pStyle w:val="ListBullet"/>
      </w:pPr>
      <w:r>
        <w:t>Prevent double allocation of replayed events.</w:t>
      </w:r>
    </w:p>
    <w:p>
      <w:pPr>
        <w:pStyle w:val="ListBullet"/>
      </w:pPr>
      <w:r>
        <w:t>Reopen or adjust advances after a repayment reversal.</w:t>
      </w:r>
    </w:p>
    <w:p>
      <w:pPr>
        <w:pStyle w:val="ListBullet"/>
      </w:pPr>
      <w:r>
        <w:t>Apply repayment first to components according to configured waterfall, e.g., principal, fee, tax, penalty where legally permitted.</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r/>
            <w:r>
              <w:rPr>
                <w:b/>
                <w:color w:val="FFFFFF"/>
                <w:sz w:val="16"/>
              </w:rPr>
              <w:t>ID</w:t>
            </w:r>
          </w:p>
        </w:tc>
        <w:tc>
          <w:tcPr>
            <w:tcW w:type="dxa" w:w="2045"/>
            <w:vAlign w:val="center"/>
            <w:shd w:fill="17365D"/>
          </w:tcPr>
          <w:p>
            <w:r/>
            <w:r>
              <w:rPr>
                <w:b/>
                <w:color w:val="FFFFFF"/>
                <w:sz w:val="16"/>
              </w:rPr>
              <w:t>Requirement</w:t>
            </w:r>
          </w:p>
        </w:tc>
        <w:tc>
          <w:tcPr>
            <w:tcW w:type="dxa" w:w="2045"/>
            <w:vAlign w:val="center"/>
            <w:shd w:fill="17365D"/>
          </w:tcPr>
          <w:p>
            <w:r/>
            <w:r>
              <w:rPr>
                <w:b/>
                <w:color w:val="FFFFFF"/>
                <w:sz w:val="16"/>
              </w:rPr>
              <w:t>Priority</w:t>
            </w:r>
          </w:p>
        </w:tc>
        <w:tc>
          <w:tcPr>
            <w:tcW w:type="dxa" w:w="2045"/>
            <w:vAlign w:val="center"/>
            <w:shd w:fill="17365D"/>
          </w:tcPr>
          <w:p>
            <w:r/>
            <w:r>
              <w:rPr>
                <w:b/>
                <w:color w:val="FFFFFF"/>
                <w:sz w:val="16"/>
              </w:rPr>
              <w:t>Acceptance Evidence</w:t>
            </w:r>
          </w:p>
        </w:tc>
        <w:tc>
          <w:tcPr>
            <w:tcW w:type="dxa" w:w="2045"/>
            <w:vAlign w:val="center"/>
            <w:shd w:fill="17365D"/>
          </w:tcPr>
          <w:p>
            <w:r/>
            <w:r>
              <w:rPr>
                <w:b/>
                <w:color w:val="FFFFFF"/>
                <w:sz w:val="16"/>
              </w:rPr>
              <w:t>Configurable?</w:t>
            </w:r>
          </w:p>
        </w:tc>
      </w:tr>
      <w:tr>
        <w:tc>
          <w:tcPr>
            <w:tcW w:type="dxa" w:w="2045"/>
            <w:vAlign w:val="center"/>
          </w:tcPr>
          <w:p>
            <w:r/>
            <w:r>
              <w:rPr>
                <w:b w:val="0"/>
                <w:sz w:val="16"/>
              </w:rPr>
              <w:t>REP-001</w:t>
            </w:r>
          </w:p>
        </w:tc>
        <w:tc>
          <w:tcPr>
            <w:tcW w:type="dxa" w:w="2045"/>
            <w:vAlign w:val="center"/>
          </w:tcPr>
          <w:p>
            <w:r/>
            <w:r>
              <w:rPr>
                <w:b w:val="0"/>
                <w:sz w:val="16"/>
              </w:rPr>
              <w:t>Every recovery event shall be idempotently matched and allocated once.</w:t>
            </w:r>
          </w:p>
        </w:tc>
        <w:tc>
          <w:tcPr>
            <w:tcW w:type="dxa" w:w="2045"/>
            <w:vAlign w:val="center"/>
          </w:tcPr>
          <w:p>
            <w:r/>
            <w:r>
              <w:rPr>
                <w:b w:val="0"/>
                <w:sz w:val="16"/>
              </w:rPr>
              <w:t>Must</w:t>
            </w:r>
          </w:p>
        </w:tc>
        <w:tc>
          <w:tcPr>
            <w:tcW w:type="dxa" w:w="2045"/>
            <w:vAlign w:val="center"/>
          </w:tcPr>
          <w:p>
            <w:r/>
            <w:r>
              <w:rPr>
                <w:b w:val="0"/>
                <w:sz w:val="16"/>
              </w:rPr>
              <w:t>Replay test.</w:t>
            </w:r>
          </w:p>
        </w:tc>
        <w:tc>
          <w:tcPr>
            <w:tcW w:type="dxa" w:w="2045"/>
            <w:vAlign w:val="center"/>
          </w:tcPr>
          <w:p>
            <w:r/>
            <w:r>
              <w:rPr>
                <w:b w:val="0"/>
                <w:sz w:val="16"/>
              </w:rPr>
              <w:t>No</w:t>
            </w:r>
          </w:p>
        </w:tc>
      </w:tr>
      <w:tr>
        <w:tc>
          <w:tcPr>
            <w:tcW w:type="dxa" w:w="2045"/>
            <w:vAlign w:val="center"/>
          </w:tcPr>
          <w:p>
            <w:r/>
            <w:r>
              <w:rPr>
                <w:b w:val="0"/>
                <w:sz w:val="16"/>
              </w:rPr>
              <w:t>REP-002</w:t>
            </w:r>
          </w:p>
        </w:tc>
        <w:tc>
          <w:tcPr>
            <w:tcW w:type="dxa" w:w="2045"/>
            <w:vAlign w:val="center"/>
          </w:tcPr>
          <w:p>
            <w:r/>
            <w:r>
              <w:rPr>
                <w:b w:val="0"/>
                <w:sz w:val="16"/>
              </w:rPr>
              <w:t>Partial recovery shall update outstanding exposure immediately.</w:t>
            </w:r>
          </w:p>
        </w:tc>
        <w:tc>
          <w:tcPr>
            <w:tcW w:type="dxa" w:w="2045"/>
            <w:vAlign w:val="center"/>
          </w:tcPr>
          <w:p>
            <w:r/>
            <w:r>
              <w:rPr>
                <w:b w:val="0"/>
                <w:sz w:val="16"/>
              </w:rPr>
              <w:t>Must</w:t>
            </w:r>
          </w:p>
        </w:tc>
        <w:tc>
          <w:tcPr>
            <w:tcW w:type="dxa" w:w="2045"/>
            <w:vAlign w:val="center"/>
          </w:tcPr>
          <w:p>
            <w:r/>
            <w:r>
              <w:rPr>
                <w:b w:val="0"/>
                <w:sz w:val="16"/>
              </w:rPr>
              <w:t>Partial repayment test.</w:t>
            </w:r>
          </w:p>
        </w:tc>
        <w:tc>
          <w:tcPr>
            <w:tcW w:type="dxa" w:w="2045"/>
            <w:vAlign w:val="center"/>
          </w:tcPr>
          <w:p>
            <w:r/>
            <w:r>
              <w:rPr>
                <w:b w:val="0"/>
                <w:sz w:val="16"/>
              </w:rPr>
              <w:t>No</w:t>
            </w:r>
          </w:p>
        </w:tc>
      </w:tr>
      <w:tr>
        <w:tc>
          <w:tcPr>
            <w:tcW w:type="dxa" w:w="2045"/>
            <w:vAlign w:val="center"/>
          </w:tcPr>
          <w:p>
            <w:r/>
            <w:r>
              <w:rPr>
                <w:b w:val="0"/>
                <w:sz w:val="16"/>
              </w:rPr>
              <w:t>REP-003</w:t>
            </w:r>
          </w:p>
        </w:tc>
        <w:tc>
          <w:tcPr>
            <w:tcW w:type="dxa" w:w="2045"/>
            <w:vAlign w:val="center"/>
          </w:tcPr>
          <w:p>
            <w:r/>
            <w:r>
              <w:rPr>
                <w:b w:val="0"/>
                <w:sz w:val="16"/>
              </w:rPr>
              <w:t>A reversal shall restore the appropriate outstanding amount and retain full history.</w:t>
            </w:r>
          </w:p>
        </w:tc>
        <w:tc>
          <w:tcPr>
            <w:tcW w:type="dxa" w:w="2045"/>
            <w:vAlign w:val="center"/>
          </w:tcPr>
          <w:p>
            <w:r/>
            <w:r>
              <w:rPr>
                <w:b w:val="0"/>
                <w:sz w:val="16"/>
              </w:rPr>
              <w:t>Must</w:t>
            </w:r>
          </w:p>
        </w:tc>
        <w:tc>
          <w:tcPr>
            <w:tcW w:type="dxa" w:w="2045"/>
            <w:vAlign w:val="center"/>
          </w:tcPr>
          <w:p>
            <w:r/>
            <w:r>
              <w:rPr>
                <w:b w:val="0"/>
                <w:sz w:val="16"/>
              </w:rPr>
              <w:t>Reversal test.</w:t>
            </w:r>
          </w:p>
        </w:tc>
        <w:tc>
          <w:tcPr>
            <w:tcW w:type="dxa" w:w="2045"/>
            <w:vAlign w:val="center"/>
          </w:tcPr>
          <w:p>
            <w:r/>
            <w:r>
              <w:rPr>
                <w:b w:val="0"/>
                <w:sz w:val="16"/>
              </w:rPr>
              <w:t>No</w:t>
            </w:r>
          </w:p>
        </w:tc>
      </w:tr>
      <w:tr>
        <w:tc>
          <w:tcPr>
            <w:tcW w:type="dxa" w:w="2045"/>
            <w:vAlign w:val="center"/>
          </w:tcPr>
          <w:p>
            <w:r/>
            <w:r>
              <w:rPr>
                <w:b w:val="0"/>
                <w:sz w:val="16"/>
              </w:rPr>
              <w:t>REP-004</w:t>
            </w:r>
          </w:p>
        </w:tc>
        <w:tc>
          <w:tcPr>
            <w:tcW w:type="dxa" w:w="2045"/>
            <w:vAlign w:val="center"/>
          </w:tcPr>
          <w:p>
            <w:r/>
            <w:r>
              <w:rPr>
                <w:b w:val="0"/>
                <w:sz w:val="16"/>
              </w:rPr>
              <w:t>Unmatched recovery events shall enter an exception queue and never be discarded.</w:t>
            </w:r>
          </w:p>
        </w:tc>
        <w:tc>
          <w:tcPr>
            <w:tcW w:type="dxa" w:w="2045"/>
            <w:vAlign w:val="center"/>
          </w:tcPr>
          <w:p>
            <w:r/>
            <w:r>
              <w:rPr>
                <w:b w:val="0"/>
                <w:sz w:val="16"/>
              </w:rPr>
              <w:t>Must</w:t>
            </w:r>
          </w:p>
        </w:tc>
        <w:tc>
          <w:tcPr>
            <w:tcW w:type="dxa" w:w="2045"/>
            <w:vAlign w:val="center"/>
          </w:tcPr>
          <w:p>
            <w:r/>
            <w:r>
              <w:rPr>
                <w:b w:val="0"/>
                <w:sz w:val="16"/>
              </w:rPr>
              <w:t>Unknown subscriber/advance test.</w:t>
            </w:r>
          </w:p>
        </w:tc>
        <w:tc>
          <w:tcPr>
            <w:tcW w:type="dxa" w:w="2045"/>
            <w:vAlign w:val="center"/>
          </w:tcPr>
          <w:p>
            <w:r/>
            <w:r>
              <w:rPr>
                <w:b w:val="0"/>
                <w:sz w:val="16"/>
              </w:rPr>
              <w:t>No</w:t>
            </w:r>
          </w:p>
        </w:tc>
      </w:tr>
      <w:tr>
        <w:tc>
          <w:tcPr>
            <w:tcW w:type="dxa" w:w="2045"/>
            <w:vAlign w:val="center"/>
          </w:tcPr>
          <w:p>
            <w:r/>
            <w:r>
              <w:rPr>
                <w:b w:val="0"/>
                <w:sz w:val="16"/>
              </w:rPr>
              <w:t>REP-005</w:t>
            </w:r>
          </w:p>
        </w:tc>
        <w:tc>
          <w:tcPr>
            <w:tcW w:type="dxa" w:w="2045"/>
            <w:vAlign w:val="center"/>
          </w:tcPr>
          <w:p>
            <w:r/>
            <w:r>
              <w:rPr>
                <w:b w:val="0"/>
                <w:sz w:val="16"/>
              </w:rPr>
              <w:t>Allocation rules shall be configurable by telco/product with version control.</w:t>
            </w:r>
          </w:p>
        </w:tc>
        <w:tc>
          <w:tcPr>
            <w:tcW w:type="dxa" w:w="2045"/>
            <w:vAlign w:val="center"/>
          </w:tcPr>
          <w:p>
            <w:r/>
            <w:r>
              <w:rPr>
                <w:b w:val="0"/>
                <w:sz w:val="16"/>
              </w:rPr>
              <w:t>Must</w:t>
            </w:r>
          </w:p>
        </w:tc>
        <w:tc>
          <w:tcPr>
            <w:tcW w:type="dxa" w:w="2045"/>
            <w:vAlign w:val="center"/>
          </w:tcPr>
          <w:p>
            <w:r/>
            <w:r>
              <w:rPr>
                <w:b w:val="0"/>
                <w:sz w:val="16"/>
              </w:rPr>
              <w:t>Policy switch test.</w:t>
            </w:r>
          </w:p>
        </w:tc>
        <w:tc>
          <w:tcPr>
            <w:tcW w:type="dxa" w:w="2045"/>
            <w:vAlign w:val="center"/>
          </w:tcPr>
          <w:p>
            <w:r/>
            <w:r>
              <w:rPr>
                <w:b w:val="0"/>
                <w:sz w:val="16"/>
              </w:rPr>
              <w:t>Yes</w:t>
            </w:r>
          </w:p>
        </w:tc>
      </w:tr>
    </w:tbl>
    <w:p/>
    <w:p>
      <w:pPr>
        <w:pStyle w:val="Heading1"/>
        <w:pageBreakBefore/>
      </w:pPr>
      <w:r>
        <w:t>15. Reconciliation, Settlement and Commercial Accounting</w:t>
      </w:r>
    </w:p>
    <w:p>
      <w:pPr>
        <w:pStyle w:val="Heading2"/>
      </w:pPr>
      <w:r>
        <w:t>15.1 Reconciliation Layers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Layer</w:t>
            </w:r>
          </w:p>
        </w:tc>
        <w:tc>
          <w:tcPr>
            <w:tcW w:type="dxa" w:w="5112"/>
            <w:vAlign w:val="center"/>
            <w:shd w:fill="1F4E78"/>
          </w:tcPr>
          <w:p>
            <w:r/>
            <w:r>
              <w:rPr>
                <w:b/>
                <w:color w:val="FFFFFF"/>
                <w:sz w:val="16"/>
              </w:rPr>
              <w:t>Comparison</w:t>
            </w:r>
          </w:p>
        </w:tc>
      </w:tr>
      <w:tr>
        <w:tc>
          <w:tcPr>
            <w:tcW w:type="dxa" w:w="5112"/>
            <w:vAlign w:val="center"/>
          </w:tcPr>
          <w:p>
            <w:r/>
            <w:r>
              <w:rPr>
                <w:b w:val="0"/>
                <w:sz w:val="16"/>
              </w:rPr>
              <w:t>Request/decision</w:t>
            </w:r>
          </w:p>
        </w:tc>
        <w:tc>
          <w:tcPr>
            <w:tcW w:type="dxa" w:w="5112"/>
            <w:vAlign w:val="center"/>
          </w:tcPr>
          <w:p>
            <w:r/>
            <w:r>
              <w:rPr>
                <w:b w:val="0"/>
                <w:sz w:val="16"/>
              </w:rPr>
              <w:t>Telco requests versus platform responses.</w:t>
            </w:r>
          </w:p>
        </w:tc>
      </w:tr>
      <w:tr>
        <w:tc>
          <w:tcPr>
            <w:tcW w:type="dxa" w:w="5112"/>
            <w:vAlign w:val="center"/>
          </w:tcPr>
          <w:p>
            <w:r/>
            <w:r>
              <w:rPr>
                <w:b w:val="0"/>
                <w:sz w:val="16"/>
              </w:rPr>
              <w:t>Fulfilment</w:t>
            </w:r>
          </w:p>
        </w:tc>
        <w:tc>
          <w:tcPr>
            <w:tcW w:type="dxa" w:w="5112"/>
            <w:vAlign w:val="center"/>
          </w:tcPr>
          <w:p>
            <w:r/>
            <w:r>
              <w:rPr>
                <w:b w:val="0"/>
                <w:sz w:val="16"/>
              </w:rPr>
              <w:t>Platform-approved advances versus telco credits.</w:t>
            </w:r>
          </w:p>
        </w:tc>
      </w:tr>
      <w:tr>
        <w:tc>
          <w:tcPr>
            <w:tcW w:type="dxa" w:w="5112"/>
            <w:vAlign w:val="center"/>
          </w:tcPr>
          <w:p>
            <w:r/>
            <w:r>
              <w:rPr>
                <w:b w:val="0"/>
                <w:sz w:val="16"/>
              </w:rPr>
              <w:t>Recovery</w:t>
            </w:r>
          </w:p>
        </w:tc>
        <w:tc>
          <w:tcPr>
            <w:tcW w:type="dxa" w:w="5112"/>
            <w:vAlign w:val="center"/>
          </w:tcPr>
          <w:p>
            <w:r/>
            <w:r>
              <w:rPr>
                <w:b w:val="0"/>
                <w:sz w:val="16"/>
              </w:rPr>
              <w:t>Telco deductions/recharge recoveries versus platform repayments.</w:t>
            </w:r>
          </w:p>
        </w:tc>
      </w:tr>
      <w:tr>
        <w:tc>
          <w:tcPr>
            <w:tcW w:type="dxa" w:w="5112"/>
            <w:vAlign w:val="center"/>
          </w:tcPr>
          <w:p>
            <w:r/>
            <w:r>
              <w:rPr>
                <w:b w:val="0"/>
                <w:sz w:val="16"/>
              </w:rPr>
              <w:t>Ledger</w:t>
            </w:r>
          </w:p>
        </w:tc>
        <w:tc>
          <w:tcPr>
            <w:tcW w:type="dxa" w:w="5112"/>
            <w:vAlign w:val="center"/>
          </w:tcPr>
          <w:p>
            <w:r/>
            <w:r>
              <w:rPr>
                <w:b w:val="0"/>
                <w:sz w:val="16"/>
              </w:rPr>
              <w:t>Operational records versus sub-ledger totals.</w:t>
            </w:r>
          </w:p>
        </w:tc>
      </w:tr>
      <w:tr>
        <w:tc>
          <w:tcPr>
            <w:tcW w:type="dxa" w:w="5112"/>
            <w:vAlign w:val="center"/>
          </w:tcPr>
          <w:p>
            <w:r/>
            <w:r>
              <w:rPr>
                <w:b w:val="0"/>
                <w:sz w:val="16"/>
              </w:rPr>
              <w:t>Commercial</w:t>
            </w:r>
          </w:p>
        </w:tc>
        <w:tc>
          <w:tcPr>
            <w:tcW w:type="dxa" w:w="5112"/>
            <w:vAlign w:val="center"/>
          </w:tcPr>
          <w:p>
            <w:r/>
            <w:r>
              <w:rPr>
                <w:b w:val="0"/>
                <w:sz w:val="16"/>
              </w:rPr>
              <w:t>Fees and revenue shares versus contract terms.</w:t>
            </w:r>
          </w:p>
        </w:tc>
      </w:tr>
      <w:tr>
        <w:tc>
          <w:tcPr>
            <w:tcW w:type="dxa" w:w="5112"/>
            <w:vAlign w:val="center"/>
          </w:tcPr>
          <w:p>
            <w:r/>
            <w:r>
              <w:rPr>
                <w:b w:val="0"/>
                <w:sz w:val="16"/>
              </w:rPr>
              <w:t>Settlement</w:t>
            </w:r>
          </w:p>
        </w:tc>
        <w:tc>
          <w:tcPr>
            <w:tcW w:type="dxa" w:w="5112"/>
            <w:vAlign w:val="center"/>
          </w:tcPr>
          <w:p>
            <w:r/>
            <w:r>
              <w:rPr>
                <w:b w:val="0"/>
                <w:sz w:val="16"/>
              </w:rPr>
              <w:t>Calculated obligations versus statements and cash received/paid.</w:t>
            </w:r>
          </w:p>
        </w:tc>
      </w:tr>
      <w:tr>
        <w:tc>
          <w:tcPr>
            <w:tcW w:type="dxa" w:w="5112"/>
            <w:vAlign w:val="center"/>
          </w:tcPr>
          <w:p>
            <w:r/>
            <w:r>
              <w:rPr>
                <w:b w:val="0"/>
                <w:sz w:val="16"/>
              </w:rPr>
              <w:t>Finance</w:t>
            </w:r>
          </w:p>
        </w:tc>
        <w:tc>
          <w:tcPr>
            <w:tcW w:type="dxa" w:w="5112"/>
            <w:vAlign w:val="center"/>
          </w:tcPr>
          <w:p>
            <w:r/>
            <w:r>
              <w:rPr>
                <w:b w:val="0"/>
                <w:sz w:val="16"/>
              </w:rPr>
              <w:t>Platform settlement exports versus finance system postings.</w:t>
            </w:r>
          </w:p>
        </w:tc>
      </w:tr>
    </w:tbl>
    <w:p/>
    <w:p>
      <w:pPr>
        <w:pStyle w:val="Heading2"/>
      </w:pPr>
      <w:r>
        <w:t>15.2 Settlement</w:t>
      </w:r>
    </w:p>
    <w:p>
      <w:pPr>
        <w:pStyle w:val="ListBullet"/>
      </w:pPr>
      <w:r>
        <w:t>Separate settlement by telco, product, funder, currency and contractual period.</w:t>
      </w:r>
    </w:p>
    <w:p>
      <w:pPr>
        <w:pStyle w:val="ListBullet"/>
      </w:pPr>
      <w:r>
        <w:t>Support gross, net and hybrid settlement models.</w:t>
      </w:r>
    </w:p>
    <w:p>
      <w:pPr>
        <w:pStyle w:val="ListBullet"/>
      </w:pPr>
      <w:r>
        <w:t>Support service fee, telco share, platform share, funder return, tax and other deductions.</w:t>
      </w:r>
    </w:p>
    <w:p>
      <w:pPr>
        <w:pStyle w:val="ListBullet"/>
      </w:pPr>
      <w:r>
        <w:t>Generate statements, supporting transaction files and signed control totals.</w:t>
      </w:r>
    </w:p>
    <w:p>
      <w:pPr>
        <w:pStyle w:val="ListBullet"/>
      </w:pPr>
      <w:r>
        <w:t>Track payable/receivable ageing, disputes and settlement adjustments.</w:t>
      </w:r>
    </w:p>
    <w:p>
      <w:pPr>
        <w:pStyle w:val="ListBullet"/>
      </w:pPr>
      <w:r>
        <w:t>Prevent configuration changes from retroactively changing closed settlement periods unless a controlled restatement is approved.</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r/>
            <w:r>
              <w:rPr>
                <w:b/>
                <w:color w:val="FFFFFF"/>
                <w:sz w:val="16"/>
              </w:rPr>
              <w:t>ID</w:t>
            </w:r>
          </w:p>
        </w:tc>
        <w:tc>
          <w:tcPr>
            <w:tcW w:type="dxa" w:w="2045"/>
            <w:vAlign w:val="center"/>
            <w:shd w:fill="17365D"/>
          </w:tcPr>
          <w:p>
            <w:r/>
            <w:r>
              <w:rPr>
                <w:b/>
                <w:color w:val="FFFFFF"/>
                <w:sz w:val="16"/>
              </w:rPr>
              <w:t>Requirement</w:t>
            </w:r>
          </w:p>
        </w:tc>
        <w:tc>
          <w:tcPr>
            <w:tcW w:type="dxa" w:w="2045"/>
            <w:vAlign w:val="center"/>
            <w:shd w:fill="17365D"/>
          </w:tcPr>
          <w:p>
            <w:r/>
            <w:r>
              <w:rPr>
                <w:b/>
                <w:color w:val="FFFFFF"/>
                <w:sz w:val="16"/>
              </w:rPr>
              <w:t>Priority</w:t>
            </w:r>
          </w:p>
        </w:tc>
        <w:tc>
          <w:tcPr>
            <w:tcW w:type="dxa" w:w="2045"/>
            <w:vAlign w:val="center"/>
            <w:shd w:fill="17365D"/>
          </w:tcPr>
          <w:p>
            <w:r/>
            <w:r>
              <w:rPr>
                <w:b/>
                <w:color w:val="FFFFFF"/>
                <w:sz w:val="16"/>
              </w:rPr>
              <w:t>Acceptance Evidence</w:t>
            </w:r>
          </w:p>
        </w:tc>
        <w:tc>
          <w:tcPr>
            <w:tcW w:type="dxa" w:w="2045"/>
            <w:vAlign w:val="center"/>
            <w:shd w:fill="17365D"/>
          </w:tcPr>
          <w:p>
            <w:r/>
            <w:r>
              <w:rPr>
                <w:b/>
                <w:color w:val="FFFFFF"/>
                <w:sz w:val="16"/>
              </w:rPr>
              <w:t>Configurable?</w:t>
            </w:r>
          </w:p>
        </w:tc>
      </w:tr>
      <w:tr>
        <w:tc>
          <w:tcPr>
            <w:tcW w:type="dxa" w:w="2045"/>
            <w:vAlign w:val="center"/>
          </w:tcPr>
          <w:p>
            <w:r/>
            <w:r>
              <w:rPr>
                <w:b w:val="0"/>
                <w:sz w:val="16"/>
              </w:rPr>
              <w:t>REC-001</w:t>
            </w:r>
          </w:p>
        </w:tc>
        <w:tc>
          <w:tcPr>
            <w:tcW w:type="dxa" w:w="2045"/>
            <w:vAlign w:val="center"/>
          </w:tcPr>
          <w:p>
            <w:r/>
            <w:r>
              <w:rPr>
                <w:b w:val="0"/>
                <w:sz w:val="16"/>
              </w:rPr>
              <w:t>Matching shall use stable external references plus controlled secondary matching rules.</w:t>
            </w:r>
          </w:p>
        </w:tc>
        <w:tc>
          <w:tcPr>
            <w:tcW w:type="dxa" w:w="2045"/>
            <w:vAlign w:val="center"/>
          </w:tcPr>
          <w:p>
            <w:r/>
            <w:r>
              <w:rPr>
                <w:b w:val="0"/>
                <w:sz w:val="16"/>
              </w:rPr>
              <w:t>Must</w:t>
            </w:r>
          </w:p>
        </w:tc>
        <w:tc>
          <w:tcPr>
            <w:tcW w:type="dxa" w:w="2045"/>
            <w:vAlign w:val="center"/>
          </w:tcPr>
          <w:p>
            <w:r/>
            <w:r>
              <w:rPr>
                <w:b w:val="0"/>
                <w:sz w:val="16"/>
              </w:rPr>
              <w:t>Reconciliation test pack.</w:t>
            </w:r>
          </w:p>
        </w:tc>
        <w:tc>
          <w:tcPr>
            <w:tcW w:type="dxa" w:w="2045"/>
            <w:vAlign w:val="center"/>
          </w:tcPr>
          <w:p>
            <w:r/>
            <w:r>
              <w:rPr>
                <w:b w:val="0"/>
                <w:sz w:val="16"/>
              </w:rPr>
              <w:t>Yes</w:t>
            </w:r>
          </w:p>
        </w:tc>
      </w:tr>
      <w:tr>
        <w:tc>
          <w:tcPr>
            <w:tcW w:type="dxa" w:w="2045"/>
            <w:vAlign w:val="center"/>
          </w:tcPr>
          <w:p>
            <w:r/>
            <w:r>
              <w:rPr>
                <w:b w:val="0"/>
                <w:sz w:val="16"/>
              </w:rPr>
              <w:t>REC-002</w:t>
            </w:r>
          </w:p>
        </w:tc>
        <w:tc>
          <w:tcPr>
            <w:tcW w:type="dxa" w:w="2045"/>
            <w:vAlign w:val="center"/>
          </w:tcPr>
          <w:p>
            <w:r/>
            <w:r>
              <w:rPr>
                <w:b w:val="0"/>
                <w:sz w:val="16"/>
              </w:rPr>
              <w:t>Exceptions shall have type, value, owner, age, SLA, status, evidence and resolution.</w:t>
            </w:r>
          </w:p>
        </w:tc>
        <w:tc>
          <w:tcPr>
            <w:tcW w:type="dxa" w:w="2045"/>
            <w:vAlign w:val="center"/>
          </w:tcPr>
          <w:p>
            <w:r/>
            <w:r>
              <w:rPr>
                <w:b w:val="0"/>
                <w:sz w:val="16"/>
              </w:rPr>
              <w:t>Must</w:t>
            </w:r>
          </w:p>
        </w:tc>
        <w:tc>
          <w:tcPr>
            <w:tcW w:type="dxa" w:w="2045"/>
            <w:vAlign w:val="center"/>
          </w:tcPr>
          <w:p>
            <w:r/>
            <w:r>
              <w:rPr>
                <w:b w:val="0"/>
                <w:sz w:val="16"/>
              </w:rPr>
              <w:t>Case workflow test.</w:t>
            </w:r>
          </w:p>
        </w:tc>
        <w:tc>
          <w:tcPr>
            <w:tcW w:type="dxa" w:w="2045"/>
            <w:vAlign w:val="center"/>
          </w:tcPr>
          <w:p>
            <w:r/>
            <w:r>
              <w:rPr>
                <w:b w:val="0"/>
                <w:sz w:val="16"/>
              </w:rPr>
              <w:t>Yes</w:t>
            </w:r>
          </w:p>
        </w:tc>
      </w:tr>
      <w:tr>
        <w:tc>
          <w:tcPr>
            <w:tcW w:type="dxa" w:w="2045"/>
            <w:vAlign w:val="center"/>
          </w:tcPr>
          <w:p>
            <w:r/>
            <w:r>
              <w:rPr>
                <w:b w:val="0"/>
                <w:sz w:val="16"/>
              </w:rPr>
              <w:t>REC-003</w:t>
            </w:r>
          </w:p>
        </w:tc>
        <w:tc>
          <w:tcPr>
            <w:tcW w:type="dxa" w:w="2045"/>
            <w:vAlign w:val="center"/>
          </w:tcPr>
          <w:p>
            <w:r/>
            <w:r>
              <w:rPr>
                <w:b w:val="0"/>
                <w:sz w:val="16"/>
              </w:rPr>
              <w:t>Tolerance-based auto-resolution shall be configurable but fully audited.</w:t>
            </w:r>
          </w:p>
        </w:tc>
        <w:tc>
          <w:tcPr>
            <w:tcW w:type="dxa" w:w="2045"/>
            <w:vAlign w:val="center"/>
          </w:tcPr>
          <w:p>
            <w:r/>
            <w:r>
              <w:rPr>
                <w:b w:val="0"/>
                <w:sz w:val="16"/>
              </w:rPr>
              <w:t>Should</w:t>
            </w:r>
          </w:p>
        </w:tc>
        <w:tc>
          <w:tcPr>
            <w:tcW w:type="dxa" w:w="2045"/>
            <w:vAlign w:val="center"/>
          </w:tcPr>
          <w:p>
            <w:r/>
            <w:r>
              <w:rPr>
                <w:b w:val="0"/>
                <w:sz w:val="16"/>
              </w:rPr>
              <w:t>Tolerance scenario.</w:t>
            </w:r>
          </w:p>
        </w:tc>
        <w:tc>
          <w:tcPr>
            <w:tcW w:type="dxa" w:w="2045"/>
            <w:vAlign w:val="center"/>
          </w:tcPr>
          <w:p>
            <w:r/>
            <w:r>
              <w:rPr>
                <w:b w:val="0"/>
                <w:sz w:val="16"/>
              </w:rPr>
              <w:t>Yes</w:t>
            </w:r>
          </w:p>
        </w:tc>
      </w:tr>
      <w:tr>
        <w:tc>
          <w:tcPr>
            <w:tcW w:type="dxa" w:w="2045"/>
            <w:vAlign w:val="center"/>
          </w:tcPr>
          <w:p>
            <w:r/>
            <w:r>
              <w:rPr>
                <w:b w:val="0"/>
                <w:sz w:val="16"/>
              </w:rPr>
              <w:t>SET-001</w:t>
            </w:r>
          </w:p>
        </w:tc>
        <w:tc>
          <w:tcPr>
            <w:tcW w:type="dxa" w:w="2045"/>
            <w:vAlign w:val="center"/>
          </w:tcPr>
          <w:p>
            <w:r/>
            <w:r>
              <w:rPr>
                <w:b w:val="0"/>
                <w:sz w:val="16"/>
              </w:rPr>
              <w:t>Settlement calculations shall be reproducible from transaction-level data and configuration versions.</w:t>
            </w:r>
          </w:p>
        </w:tc>
        <w:tc>
          <w:tcPr>
            <w:tcW w:type="dxa" w:w="2045"/>
            <w:vAlign w:val="center"/>
          </w:tcPr>
          <w:p>
            <w:r/>
            <w:r>
              <w:rPr>
                <w:b w:val="0"/>
                <w:sz w:val="16"/>
              </w:rPr>
              <w:t>Must</w:t>
            </w:r>
          </w:p>
        </w:tc>
        <w:tc>
          <w:tcPr>
            <w:tcW w:type="dxa" w:w="2045"/>
            <w:vAlign w:val="center"/>
          </w:tcPr>
          <w:p>
            <w:r/>
            <w:r>
              <w:rPr>
                <w:b w:val="0"/>
                <w:sz w:val="16"/>
              </w:rPr>
              <w:t>Recalculation test.</w:t>
            </w:r>
          </w:p>
        </w:tc>
        <w:tc>
          <w:tcPr>
            <w:tcW w:type="dxa" w:w="2045"/>
            <w:vAlign w:val="center"/>
          </w:tcPr>
          <w:p>
            <w:r/>
            <w:r>
              <w:rPr>
                <w:b w:val="0"/>
                <w:sz w:val="16"/>
              </w:rPr>
              <w:t>No</w:t>
            </w:r>
          </w:p>
        </w:tc>
      </w:tr>
      <w:tr>
        <w:tc>
          <w:tcPr>
            <w:tcW w:type="dxa" w:w="2045"/>
            <w:vAlign w:val="center"/>
          </w:tcPr>
          <w:p>
            <w:r/>
            <w:r>
              <w:rPr>
                <w:b w:val="0"/>
                <w:sz w:val="16"/>
              </w:rPr>
              <w:t>SET-002</w:t>
            </w:r>
          </w:p>
        </w:tc>
        <w:tc>
          <w:tcPr>
            <w:tcW w:type="dxa" w:w="2045"/>
            <w:vAlign w:val="center"/>
          </w:tcPr>
          <w:p>
            <w:r/>
            <w:r>
              <w:rPr>
                <w:b w:val="0"/>
                <w:sz w:val="16"/>
              </w:rPr>
              <w:t>Closed periods shall be locked; later changes shall post as adjustments in an open period.</w:t>
            </w:r>
          </w:p>
        </w:tc>
        <w:tc>
          <w:tcPr>
            <w:tcW w:type="dxa" w:w="2045"/>
            <w:vAlign w:val="center"/>
          </w:tcPr>
          <w:p>
            <w:r/>
            <w:r>
              <w:rPr>
                <w:b w:val="0"/>
                <w:sz w:val="16"/>
              </w:rPr>
              <w:t>Must</w:t>
            </w:r>
          </w:p>
        </w:tc>
        <w:tc>
          <w:tcPr>
            <w:tcW w:type="dxa" w:w="2045"/>
            <w:vAlign w:val="center"/>
          </w:tcPr>
          <w:p>
            <w:r/>
            <w:r>
              <w:rPr>
                <w:b w:val="0"/>
                <w:sz w:val="16"/>
              </w:rPr>
              <w:t>Period-lock test.</w:t>
            </w:r>
          </w:p>
        </w:tc>
        <w:tc>
          <w:tcPr>
            <w:tcW w:type="dxa" w:w="2045"/>
            <w:vAlign w:val="center"/>
          </w:tcPr>
          <w:p>
            <w:r/>
            <w:r>
              <w:rPr>
                <w:b w:val="0"/>
                <w:sz w:val="16"/>
              </w:rPr>
              <w:t>Yes</w:t>
            </w:r>
          </w:p>
        </w:tc>
      </w:tr>
    </w:tbl>
    <w:p/>
    <w:p>
      <w:pPr>
        <w:pStyle w:val="Heading1"/>
        <w:pageBreakBefore/>
      </w:pPr>
      <w:r>
        <w:t>16. Front-End Portals and User Experience</w:t>
      </w:r>
    </w:p>
    <w:p>
      <w:pPr>
        <w:pStyle w:val="Heading2"/>
      </w:pPr>
      <w:r>
        <w:t>16.1 Administration Portal</w:t>
      </w:r>
    </w:p>
    <w:p>
      <w:pPr>
        <w:pStyle w:val="ListBullet"/>
      </w:pPr>
      <w:r>
        <w:t>Telco onboarding wizard and tenant status.</w:t>
      </w:r>
    </w:p>
    <w:p>
      <w:pPr>
        <w:pStyle w:val="ListBullet"/>
      </w:pPr>
      <w:r>
        <w:t>Product, tier, fee, scoring, anti-gaming, recovery, settlement and notification configuration.</w:t>
      </w:r>
    </w:p>
    <w:p>
      <w:pPr>
        <w:pStyle w:val="ListBullet"/>
      </w:pPr>
      <w:r>
        <w:t>Integration endpoint, schema, certificate metadata, queue/topic and health configuration.</w:t>
      </w:r>
    </w:p>
    <w:p>
      <w:pPr>
        <w:pStyle w:val="ListBullet"/>
      </w:pPr>
      <w:r>
        <w:t>Feature flags, pilot cohorts, rollout percentages and emergency suspension.</w:t>
      </w:r>
    </w:p>
    <w:p>
      <w:pPr>
        <w:pStyle w:val="ListBullet"/>
      </w:pPr>
      <w:r>
        <w:t>Maker-checker approvals, effective dating, simulation, impact preview and rollback.</w:t>
      </w:r>
    </w:p>
    <w:p>
      <w:pPr>
        <w:pStyle w:val="ListBullet"/>
      </w:pPr>
      <w:r>
        <w:t>User, role, telco scope and privileged-access management.</w:t>
      </w:r>
    </w:p>
    <w:p>
      <w:pPr>
        <w:pStyle w:val="ListBullet"/>
      </w:pPr>
      <w:r>
        <w:t>Audit and configuration-difference views.</w:t>
      </w:r>
    </w:p>
    <w:p>
      <w:pPr>
        <w:pStyle w:val="Heading2"/>
      </w:pPr>
      <w:r>
        <w:t>16.2 Operations Portal</w:t>
      </w:r>
    </w:p>
    <w:p>
      <w:pPr>
        <w:pStyle w:val="ListBullet"/>
      </w:pPr>
      <w:r>
        <w:t>Cross-telco dashboard with authorised filters and tenant-specific views.</w:t>
      </w:r>
    </w:p>
    <w:p>
      <w:pPr>
        <w:pStyle w:val="ListBullet"/>
      </w:pPr>
      <w:r>
        <w:t>Advance and repayment search; subscriber timeline.</w:t>
      </w:r>
    </w:p>
    <w:p>
      <w:pPr>
        <w:pStyle w:val="ListBullet"/>
      </w:pPr>
      <w:r>
        <w:t>Fulfilment-unknown, stuck reservations, unmatched repayments and batch failures.</w:t>
      </w:r>
    </w:p>
    <w:p>
      <w:pPr>
        <w:pStyle w:val="ListBullet"/>
      </w:pPr>
      <w:r>
        <w:t>Retry/status-enquiry controls that are safe and idempotent.</w:t>
      </w:r>
    </w:p>
    <w:p>
      <w:pPr>
        <w:pStyle w:val="ListBullet"/>
      </w:pPr>
      <w:r>
        <w:t>Case assignment, notes, attachments, SLA and escalation.</w:t>
      </w:r>
    </w:p>
    <w:p>
      <w:pPr>
        <w:pStyle w:val="ListBullet"/>
      </w:pPr>
      <w:r>
        <w:t>Operational health, queue lag and telco connectivity.</w:t>
      </w:r>
    </w:p>
    <w:p>
      <w:pPr>
        <w:pStyle w:val="Heading2"/>
      </w:pPr>
      <w:r>
        <w:t>16.3 Risk Portal</w:t>
      </w:r>
    </w:p>
    <w:p>
      <w:pPr>
        <w:pStyle w:val="ListBullet"/>
      </w:pPr>
      <w:r>
        <w:t>Portfolio exposure, approval, take-up, recovery, delinquency and vintage views.</w:t>
      </w:r>
    </w:p>
    <w:p>
      <w:pPr>
        <w:pStyle w:val="ListBullet"/>
      </w:pPr>
      <w:r>
        <w:t>Tier migration, score distribution, drift and anti-gaming alerts.</w:t>
      </w:r>
    </w:p>
    <w:p>
      <w:pPr>
        <w:pStyle w:val="ListBullet"/>
      </w:pPr>
      <w:r>
        <w:t>Rule/model simulation before activation.</w:t>
      </w:r>
    </w:p>
    <w:p>
      <w:pPr>
        <w:pStyle w:val="ListBullet"/>
      </w:pPr>
      <w:r>
        <w:t>Champion/challenger experiment results.</w:t>
      </w:r>
    </w:p>
    <w:p>
      <w:pPr>
        <w:pStyle w:val="ListBullet"/>
      </w:pPr>
      <w:r>
        <w:t>Overrides, blacklists, whitelists and exposure caps with approvals.</w:t>
      </w:r>
    </w:p>
    <w:p>
      <w:pPr>
        <w:pStyle w:val="Heading2"/>
      </w:pPr>
      <w:r>
        <w:t>16.4 Finance and Settlement Portal</w:t>
      </w:r>
    </w:p>
    <w:p>
      <w:pPr>
        <w:pStyle w:val="ListBullet"/>
      </w:pPr>
      <w:r>
        <w:t>Transaction, fee, commission and settlement dashboards.</w:t>
      </w:r>
    </w:p>
    <w:p>
      <w:pPr>
        <w:pStyle w:val="ListBullet"/>
      </w:pPr>
      <w:r>
        <w:t>Reconciliation exceptions and statements.</w:t>
      </w:r>
    </w:p>
    <w:p>
      <w:pPr>
        <w:pStyle w:val="ListBullet"/>
      </w:pPr>
      <w:r>
        <w:t>Period close, lock, adjustment and export controls.</w:t>
      </w:r>
    </w:p>
    <w:p>
      <w:pPr>
        <w:pStyle w:val="ListBullet"/>
      </w:pPr>
      <w:r>
        <w:t>Telco/funder receivable and payable ageing.</w:t>
      </w:r>
    </w:p>
    <w:p>
      <w:pPr>
        <w:pStyle w:val="Heading2"/>
      </w:pPr>
      <w:r>
        <w:t>16.5 Customer Support and Customer Channels</w:t>
      </w:r>
    </w:p>
    <w:p>
      <w:pPr>
        <w:pStyle w:val="ListBullet"/>
      </w:pPr>
      <w:r>
        <w:t>Support agents see only necessary masked identity and full transaction history.</w:t>
      </w:r>
    </w:p>
    <w:p>
      <w:pPr>
        <w:pStyle w:val="ListBullet"/>
      </w:pPr>
      <w:r>
        <w:t>Customer-facing channels may be USSD, SMS, telco app, web, IVR or API.</w:t>
      </w:r>
    </w:p>
    <w:p>
      <w:pPr>
        <w:pStyle w:val="ListBullet"/>
      </w:pPr>
      <w:r>
        <w:t>Disclosures shall show advance value, fee, net benefit, repayment obligation and recovery mechanism before acceptance.</w:t>
      </w:r>
    </w:p>
    <w:p>
      <w:pPr>
        <w:pStyle w:val="ListBullet"/>
      </w:pPr>
      <w:r>
        <w:t>Customers shall receive confirmations, repayment notifications, outstanding balance information and complaint channels.</w:t>
      </w:r>
    </w:p>
    <w:p>
      <w:pPr>
        <w:pStyle w:val="Heading1"/>
        <w:pageBreakBefore/>
      </w:pPr>
      <w:r>
        <w:t>17. API and Integration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API/Event</w:t>
            </w:r>
          </w:p>
        </w:tc>
        <w:tc>
          <w:tcPr>
            <w:tcW w:type="dxa" w:w="5112"/>
            <w:vAlign w:val="center"/>
            <w:shd w:fill="1F4E78"/>
          </w:tcPr>
          <w:p>
            <w:r/>
            <w:r>
              <w:rPr>
                <w:b/>
                <w:color w:val="FFFFFF"/>
                <w:sz w:val="16"/>
              </w:rPr>
              <w:t>Purpose</w:t>
            </w:r>
          </w:p>
        </w:tc>
      </w:tr>
      <w:tr>
        <w:tc>
          <w:tcPr>
            <w:tcW w:type="dxa" w:w="5112"/>
            <w:vAlign w:val="center"/>
          </w:tcPr>
          <w:p>
            <w:r/>
            <w:r>
              <w:rPr>
                <w:b w:val="0"/>
                <w:sz w:val="16"/>
              </w:rPr>
              <w:t>Get Offers</w:t>
            </w:r>
          </w:p>
        </w:tc>
        <w:tc>
          <w:tcPr>
            <w:tcW w:type="dxa" w:w="5112"/>
            <w:vAlign w:val="center"/>
          </w:tcPr>
          <w:p>
            <w:r/>
            <w:r>
              <w:rPr>
                <w:b w:val="0"/>
                <w:sz w:val="16"/>
              </w:rPr>
              <w:t>Return current eligible products and denominations.</w:t>
            </w:r>
          </w:p>
        </w:tc>
      </w:tr>
      <w:tr>
        <w:tc>
          <w:tcPr>
            <w:tcW w:type="dxa" w:w="5112"/>
            <w:vAlign w:val="center"/>
          </w:tcPr>
          <w:p>
            <w:r/>
            <w:r>
              <w:rPr>
                <w:b w:val="0"/>
                <w:sz w:val="16"/>
              </w:rPr>
              <w:t>Create Advance</w:t>
            </w:r>
          </w:p>
        </w:tc>
        <w:tc>
          <w:tcPr>
            <w:tcW w:type="dxa" w:w="5112"/>
            <w:vAlign w:val="center"/>
          </w:tcPr>
          <w:p>
            <w:r/>
            <w:r>
              <w:rPr>
                <w:b w:val="0"/>
                <w:sz w:val="16"/>
              </w:rPr>
              <w:t>Accept selected offer and initiate/reserve fulfilment.</w:t>
            </w:r>
          </w:p>
        </w:tc>
      </w:tr>
      <w:tr>
        <w:tc>
          <w:tcPr>
            <w:tcW w:type="dxa" w:w="5112"/>
            <w:vAlign w:val="center"/>
          </w:tcPr>
          <w:p>
            <w:r/>
            <w:r>
              <w:rPr>
                <w:b w:val="0"/>
                <w:sz w:val="16"/>
              </w:rPr>
              <w:t>Fulfilment Callback</w:t>
            </w:r>
          </w:p>
        </w:tc>
        <w:tc>
          <w:tcPr>
            <w:tcW w:type="dxa" w:w="5112"/>
            <w:vAlign w:val="center"/>
          </w:tcPr>
          <w:p>
            <w:r/>
            <w:r>
              <w:rPr>
                <w:b w:val="0"/>
                <w:sz w:val="16"/>
              </w:rPr>
              <w:t>Receive definitive telco outcome.</w:t>
            </w:r>
          </w:p>
        </w:tc>
      </w:tr>
      <w:tr>
        <w:tc>
          <w:tcPr>
            <w:tcW w:type="dxa" w:w="5112"/>
            <w:vAlign w:val="center"/>
          </w:tcPr>
          <w:p>
            <w:r/>
            <w:r>
              <w:rPr>
                <w:b w:val="0"/>
                <w:sz w:val="16"/>
              </w:rPr>
              <w:t>Advance Status</w:t>
            </w:r>
          </w:p>
        </w:tc>
        <w:tc>
          <w:tcPr>
            <w:tcW w:type="dxa" w:w="5112"/>
            <w:vAlign w:val="center"/>
          </w:tcPr>
          <w:p>
            <w:r/>
            <w:r>
              <w:rPr>
                <w:b w:val="0"/>
                <w:sz w:val="16"/>
              </w:rPr>
              <w:t>Resolve timeouts and unknown outcomes.</w:t>
            </w:r>
          </w:p>
        </w:tc>
      </w:tr>
      <w:tr>
        <w:tc>
          <w:tcPr>
            <w:tcW w:type="dxa" w:w="5112"/>
            <w:vAlign w:val="center"/>
          </w:tcPr>
          <w:p>
            <w:r/>
            <w:r>
              <w:rPr>
                <w:b w:val="0"/>
                <w:sz w:val="16"/>
              </w:rPr>
              <w:t>Recharge/Recovery Event</w:t>
            </w:r>
          </w:p>
        </w:tc>
        <w:tc>
          <w:tcPr>
            <w:tcW w:type="dxa" w:w="5112"/>
            <w:vAlign w:val="center"/>
          </w:tcPr>
          <w:p>
            <w:r/>
            <w:r>
              <w:rPr>
                <w:b w:val="0"/>
                <w:sz w:val="16"/>
              </w:rPr>
              <w:t>Report deduction/recovery.</w:t>
            </w:r>
          </w:p>
        </w:tc>
      </w:tr>
      <w:tr>
        <w:tc>
          <w:tcPr>
            <w:tcW w:type="dxa" w:w="5112"/>
            <w:vAlign w:val="center"/>
          </w:tcPr>
          <w:p>
            <w:r/>
            <w:r>
              <w:rPr>
                <w:b w:val="0"/>
                <w:sz w:val="16"/>
              </w:rPr>
              <w:t>Recovery Reversal</w:t>
            </w:r>
          </w:p>
        </w:tc>
        <w:tc>
          <w:tcPr>
            <w:tcW w:type="dxa" w:w="5112"/>
            <w:vAlign w:val="center"/>
          </w:tcPr>
          <w:p>
            <w:r/>
            <w:r>
              <w:rPr>
                <w:b w:val="0"/>
                <w:sz w:val="16"/>
              </w:rPr>
              <w:t>Reverse previously reported recovery.</w:t>
            </w:r>
          </w:p>
        </w:tc>
      </w:tr>
      <w:tr>
        <w:tc>
          <w:tcPr>
            <w:tcW w:type="dxa" w:w="5112"/>
            <w:vAlign w:val="center"/>
          </w:tcPr>
          <w:p>
            <w:r/>
            <w:r>
              <w:rPr>
                <w:b w:val="0"/>
                <w:sz w:val="16"/>
              </w:rPr>
              <w:t>Subscriber Status Event</w:t>
            </w:r>
          </w:p>
        </w:tc>
        <w:tc>
          <w:tcPr>
            <w:tcW w:type="dxa" w:w="5112"/>
            <w:vAlign w:val="center"/>
          </w:tcPr>
          <w:p>
            <w:r/>
            <w:r>
              <w:rPr>
                <w:b w:val="0"/>
                <w:sz w:val="16"/>
              </w:rPr>
              <w:t>Update barring, NIN, SIM swap, porting or fraud status.</w:t>
            </w:r>
          </w:p>
        </w:tc>
      </w:tr>
      <w:tr>
        <w:tc>
          <w:tcPr>
            <w:tcW w:type="dxa" w:w="5112"/>
            <w:vAlign w:val="center"/>
          </w:tcPr>
          <w:p>
            <w:r/>
            <w:r>
              <w:rPr>
                <w:b w:val="0"/>
                <w:sz w:val="16"/>
              </w:rPr>
              <w:t>Batch Feature Feed</w:t>
            </w:r>
          </w:p>
        </w:tc>
        <w:tc>
          <w:tcPr>
            <w:tcW w:type="dxa" w:w="5112"/>
            <w:vAlign w:val="center"/>
          </w:tcPr>
          <w:p>
            <w:r/>
            <w:r>
              <w:rPr>
                <w:b w:val="0"/>
                <w:sz w:val="16"/>
              </w:rPr>
              <w:t>Provide large-scale scoring inputs.</w:t>
            </w:r>
          </w:p>
        </w:tc>
      </w:tr>
      <w:tr>
        <w:tc>
          <w:tcPr>
            <w:tcW w:type="dxa" w:w="5112"/>
            <w:vAlign w:val="center"/>
          </w:tcPr>
          <w:p>
            <w:r/>
            <w:r>
              <w:rPr>
                <w:b w:val="0"/>
                <w:sz w:val="16"/>
              </w:rPr>
              <w:t>Reconciliation File</w:t>
            </w:r>
          </w:p>
        </w:tc>
        <w:tc>
          <w:tcPr>
            <w:tcW w:type="dxa" w:w="5112"/>
            <w:vAlign w:val="center"/>
          </w:tcPr>
          <w:p>
            <w:r/>
            <w:r>
              <w:rPr>
                <w:b w:val="0"/>
                <w:sz w:val="16"/>
              </w:rPr>
              <w:t>Exchange daily control totals and transaction records.</w:t>
            </w:r>
          </w:p>
        </w:tc>
      </w:tr>
      <w:tr>
        <w:tc>
          <w:tcPr>
            <w:tcW w:type="dxa" w:w="5112"/>
            <w:vAlign w:val="center"/>
          </w:tcPr>
          <w:p>
            <w:r/>
            <w:r>
              <w:rPr>
                <w:b w:val="0"/>
                <w:sz w:val="16"/>
              </w:rPr>
              <w:t>Settlement Statement</w:t>
            </w:r>
          </w:p>
        </w:tc>
        <w:tc>
          <w:tcPr>
            <w:tcW w:type="dxa" w:w="5112"/>
            <w:vAlign w:val="center"/>
          </w:tcPr>
          <w:p>
            <w:r/>
            <w:r>
              <w:rPr>
                <w:b w:val="0"/>
                <w:sz w:val="16"/>
              </w:rPr>
              <w:t>Exchange calculated and acknowledged obligations.</w:t>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r/>
            <w:r>
              <w:rPr>
                <w:b/>
                <w:color w:val="FFFFFF"/>
                <w:sz w:val="16"/>
              </w:rPr>
              <w:t>ID</w:t>
            </w:r>
          </w:p>
        </w:tc>
        <w:tc>
          <w:tcPr>
            <w:tcW w:type="dxa" w:w="2045"/>
            <w:vAlign w:val="center"/>
            <w:shd w:fill="17365D"/>
          </w:tcPr>
          <w:p>
            <w:r/>
            <w:r>
              <w:rPr>
                <w:b/>
                <w:color w:val="FFFFFF"/>
                <w:sz w:val="16"/>
              </w:rPr>
              <w:t>Requirement</w:t>
            </w:r>
          </w:p>
        </w:tc>
        <w:tc>
          <w:tcPr>
            <w:tcW w:type="dxa" w:w="2045"/>
            <w:vAlign w:val="center"/>
            <w:shd w:fill="17365D"/>
          </w:tcPr>
          <w:p>
            <w:r/>
            <w:r>
              <w:rPr>
                <w:b/>
                <w:color w:val="FFFFFF"/>
                <w:sz w:val="16"/>
              </w:rPr>
              <w:t>Priority</w:t>
            </w:r>
          </w:p>
        </w:tc>
        <w:tc>
          <w:tcPr>
            <w:tcW w:type="dxa" w:w="2045"/>
            <w:vAlign w:val="center"/>
            <w:shd w:fill="17365D"/>
          </w:tcPr>
          <w:p>
            <w:r/>
            <w:r>
              <w:rPr>
                <w:b/>
                <w:color w:val="FFFFFF"/>
                <w:sz w:val="16"/>
              </w:rPr>
              <w:t>Acceptance Evidence</w:t>
            </w:r>
          </w:p>
        </w:tc>
        <w:tc>
          <w:tcPr>
            <w:tcW w:type="dxa" w:w="2045"/>
            <w:vAlign w:val="center"/>
            <w:shd w:fill="17365D"/>
          </w:tcPr>
          <w:p>
            <w:r/>
            <w:r>
              <w:rPr>
                <w:b/>
                <w:color w:val="FFFFFF"/>
                <w:sz w:val="16"/>
              </w:rPr>
              <w:t>Configurable?</w:t>
            </w:r>
          </w:p>
        </w:tc>
      </w:tr>
      <w:tr>
        <w:tc>
          <w:tcPr>
            <w:tcW w:type="dxa" w:w="2045"/>
            <w:vAlign w:val="center"/>
          </w:tcPr>
          <w:p>
            <w:r/>
            <w:r>
              <w:rPr>
                <w:b w:val="0"/>
                <w:sz w:val="16"/>
              </w:rPr>
              <w:t>API-001</w:t>
            </w:r>
          </w:p>
        </w:tc>
        <w:tc>
          <w:tcPr>
            <w:tcW w:type="dxa" w:w="2045"/>
            <w:vAlign w:val="center"/>
          </w:tcPr>
          <w:p>
            <w:r/>
            <w:r>
              <w:rPr>
                <w:b w:val="0"/>
                <w:sz w:val="16"/>
              </w:rPr>
              <w:t>All mutation APIs shall require idempotency keys and signed/authenticated requests.</w:t>
            </w:r>
          </w:p>
        </w:tc>
        <w:tc>
          <w:tcPr>
            <w:tcW w:type="dxa" w:w="2045"/>
            <w:vAlign w:val="center"/>
          </w:tcPr>
          <w:p>
            <w:r/>
            <w:r>
              <w:rPr>
                <w:b w:val="0"/>
                <w:sz w:val="16"/>
              </w:rPr>
              <w:t>Must</w:t>
            </w:r>
          </w:p>
        </w:tc>
        <w:tc>
          <w:tcPr>
            <w:tcW w:type="dxa" w:w="2045"/>
            <w:vAlign w:val="center"/>
          </w:tcPr>
          <w:p>
            <w:r/>
            <w:r>
              <w:rPr>
                <w:b w:val="0"/>
                <w:sz w:val="16"/>
              </w:rPr>
              <w:t>Security and duplicate tests.</w:t>
            </w:r>
          </w:p>
        </w:tc>
        <w:tc>
          <w:tcPr>
            <w:tcW w:type="dxa" w:w="2045"/>
            <w:vAlign w:val="center"/>
          </w:tcPr>
          <w:p>
            <w:r/>
            <w:r>
              <w:rPr>
                <w:b w:val="0"/>
                <w:sz w:val="16"/>
              </w:rPr>
              <w:t>No</w:t>
            </w:r>
          </w:p>
        </w:tc>
      </w:tr>
      <w:tr>
        <w:tc>
          <w:tcPr>
            <w:tcW w:type="dxa" w:w="2045"/>
            <w:vAlign w:val="center"/>
          </w:tcPr>
          <w:p>
            <w:r/>
            <w:r>
              <w:rPr>
                <w:b w:val="0"/>
                <w:sz w:val="16"/>
              </w:rPr>
              <w:t>API-002</w:t>
            </w:r>
          </w:p>
        </w:tc>
        <w:tc>
          <w:tcPr>
            <w:tcW w:type="dxa" w:w="2045"/>
            <w:vAlign w:val="center"/>
          </w:tcPr>
          <w:p>
            <w:r/>
            <w:r>
              <w:rPr>
                <w:b w:val="0"/>
                <w:sz w:val="16"/>
              </w:rPr>
              <w:t>Canonical APIs shall be versioned and backward-compatible for an agreed support period.</w:t>
            </w:r>
          </w:p>
        </w:tc>
        <w:tc>
          <w:tcPr>
            <w:tcW w:type="dxa" w:w="2045"/>
            <w:vAlign w:val="center"/>
          </w:tcPr>
          <w:p>
            <w:r/>
            <w:r>
              <w:rPr>
                <w:b w:val="0"/>
                <w:sz w:val="16"/>
              </w:rPr>
              <w:t>Must</w:t>
            </w:r>
          </w:p>
        </w:tc>
        <w:tc>
          <w:tcPr>
            <w:tcW w:type="dxa" w:w="2045"/>
            <w:vAlign w:val="center"/>
          </w:tcPr>
          <w:p>
            <w:r/>
            <w:r>
              <w:rPr>
                <w:b w:val="0"/>
                <w:sz w:val="16"/>
              </w:rPr>
              <w:t>Contract tests.</w:t>
            </w:r>
          </w:p>
        </w:tc>
        <w:tc>
          <w:tcPr>
            <w:tcW w:type="dxa" w:w="2045"/>
            <w:vAlign w:val="center"/>
          </w:tcPr>
          <w:p>
            <w:r/>
            <w:r>
              <w:rPr>
                <w:b w:val="0"/>
                <w:sz w:val="16"/>
              </w:rPr>
              <w:t>Partly</w:t>
            </w:r>
          </w:p>
        </w:tc>
      </w:tr>
      <w:tr>
        <w:tc>
          <w:tcPr>
            <w:tcW w:type="dxa" w:w="2045"/>
            <w:vAlign w:val="center"/>
          </w:tcPr>
          <w:p>
            <w:r/>
            <w:r>
              <w:rPr>
                <w:b w:val="0"/>
                <w:sz w:val="16"/>
              </w:rPr>
              <w:t>API-003</w:t>
            </w:r>
          </w:p>
        </w:tc>
        <w:tc>
          <w:tcPr>
            <w:tcW w:type="dxa" w:w="2045"/>
            <w:vAlign w:val="center"/>
          </w:tcPr>
          <w:p>
            <w:r/>
            <w:r>
              <w:rPr>
                <w:b w:val="0"/>
                <w:sz w:val="16"/>
              </w:rPr>
              <w:t>Responses shall include stable error codes, correlation ID and retry guidance.</w:t>
            </w:r>
          </w:p>
        </w:tc>
        <w:tc>
          <w:tcPr>
            <w:tcW w:type="dxa" w:w="2045"/>
            <w:vAlign w:val="center"/>
          </w:tcPr>
          <w:p>
            <w:r/>
            <w:r>
              <w:rPr>
                <w:b w:val="0"/>
                <w:sz w:val="16"/>
              </w:rPr>
              <w:t>Must</w:t>
            </w:r>
          </w:p>
        </w:tc>
        <w:tc>
          <w:tcPr>
            <w:tcW w:type="dxa" w:w="2045"/>
            <w:vAlign w:val="center"/>
          </w:tcPr>
          <w:p>
            <w:r/>
            <w:r>
              <w:rPr>
                <w:b w:val="0"/>
                <w:sz w:val="16"/>
              </w:rPr>
              <w:t>Negative API tests.</w:t>
            </w:r>
          </w:p>
        </w:tc>
        <w:tc>
          <w:tcPr>
            <w:tcW w:type="dxa" w:w="2045"/>
            <w:vAlign w:val="center"/>
          </w:tcPr>
          <w:p>
            <w:r/>
            <w:r>
              <w:rPr>
                <w:b w:val="0"/>
                <w:sz w:val="16"/>
              </w:rPr>
              <w:t>Partly</w:t>
            </w:r>
          </w:p>
        </w:tc>
      </w:tr>
      <w:tr>
        <w:tc>
          <w:tcPr>
            <w:tcW w:type="dxa" w:w="2045"/>
            <w:vAlign w:val="center"/>
          </w:tcPr>
          <w:p>
            <w:r/>
            <w:r>
              <w:rPr>
                <w:b w:val="0"/>
                <w:sz w:val="16"/>
              </w:rPr>
              <w:t>API-004</w:t>
            </w:r>
          </w:p>
        </w:tc>
        <w:tc>
          <w:tcPr>
            <w:tcW w:type="dxa" w:w="2045"/>
            <w:vAlign w:val="center"/>
          </w:tcPr>
          <w:p>
            <w:r/>
            <w:r>
              <w:rPr>
                <w:b w:val="0"/>
                <w:sz w:val="16"/>
              </w:rPr>
              <w:t>Sensitive fields shall be encrypted in transit and masked in logs.</w:t>
            </w:r>
          </w:p>
        </w:tc>
        <w:tc>
          <w:tcPr>
            <w:tcW w:type="dxa" w:w="2045"/>
            <w:vAlign w:val="center"/>
          </w:tcPr>
          <w:p>
            <w:r/>
            <w:r>
              <w:rPr>
                <w:b w:val="0"/>
                <w:sz w:val="16"/>
              </w:rPr>
              <w:t>Must</w:t>
            </w:r>
          </w:p>
        </w:tc>
        <w:tc>
          <w:tcPr>
            <w:tcW w:type="dxa" w:w="2045"/>
            <w:vAlign w:val="center"/>
          </w:tcPr>
          <w:p>
            <w:r/>
            <w:r>
              <w:rPr>
                <w:b w:val="0"/>
                <w:sz w:val="16"/>
              </w:rPr>
              <w:t>Security test.</w:t>
            </w:r>
          </w:p>
        </w:tc>
        <w:tc>
          <w:tcPr>
            <w:tcW w:type="dxa" w:w="2045"/>
            <w:vAlign w:val="center"/>
          </w:tcPr>
          <w:p>
            <w:r/>
            <w:r>
              <w:rPr>
                <w:b w:val="0"/>
                <w:sz w:val="16"/>
              </w:rPr>
              <w:t>No</w:t>
            </w:r>
          </w:p>
        </w:tc>
      </w:tr>
      <w:tr>
        <w:tc>
          <w:tcPr>
            <w:tcW w:type="dxa" w:w="2045"/>
            <w:vAlign w:val="center"/>
          </w:tcPr>
          <w:p>
            <w:r/>
            <w:r>
              <w:rPr>
                <w:b w:val="0"/>
                <w:sz w:val="16"/>
              </w:rPr>
              <w:t>API-005</w:t>
            </w:r>
          </w:p>
        </w:tc>
        <w:tc>
          <w:tcPr>
            <w:tcW w:type="dxa" w:w="2045"/>
            <w:vAlign w:val="center"/>
          </w:tcPr>
          <w:p>
            <w:r/>
            <w:r>
              <w:rPr>
                <w:b w:val="0"/>
                <w:sz w:val="16"/>
              </w:rPr>
              <w:t>Per-telco rate limiting and quotas shall be configurable.</w:t>
            </w:r>
          </w:p>
        </w:tc>
        <w:tc>
          <w:tcPr>
            <w:tcW w:type="dxa" w:w="2045"/>
            <w:vAlign w:val="center"/>
          </w:tcPr>
          <w:p>
            <w:r/>
            <w:r>
              <w:rPr>
                <w:b w:val="0"/>
                <w:sz w:val="16"/>
              </w:rPr>
              <w:t>Must</w:t>
            </w:r>
          </w:p>
        </w:tc>
        <w:tc>
          <w:tcPr>
            <w:tcW w:type="dxa" w:w="2045"/>
            <w:vAlign w:val="center"/>
          </w:tcPr>
          <w:p>
            <w:r/>
            <w:r>
              <w:rPr>
                <w:b w:val="0"/>
                <w:sz w:val="16"/>
              </w:rPr>
              <w:t>Load/rate test.</w:t>
            </w:r>
          </w:p>
        </w:tc>
        <w:tc>
          <w:tcPr>
            <w:tcW w:type="dxa" w:w="2045"/>
            <w:vAlign w:val="center"/>
          </w:tcPr>
          <w:p>
            <w:r/>
            <w:r>
              <w:rPr>
                <w:b w:val="0"/>
                <w:sz w:val="16"/>
              </w:rPr>
              <w:t>Yes</w:t>
            </w:r>
          </w:p>
        </w:tc>
      </w:tr>
    </w:tbl>
    <w:p/>
    <w:p>
      <w:pPr>
        <w:pStyle w:val="Heading1"/>
        <w:pageBreakBefore/>
      </w:pPr>
      <w:r>
        <w:t>18. Scalability, Performance and Availability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Area</w:t>
            </w:r>
          </w:p>
        </w:tc>
        <w:tc>
          <w:tcPr>
            <w:tcW w:type="dxa" w:w="5112"/>
            <w:vAlign w:val="center"/>
            <w:shd w:fill="1F4E78"/>
          </w:tcPr>
          <w:p>
            <w:r/>
            <w:r>
              <w:rPr>
                <w:b/>
                <w:color w:val="FFFFFF"/>
                <w:sz w:val="16"/>
              </w:rPr>
              <w:t>Requirement</w:t>
            </w:r>
          </w:p>
        </w:tc>
      </w:tr>
      <w:tr>
        <w:tc>
          <w:tcPr>
            <w:tcW w:type="dxa" w:w="5112"/>
            <w:vAlign w:val="center"/>
          </w:tcPr>
          <w:p>
            <w:r/>
            <w:r>
              <w:rPr>
                <w:b w:val="0"/>
                <w:sz w:val="16"/>
              </w:rPr>
              <w:t>Subscriber scale</w:t>
            </w:r>
          </w:p>
        </w:tc>
        <w:tc>
          <w:tcPr>
            <w:tcW w:type="dxa" w:w="5112"/>
            <w:vAlign w:val="center"/>
          </w:tcPr>
          <w:p>
            <w:r/>
            <w:r>
              <w:rPr>
                <w:b w:val="0"/>
                <w:sz w:val="16"/>
              </w:rPr>
              <w:t>Support at least 100 million subscriber profiles across telcos, with horizontal growth.</w:t>
            </w:r>
          </w:p>
        </w:tc>
      </w:tr>
      <w:tr>
        <w:tc>
          <w:tcPr>
            <w:tcW w:type="dxa" w:w="5112"/>
            <w:vAlign w:val="center"/>
          </w:tcPr>
          <w:p>
            <w:r/>
            <w:r>
              <w:rPr>
                <w:b w:val="0"/>
                <w:sz w:val="16"/>
              </w:rPr>
              <w:t>Scoring throughput</w:t>
            </w:r>
          </w:p>
        </w:tc>
        <w:tc>
          <w:tcPr>
            <w:tcW w:type="dxa" w:w="5112"/>
            <w:vAlign w:val="center"/>
          </w:tcPr>
          <w:p>
            <w:r/>
            <w:r>
              <w:rPr>
                <w:b w:val="0"/>
                <w:sz w:val="16"/>
              </w:rPr>
              <w:t>Score tens of millions of subscribers within the configured batch window using partitioned/distributed processing.</w:t>
            </w:r>
          </w:p>
        </w:tc>
      </w:tr>
      <w:tr>
        <w:tc>
          <w:tcPr>
            <w:tcW w:type="dxa" w:w="5112"/>
            <w:vAlign w:val="center"/>
          </w:tcPr>
          <w:p>
            <w:r/>
            <w:r>
              <w:rPr>
                <w:b w:val="0"/>
                <w:sz w:val="16"/>
              </w:rPr>
              <w:t>Offer latency</w:t>
            </w:r>
          </w:p>
        </w:tc>
        <w:tc>
          <w:tcPr>
            <w:tcW w:type="dxa" w:w="5112"/>
            <w:vAlign w:val="center"/>
          </w:tcPr>
          <w:p>
            <w:r/>
            <w:r>
              <w:rPr>
                <w:b w:val="0"/>
                <w:sz w:val="16"/>
              </w:rPr>
              <w:t>Target p95 &lt;= 150 ms and p99 &lt;= 300 ms within the platform boundary for cached offer retrieval, excluding telco network latency.</w:t>
            </w:r>
          </w:p>
        </w:tc>
      </w:tr>
      <w:tr>
        <w:tc>
          <w:tcPr>
            <w:tcW w:type="dxa" w:w="5112"/>
            <w:vAlign w:val="center"/>
          </w:tcPr>
          <w:p>
            <w:r/>
            <w:r>
              <w:rPr>
                <w:b w:val="0"/>
                <w:sz w:val="16"/>
              </w:rPr>
              <w:t>Advance decision latency</w:t>
            </w:r>
          </w:p>
        </w:tc>
        <w:tc>
          <w:tcPr>
            <w:tcW w:type="dxa" w:w="5112"/>
            <w:vAlign w:val="center"/>
          </w:tcPr>
          <w:p>
            <w:r/>
            <w:r>
              <w:rPr>
                <w:b w:val="0"/>
                <w:sz w:val="16"/>
              </w:rPr>
              <w:t>Target p95 &lt;= 300 ms before external fulfilment call for normal path.</w:t>
            </w:r>
          </w:p>
        </w:tc>
      </w:tr>
      <w:tr>
        <w:tc>
          <w:tcPr>
            <w:tcW w:type="dxa" w:w="5112"/>
            <w:vAlign w:val="center"/>
          </w:tcPr>
          <w:p>
            <w:r/>
            <w:r>
              <w:rPr>
                <w:b w:val="0"/>
                <w:sz w:val="16"/>
              </w:rPr>
              <w:t>Event throughput</w:t>
            </w:r>
          </w:p>
        </w:tc>
        <w:tc>
          <w:tcPr>
            <w:tcW w:type="dxa" w:w="5112"/>
            <w:vAlign w:val="center"/>
          </w:tcPr>
          <w:p>
            <w:r/>
            <w:r>
              <w:rPr>
                <w:b w:val="0"/>
                <w:sz w:val="16"/>
              </w:rPr>
              <w:t>Scale horizontally for burst recharge and repayment events; exact capacity shall be established through telco forecasts.</w:t>
            </w:r>
          </w:p>
        </w:tc>
      </w:tr>
      <w:tr>
        <w:tc>
          <w:tcPr>
            <w:tcW w:type="dxa" w:w="5112"/>
            <w:vAlign w:val="center"/>
          </w:tcPr>
          <w:p>
            <w:r/>
            <w:r>
              <w:rPr>
                <w:b w:val="0"/>
                <w:sz w:val="16"/>
              </w:rPr>
              <w:t>Availability</w:t>
            </w:r>
          </w:p>
        </w:tc>
        <w:tc>
          <w:tcPr>
            <w:tcW w:type="dxa" w:w="5112"/>
            <w:vAlign w:val="center"/>
          </w:tcPr>
          <w:p>
            <w:r/>
            <w:r>
              <w:rPr>
                <w:b w:val="0"/>
                <w:sz w:val="16"/>
              </w:rPr>
              <w:t>Core real-time decision services target 99.99% availability; batch/reporting services may have lower defined SLOs.</w:t>
            </w:r>
          </w:p>
        </w:tc>
      </w:tr>
      <w:tr>
        <w:tc>
          <w:tcPr>
            <w:tcW w:type="dxa" w:w="5112"/>
            <w:vAlign w:val="center"/>
          </w:tcPr>
          <w:p>
            <w:r/>
            <w:r>
              <w:rPr>
                <w:b w:val="0"/>
                <w:sz w:val="16"/>
              </w:rPr>
              <w:t>RPO/RTO</w:t>
            </w:r>
          </w:p>
        </w:tc>
        <w:tc>
          <w:tcPr>
            <w:tcW w:type="dxa" w:w="5112"/>
            <w:vAlign w:val="center"/>
          </w:tcPr>
          <w:p>
            <w:r/>
            <w:r>
              <w:rPr>
                <w:b w:val="0"/>
                <w:sz w:val="16"/>
              </w:rPr>
              <w:t>Ledger/advance RPO near zero through synchronous replication or durable log; target RTO &lt;= 30 minutes for critical services, subject to deployment design.</w:t>
            </w:r>
          </w:p>
        </w:tc>
      </w:tr>
      <w:tr>
        <w:tc>
          <w:tcPr>
            <w:tcW w:type="dxa" w:w="5112"/>
            <w:vAlign w:val="center"/>
          </w:tcPr>
          <w:p>
            <w:r/>
            <w:r>
              <w:rPr>
                <w:b w:val="0"/>
                <w:sz w:val="16"/>
              </w:rPr>
              <w:t>Isolation</w:t>
            </w:r>
          </w:p>
        </w:tc>
        <w:tc>
          <w:tcPr>
            <w:tcW w:type="dxa" w:w="5112"/>
            <w:vAlign w:val="center"/>
          </w:tcPr>
          <w:p>
            <w:r/>
            <w:r>
              <w:rPr>
                <w:b w:val="0"/>
                <w:sz w:val="16"/>
              </w:rPr>
              <w:t>Independent autoscaling, quotas and circuit breakers per telco adapter.</w:t>
            </w:r>
          </w:p>
        </w:tc>
      </w:tr>
      <w:tr>
        <w:tc>
          <w:tcPr>
            <w:tcW w:type="dxa" w:w="5112"/>
            <w:vAlign w:val="center"/>
          </w:tcPr>
          <w:p>
            <w:r/>
            <w:r>
              <w:rPr>
                <w:b w:val="0"/>
                <w:sz w:val="16"/>
              </w:rPr>
              <w:t>Backpressure</w:t>
            </w:r>
          </w:p>
        </w:tc>
        <w:tc>
          <w:tcPr>
            <w:tcW w:type="dxa" w:w="5112"/>
            <w:vAlign w:val="center"/>
          </w:tcPr>
          <w:p>
            <w:r/>
            <w:r>
              <w:rPr>
                <w:b w:val="0"/>
                <w:sz w:val="16"/>
              </w:rPr>
              <w:t>Queues and APIs shall shed or defer non-critical work before compromising financial correctness.</w:t>
            </w:r>
          </w:p>
        </w:tc>
      </w:tr>
      <w:tr>
        <w:tc>
          <w:tcPr>
            <w:tcW w:type="dxa" w:w="5112"/>
            <w:vAlign w:val="center"/>
          </w:tcPr>
          <w:p>
            <w:r/>
            <w:r>
              <w:rPr>
                <w:b w:val="0"/>
                <w:sz w:val="16"/>
              </w:rPr>
              <w:t>Data partitioning</w:t>
            </w:r>
          </w:p>
        </w:tc>
        <w:tc>
          <w:tcPr>
            <w:tcW w:type="dxa" w:w="5112"/>
            <w:vAlign w:val="center"/>
          </w:tcPr>
          <w:p>
            <w:r/>
            <w:r>
              <w:rPr>
                <w:b w:val="0"/>
                <w:sz w:val="16"/>
              </w:rPr>
              <w:t>Partition high-volume data by telco_id, time and/or subscriber hash to avoid hotspots.</w:t>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r/>
            <w:r>
              <w:rPr>
                <w:b/>
                <w:color w:val="FFFFFF"/>
                <w:sz w:val="16"/>
              </w:rPr>
              <w:t>ID</w:t>
            </w:r>
          </w:p>
        </w:tc>
        <w:tc>
          <w:tcPr>
            <w:tcW w:type="dxa" w:w="2045"/>
            <w:vAlign w:val="center"/>
            <w:shd w:fill="17365D"/>
          </w:tcPr>
          <w:p>
            <w:r/>
            <w:r>
              <w:rPr>
                <w:b/>
                <w:color w:val="FFFFFF"/>
                <w:sz w:val="16"/>
              </w:rPr>
              <w:t>Requirement</w:t>
            </w:r>
          </w:p>
        </w:tc>
        <w:tc>
          <w:tcPr>
            <w:tcW w:type="dxa" w:w="2045"/>
            <w:vAlign w:val="center"/>
            <w:shd w:fill="17365D"/>
          </w:tcPr>
          <w:p>
            <w:r/>
            <w:r>
              <w:rPr>
                <w:b/>
                <w:color w:val="FFFFFF"/>
                <w:sz w:val="16"/>
              </w:rPr>
              <w:t>Priority</w:t>
            </w:r>
          </w:p>
        </w:tc>
        <w:tc>
          <w:tcPr>
            <w:tcW w:type="dxa" w:w="2045"/>
            <w:vAlign w:val="center"/>
            <w:shd w:fill="17365D"/>
          </w:tcPr>
          <w:p>
            <w:r/>
            <w:r>
              <w:rPr>
                <w:b/>
                <w:color w:val="FFFFFF"/>
                <w:sz w:val="16"/>
              </w:rPr>
              <w:t>Acceptance Evidence</w:t>
            </w:r>
          </w:p>
        </w:tc>
        <w:tc>
          <w:tcPr>
            <w:tcW w:type="dxa" w:w="2045"/>
            <w:vAlign w:val="center"/>
            <w:shd w:fill="17365D"/>
          </w:tcPr>
          <w:p>
            <w:r/>
            <w:r>
              <w:rPr>
                <w:b/>
                <w:color w:val="FFFFFF"/>
                <w:sz w:val="16"/>
              </w:rPr>
              <w:t>Configurable?</w:t>
            </w:r>
          </w:p>
        </w:tc>
      </w:tr>
      <w:tr>
        <w:tc>
          <w:tcPr>
            <w:tcW w:type="dxa" w:w="2045"/>
            <w:vAlign w:val="center"/>
          </w:tcPr>
          <w:p>
            <w:r/>
            <w:r>
              <w:rPr>
                <w:b w:val="0"/>
                <w:sz w:val="16"/>
              </w:rPr>
              <w:t>NFR-001</w:t>
            </w:r>
          </w:p>
        </w:tc>
        <w:tc>
          <w:tcPr>
            <w:tcW w:type="dxa" w:w="2045"/>
            <w:vAlign w:val="center"/>
          </w:tcPr>
          <w:p>
            <w:r/>
            <w:r>
              <w:rPr>
                <w:b w:val="0"/>
                <w:sz w:val="16"/>
              </w:rPr>
              <w:t>No single application node shall be required for correctness or availability.</w:t>
            </w:r>
          </w:p>
        </w:tc>
        <w:tc>
          <w:tcPr>
            <w:tcW w:type="dxa" w:w="2045"/>
            <w:vAlign w:val="center"/>
          </w:tcPr>
          <w:p>
            <w:r/>
            <w:r>
              <w:rPr>
                <w:b w:val="0"/>
                <w:sz w:val="16"/>
              </w:rPr>
              <w:t>Must</w:t>
            </w:r>
          </w:p>
        </w:tc>
        <w:tc>
          <w:tcPr>
            <w:tcW w:type="dxa" w:w="2045"/>
            <w:vAlign w:val="center"/>
          </w:tcPr>
          <w:p>
            <w:r/>
            <w:r>
              <w:rPr>
                <w:b w:val="0"/>
                <w:sz w:val="16"/>
              </w:rPr>
              <w:t>Failure test.</w:t>
            </w:r>
          </w:p>
        </w:tc>
        <w:tc>
          <w:tcPr>
            <w:tcW w:type="dxa" w:w="2045"/>
            <w:vAlign w:val="center"/>
          </w:tcPr>
          <w:p>
            <w:r/>
            <w:r>
              <w:rPr>
                <w:b w:val="0"/>
                <w:sz w:val="16"/>
              </w:rPr>
              <w:t>No</w:t>
            </w:r>
          </w:p>
        </w:tc>
      </w:tr>
      <w:tr>
        <w:tc>
          <w:tcPr>
            <w:tcW w:type="dxa" w:w="2045"/>
            <w:vAlign w:val="center"/>
          </w:tcPr>
          <w:p>
            <w:r/>
            <w:r>
              <w:rPr>
                <w:b w:val="0"/>
                <w:sz w:val="16"/>
              </w:rPr>
              <w:t>NFR-002</w:t>
            </w:r>
          </w:p>
        </w:tc>
        <w:tc>
          <w:tcPr>
            <w:tcW w:type="dxa" w:w="2045"/>
            <w:vAlign w:val="center"/>
          </w:tcPr>
          <w:p>
            <w:r/>
            <w:r>
              <w:rPr>
                <w:b w:val="0"/>
                <w:sz w:val="16"/>
              </w:rPr>
              <w:t>Critical services shall be stateless where practical and horizontally scalable.</w:t>
            </w:r>
          </w:p>
        </w:tc>
        <w:tc>
          <w:tcPr>
            <w:tcW w:type="dxa" w:w="2045"/>
            <w:vAlign w:val="center"/>
          </w:tcPr>
          <w:p>
            <w:r/>
            <w:r>
              <w:rPr>
                <w:b w:val="0"/>
                <w:sz w:val="16"/>
              </w:rPr>
              <w:t>Must</w:t>
            </w:r>
          </w:p>
        </w:tc>
        <w:tc>
          <w:tcPr>
            <w:tcW w:type="dxa" w:w="2045"/>
            <w:vAlign w:val="center"/>
          </w:tcPr>
          <w:p>
            <w:r/>
            <w:r>
              <w:rPr>
                <w:b w:val="0"/>
                <w:sz w:val="16"/>
              </w:rPr>
              <w:t>Autoscaling test.</w:t>
            </w:r>
          </w:p>
        </w:tc>
        <w:tc>
          <w:tcPr>
            <w:tcW w:type="dxa" w:w="2045"/>
            <w:vAlign w:val="center"/>
          </w:tcPr>
          <w:p>
            <w:r/>
            <w:r>
              <w:rPr>
                <w:b w:val="0"/>
                <w:sz w:val="16"/>
              </w:rPr>
              <w:t>Partly</w:t>
            </w:r>
          </w:p>
        </w:tc>
      </w:tr>
      <w:tr>
        <w:tc>
          <w:tcPr>
            <w:tcW w:type="dxa" w:w="2045"/>
            <w:vAlign w:val="center"/>
          </w:tcPr>
          <w:p>
            <w:r/>
            <w:r>
              <w:rPr>
                <w:b w:val="0"/>
                <w:sz w:val="16"/>
              </w:rPr>
              <w:t>NFR-003</w:t>
            </w:r>
          </w:p>
        </w:tc>
        <w:tc>
          <w:tcPr>
            <w:tcW w:type="dxa" w:w="2045"/>
            <w:vAlign w:val="center"/>
          </w:tcPr>
          <w:p>
            <w:r/>
            <w:r>
              <w:rPr>
                <w:b w:val="0"/>
                <w:sz w:val="16"/>
              </w:rPr>
              <w:t>Subscriber-level ordering shall be preserved for fulfilment and repayment events where required.</w:t>
            </w:r>
          </w:p>
        </w:tc>
        <w:tc>
          <w:tcPr>
            <w:tcW w:type="dxa" w:w="2045"/>
            <w:vAlign w:val="center"/>
          </w:tcPr>
          <w:p>
            <w:r/>
            <w:r>
              <w:rPr>
                <w:b w:val="0"/>
                <w:sz w:val="16"/>
              </w:rPr>
              <w:t>Must</w:t>
            </w:r>
          </w:p>
        </w:tc>
        <w:tc>
          <w:tcPr>
            <w:tcW w:type="dxa" w:w="2045"/>
            <w:vAlign w:val="center"/>
          </w:tcPr>
          <w:p>
            <w:r/>
            <w:r>
              <w:rPr>
                <w:b w:val="0"/>
                <w:sz w:val="16"/>
              </w:rPr>
              <w:t>Ordering test.</w:t>
            </w:r>
          </w:p>
        </w:tc>
        <w:tc>
          <w:tcPr>
            <w:tcW w:type="dxa" w:w="2045"/>
            <w:vAlign w:val="center"/>
          </w:tcPr>
          <w:p>
            <w:r/>
            <w:r>
              <w:rPr>
                <w:b w:val="0"/>
                <w:sz w:val="16"/>
              </w:rPr>
              <w:t>No</w:t>
            </w:r>
          </w:p>
        </w:tc>
      </w:tr>
      <w:tr>
        <w:tc>
          <w:tcPr>
            <w:tcW w:type="dxa" w:w="2045"/>
            <w:vAlign w:val="center"/>
          </w:tcPr>
          <w:p>
            <w:r/>
            <w:r>
              <w:rPr>
                <w:b w:val="0"/>
                <w:sz w:val="16"/>
              </w:rPr>
              <w:t>NFR-004</w:t>
            </w:r>
          </w:p>
        </w:tc>
        <w:tc>
          <w:tcPr>
            <w:tcW w:type="dxa" w:w="2045"/>
            <w:vAlign w:val="center"/>
          </w:tcPr>
          <w:p>
            <w:r/>
            <w:r>
              <w:rPr>
                <w:b w:val="0"/>
                <w:sz w:val="16"/>
              </w:rPr>
              <w:t>The platform shall survive at least a 5x forecast burst without data loss, using queues and backpressure.</w:t>
            </w:r>
          </w:p>
        </w:tc>
        <w:tc>
          <w:tcPr>
            <w:tcW w:type="dxa" w:w="2045"/>
            <w:vAlign w:val="center"/>
          </w:tcPr>
          <w:p>
            <w:r/>
            <w:r>
              <w:rPr>
                <w:b w:val="0"/>
                <w:sz w:val="16"/>
              </w:rPr>
              <w:t>Must</w:t>
            </w:r>
          </w:p>
        </w:tc>
        <w:tc>
          <w:tcPr>
            <w:tcW w:type="dxa" w:w="2045"/>
            <w:vAlign w:val="center"/>
          </w:tcPr>
          <w:p>
            <w:r/>
            <w:r>
              <w:rPr>
                <w:b w:val="0"/>
                <w:sz w:val="16"/>
              </w:rPr>
              <w:t>Stress test.</w:t>
            </w:r>
          </w:p>
        </w:tc>
        <w:tc>
          <w:tcPr>
            <w:tcW w:type="dxa" w:w="2045"/>
            <w:vAlign w:val="center"/>
          </w:tcPr>
          <w:p>
            <w:r/>
            <w:r>
              <w:rPr>
                <w:b w:val="0"/>
                <w:sz w:val="16"/>
              </w:rPr>
              <w:t>Partly</w:t>
            </w:r>
          </w:p>
        </w:tc>
      </w:tr>
      <w:tr>
        <w:tc>
          <w:tcPr>
            <w:tcW w:type="dxa" w:w="2045"/>
            <w:vAlign w:val="center"/>
          </w:tcPr>
          <w:p>
            <w:r/>
            <w:r>
              <w:rPr>
                <w:b w:val="0"/>
                <w:sz w:val="16"/>
              </w:rPr>
              <w:t>NFR-005</w:t>
            </w:r>
          </w:p>
        </w:tc>
        <w:tc>
          <w:tcPr>
            <w:tcW w:type="dxa" w:w="2045"/>
            <w:vAlign w:val="center"/>
          </w:tcPr>
          <w:p>
            <w:r/>
            <w:r>
              <w:rPr>
                <w:b w:val="0"/>
                <w:sz w:val="16"/>
              </w:rPr>
              <w:t>Capacity dashboards shall show usage and headroom by telco and service.</w:t>
            </w:r>
          </w:p>
        </w:tc>
        <w:tc>
          <w:tcPr>
            <w:tcW w:type="dxa" w:w="2045"/>
            <w:vAlign w:val="center"/>
          </w:tcPr>
          <w:p>
            <w:r/>
            <w:r>
              <w:rPr>
                <w:b w:val="0"/>
                <w:sz w:val="16"/>
              </w:rPr>
              <w:t>Must</w:t>
            </w:r>
          </w:p>
        </w:tc>
        <w:tc>
          <w:tcPr>
            <w:tcW w:type="dxa" w:w="2045"/>
            <w:vAlign w:val="center"/>
          </w:tcPr>
          <w:p>
            <w:r/>
            <w:r>
              <w:rPr>
                <w:b w:val="0"/>
                <w:sz w:val="16"/>
              </w:rPr>
              <w:t>Observability test.</w:t>
            </w:r>
          </w:p>
        </w:tc>
        <w:tc>
          <w:tcPr>
            <w:tcW w:type="dxa" w:w="2045"/>
            <w:vAlign w:val="center"/>
          </w:tcPr>
          <w:p>
            <w:r/>
            <w:r>
              <w:rPr>
                <w:b w:val="0"/>
                <w:sz w:val="16"/>
              </w:rPr>
              <w:t>Yes</w:t>
            </w:r>
          </w:p>
        </w:tc>
      </w:tr>
    </w:tbl>
    <w:p/>
    <w:p>
      <w:pPr>
        <w:pStyle w:val="Heading1"/>
        <w:pageBreakBefore/>
      </w:pPr>
      <w:r>
        <w:t>19. Security, Privacy and Compliance</w:t>
      </w:r>
    </w:p>
    <w:p>
      <w:pPr>
        <w:pStyle w:val="ListBullet"/>
      </w:pPr>
      <w:r>
        <w:t>Zero-trust service authentication; mTLS for telco and internal high-trust integrations where appropriate.</w:t>
      </w:r>
    </w:p>
    <w:p>
      <w:pPr>
        <w:pStyle w:val="ListBullet"/>
      </w:pPr>
      <w:r>
        <w:t>Encryption at rest and in transit; tenant-specific keys where required.</w:t>
      </w:r>
    </w:p>
    <w:p>
      <w:pPr>
        <w:pStyle w:val="ListBullet"/>
      </w:pPr>
      <w:r>
        <w:t>Secrets managed through a vault/KMS, rotated without code change.</w:t>
      </w:r>
    </w:p>
    <w:p>
      <w:pPr>
        <w:pStyle w:val="ListBullet"/>
      </w:pPr>
      <w:r>
        <w:t>Strong RBAC/ABAC using role, telco scope, product scope and action.</w:t>
      </w:r>
    </w:p>
    <w:p>
      <w:pPr>
        <w:pStyle w:val="ListBullet"/>
      </w:pPr>
      <w:r>
        <w:t>MFA for privileged users; just-in-time and break-glass access controls.</w:t>
      </w:r>
    </w:p>
    <w:p>
      <w:pPr>
        <w:pStyle w:val="ListBullet"/>
      </w:pPr>
      <w:r>
        <w:t>Tamper-evident audit logs and security monitoring.</w:t>
      </w:r>
    </w:p>
    <w:p>
      <w:pPr>
        <w:pStyle w:val="ListBullet"/>
      </w:pPr>
      <w:r>
        <w:t>Tokenisation or hashing of MSISDN in analytical environments where feasible.</w:t>
      </w:r>
    </w:p>
    <w:p>
      <w:pPr>
        <w:pStyle w:val="ListBullet"/>
      </w:pPr>
      <w:r>
        <w:t>Data minimisation, retention, deletion and legal-hold controls.</w:t>
      </w:r>
    </w:p>
    <w:p>
      <w:pPr>
        <w:pStyle w:val="ListBullet"/>
      </w:pPr>
      <w:r>
        <w:t>Consent/disclosure records where required.</w:t>
      </w:r>
    </w:p>
    <w:p>
      <w:pPr>
        <w:pStyle w:val="ListBullet"/>
      </w:pPr>
      <w:r>
        <w:t>Secure SDLC, dependency scanning, SAST, DAST, penetration testing and threat modelling.</w:t>
      </w:r>
    </w:p>
    <w:p>
      <w:pPr>
        <w:pStyle w:val="ListBullet"/>
      </w:pPr>
      <w:r>
        <w:t>Fraud monitoring for credential abuse, replay, enumeration and automated request attacks.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r/>
            <w:r>
              <w:rPr>
                <w:b/>
                <w:color w:val="FFFFFF"/>
                <w:sz w:val="16"/>
              </w:rPr>
              <w:t>ID</w:t>
            </w:r>
          </w:p>
        </w:tc>
        <w:tc>
          <w:tcPr>
            <w:tcW w:type="dxa" w:w="2045"/>
            <w:vAlign w:val="center"/>
            <w:shd w:fill="17365D"/>
          </w:tcPr>
          <w:p>
            <w:r/>
            <w:r>
              <w:rPr>
                <w:b/>
                <w:color w:val="FFFFFF"/>
                <w:sz w:val="16"/>
              </w:rPr>
              <w:t>Requirement</w:t>
            </w:r>
          </w:p>
        </w:tc>
        <w:tc>
          <w:tcPr>
            <w:tcW w:type="dxa" w:w="2045"/>
            <w:vAlign w:val="center"/>
            <w:shd w:fill="17365D"/>
          </w:tcPr>
          <w:p>
            <w:r/>
            <w:r>
              <w:rPr>
                <w:b/>
                <w:color w:val="FFFFFF"/>
                <w:sz w:val="16"/>
              </w:rPr>
              <w:t>Priority</w:t>
            </w:r>
          </w:p>
        </w:tc>
        <w:tc>
          <w:tcPr>
            <w:tcW w:type="dxa" w:w="2045"/>
            <w:vAlign w:val="center"/>
            <w:shd w:fill="17365D"/>
          </w:tcPr>
          <w:p>
            <w:r/>
            <w:r>
              <w:rPr>
                <w:b/>
                <w:color w:val="FFFFFF"/>
                <w:sz w:val="16"/>
              </w:rPr>
              <w:t>Acceptance Evidence</w:t>
            </w:r>
          </w:p>
        </w:tc>
        <w:tc>
          <w:tcPr>
            <w:tcW w:type="dxa" w:w="2045"/>
            <w:vAlign w:val="center"/>
            <w:shd w:fill="17365D"/>
          </w:tcPr>
          <w:p>
            <w:r/>
            <w:r>
              <w:rPr>
                <w:b/>
                <w:color w:val="FFFFFF"/>
                <w:sz w:val="16"/>
              </w:rPr>
              <w:t>Configurable?</w:t>
            </w:r>
          </w:p>
        </w:tc>
      </w:tr>
      <w:tr>
        <w:tc>
          <w:tcPr>
            <w:tcW w:type="dxa" w:w="2045"/>
            <w:vAlign w:val="center"/>
          </w:tcPr>
          <w:p>
            <w:r/>
            <w:r>
              <w:rPr>
                <w:b w:val="0"/>
                <w:sz w:val="16"/>
              </w:rPr>
              <w:t>SEC-001</w:t>
            </w:r>
          </w:p>
        </w:tc>
        <w:tc>
          <w:tcPr>
            <w:tcW w:type="dxa" w:w="2045"/>
            <w:vAlign w:val="center"/>
          </w:tcPr>
          <w:p>
            <w:r/>
            <w:r>
              <w:rPr>
                <w:b w:val="0"/>
                <w:sz w:val="16"/>
              </w:rPr>
              <w:t>Cross-tenant data access shall be prevented at API, service and database layers.</w:t>
            </w:r>
          </w:p>
        </w:tc>
        <w:tc>
          <w:tcPr>
            <w:tcW w:type="dxa" w:w="2045"/>
            <w:vAlign w:val="center"/>
          </w:tcPr>
          <w:p>
            <w:r/>
            <w:r>
              <w:rPr>
                <w:b w:val="0"/>
                <w:sz w:val="16"/>
              </w:rPr>
              <w:t>Must</w:t>
            </w:r>
          </w:p>
        </w:tc>
        <w:tc>
          <w:tcPr>
            <w:tcW w:type="dxa" w:w="2045"/>
            <w:vAlign w:val="center"/>
          </w:tcPr>
          <w:p>
            <w:r/>
            <w:r>
              <w:rPr>
                <w:b w:val="0"/>
                <w:sz w:val="16"/>
              </w:rPr>
              <w:t>Penetration and RLS tests.</w:t>
            </w:r>
          </w:p>
        </w:tc>
        <w:tc>
          <w:tcPr>
            <w:tcW w:type="dxa" w:w="2045"/>
            <w:vAlign w:val="center"/>
          </w:tcPr>
          <w:p>
            <w:r/>
            <w:r>
              <w:rPr>
                <w:b w:val="0"/>
                <w:sz w:val="16"/>
              </w:rPr>
              <w:t>No</w:t>
            </w:r>
          </w:p>
        </w:tc>
      </w:tr>
      <w:tr>
        <w:tc>
          <w:tcPr>
            <w:tcW w:type="dxa" w:w="2045"/>
            <w:vAlign w:val="center"/>
          </w:tcPr>
          <w:p>
            <w:r/>
            <w:r>
              <w:rPr>
                <w:b w:val="0"/>
                <w:sz w:val="16"/>
              </w:rPr>
              <w:t>SEC-002</w:t>
            </w:r>
          </w:p>
        </w:tc>
        <w:tc>
          <w:tcPr>
            <w:tcW w:type="dxa" w:w="2045"/>
            <w:vAlign w:val="center"/>
          </w:tcPr>
          <w:p>
            <w:r/>
            <w:r>
              <w:rPr>
                <w:b w:val="0"/>
                <w:sz w:val="16"/>
              </w:rPr>
              <w:t>Privileged configuration changes shall be signed, approved and audited.</w:t>
            </w:r>
          </w:p>
        </w:tc>
        <w:tc>
          <w:tcPr>
            <w:tcW w:type="dxa" w:w="2045"/>
            <w:vAlign w:val="center"/>
          </w:tcPr>
          <w:p>
            <w:r/>
            <w:r>
              <w:rPr>
                <w:b w:val="0"/>
                <w:sz w:val="16"/>
              </w:rPr>
              <w:t>Must</w:t>
            </w:r>
          </w:p>
        </w:tc>
        <w:tc>
          <w:tcPr>
            <w:tcW w:type="dxa" w:w="2045"/>
            <w:vAlign w:val="center"/>
          </w:tcPr>
          <w:p>
            <w:r/>
            <w:r>
              <w:rPr>
                <w:b w:val="0"/>
                <w:sz w:val="16"/>
              </w:rPr>
              <w:t>Audit test.</w:t>
            </w:r>
          </w:p>
        </w:tc>
        <w:tc>
          <w:tcPr>
            <w:tcW w:type="dxa" w:w="2045"/>
            <w:vAlign w:val="center"/>
          </w:tcPr>
          <w:p>
            <w:r/>
            <w:r>
              <w:rPr>
                <w:b w:val="0"/>
                <w:sz w:val="16"/>
              </w:rPr>
              <w:t>No</w:t>
            </w:r>
          </w:p>
        </w:tc>
      </w:tr>
      <w:tr>
        <w:tc>
          <w:tcPr>
            <w:tcW w:type="dxa" w:w="2045"/>
            <w:vAlign w:val="center"/>
          </w:tcPr>
          <w:p>
            <w:r/>
            <w:r>
              <w:rPr>
                <w:b w:val="0"/>
                <w:sz w:val="16"/>
              </w:rPr>
              <w:t>SEC-003</w:t>
            </w:r>
          </w:p>
        </w:tc>
        <w:tc>
          <w:tcPr>
            <w:tcW w:type="dxa" w:w="2045"/>
            <w:vAlign w:val="center"/>
          </w:tcPr>
          <w:p>
            <w:r/>
            <w:r>
              <w:rPr>
                <w:b w:val="0"/>
                <w:sz w:val="16"/>
              </w:rPr>
              <w:t>Logs shall not contain raw secrets, full NIN or unmasked sensitive fields.</w:t>
            </w:r>
          </w:p>
        </w:tc>
        <w:tc>
          <w:tcPr>
            <w:tcW w:type="dxa" w:w="2045"/>
            <w:vAlign w:val="center"/>
          </w:tcPr>
          <w:p>
            <w:r/>
            <w:r>
              <w:rPr>
                <w:b w:val="0"/>
                <w:sz w:val="16"/>
              </w:rPr>
              <w:t>Must</w:t>
            </w:r>
          </w:p>
        </w:tc>
        <w:tc>
          <w:tcPr>
            <w:tcW w:type="dxa" w:w="2045"/>
            <w:vAlign w:val="center"/>
          </w:tcPr>
          <w:p>
            <w:r/>
            <w:r>
              <w:rPr>
                <w:b w:val="0"/>
                <w:sz w:val="16"/>
              </w:rPr>
              <w:t>Log scan.</w:t>
            </w:r>
          </w:p>
        </w:tc>
        <w:tc>
          <w:tcPr>
            <w:tcW w:type="dxa" w:w="2045"/>
            <w:vAlign w:val="center"/>
          </w:tcPr>
          <w:p>
            <w:r/>
            <w:r>
              <w:rPr>
                <w:b w:val="0"/>
                <w:sz w:val="16"/>
              </w:rPr>
              <w:t>No</w:t>
            </w:r>
          </w:p>
        </w:tc>
      </w:tr>
      <w:tr>
        <w:tc>
          <w:tcPr>
            <w:tcW w:type="dxa" w:w="2045"/>
            <w:vAlign w:val="center"/>
          </w:tcPr>
          <w:p>
            <w:r/>
            <w:r>
              <w:rPr>
                <w:b w:val="0"/>
                <w:sz w:val="16"/>
              </w:rPr>
              <w:t>SEC-004</w:t>
            </w:r>
          </w:p>
        </w:tc>
        <w:tc>
          <w:tcPr>
            <w:tcW w:type="dxa" w:w="2045"/>
            <w:vAlign w:val="center"/>
          </w:tcPr>
          <w:p>
            <w:r/>
            <w:r>
              <w:rPr>
                <w:b w:val="0"/>
                <w:sz w:val="16"/>
              </w:rPr>
              <w:t>The platform shall support configurable retention by data class and tenant within legal constraints.</w:t>
            </w:r>
          </w:p>
        </w:tc>
        <w:tc>
          <w:tcPr>
            <w:tcW w:type="dxa" w:w="2045"/>
            <w:vAlign w:val="center"/>
          </w:tcPr>
          <w:p>
            <w:r/>
            <w:r>
              <w:rPr>
                <w:b w:val="0"/>
                <w:sz w:val="16"/>
              </w:rPr>
              <w:t>Must</w:t>
            </w:r>
          </w:p>
        </w:tc>
        <w:tc>
          <w:tcPr>
            <w:tcW w:type="dxa" w:w="2045"/>
            <w:vAlign w:val="center"/>
          </w:tcPr>
          <w:p>
            <w:r/>
            <w:r>
              <w:rPr>
                <w:b w:val="0"/>
                <w:sz w:val="16"/>
              </w:rPr>
              <w:t>Retention test.</w:t>
            </w:r>
          </w:p>
        </w:tc>
        <w:tc>
          <w:tcPr>
            <w:tcW w:type="dxa" w:w="2045"/>
            <w:vAlign w:val="center"/>
          </w:tcPr>
          <w:p>
            <w:r/>
            <w:r>
              <w:rPr>
                <w:b w:val="0"/>
                <w:sz w:val="16"/>
              </w:rPr>
              <w:t>Yes</w:t>
            </w:r>
          </w:p>
        </w:tc>
      </w:tr>
      <w:tr>
        <w:tc>
          <w:tcPr>
            <w:tcW w:type="dxa" w:w="2045"/>
            <w:vAlign w:val="center"/>
          </w:tcPr>
          <w:p>
            <w:r/>
            <w:r>
              <w:rPr>
                <w:b w:val="0"/>
                <w:sz w:val="16"/>
              </w:rPr>
              <w:t>SEC-005</w:t>
            </w:r>
          </w:p>
        </w:tc>
        <w:tc>
          <w:tcPr>
            <w:tcW w:type="dxa" w:w="2045"/>
            <w:vAlign w:val="center"/>
          </w:tcPr>
          <w:p>
            <w:r/>
            <w:r>
              <w:rPr>
                <w:b w:val="0"/>
                <w:sz w:val="16"/>
              </w:rPr>
              <w:t>Security incidents shall be isolatable by telco without shutting the entire platform where safe.</w:t>
            </w:r>
          </w:p>
        </w:tc>
        <w:tc>
          <w:tcPr>
            <w:tcW w:type="dxa" w:w="2045"/>
            <w:vAlign w:val="center"/>
          </w:tcPr>
          <w:p>
            <w:r/>
            <w:r>
              <w:rPr>
                <w:b w:val="0"/>
                <w:sz w:val="16"/>
              </w:rPr>
              <w:t>Should</w:t>
            </w:r>
          </w:p>
        </w:tc>
        <w:tc>
          <w:tcPr>
            <w:tcW w:type="dxa" w:w="2045"/>
            <w:vAlign w:val="center"/>
          </w:tcPr>
          <w:p>
            <w:r/>
            <w:r>
              <w:rPr>
                <w:b w:val="0"/>
                <w:sz w:val="16"/>
              </w:rPr>
              <w:t>Incident drill.</w:t>
            </w:r>
          </w:p>
        </w:tc>
        <w:tc>
          <w:tcPr>
            <w:tcW w:type="dxa" w:w="2045"/>
            <w:vAlign w:val="center"/>
          </w:tcPr>
          <w:p>
            <w:r/>
            <w:r>
              <w:rPr>
                <w:b w:val="0"/>
                <w:sz w:val="16"/>
              </w:rPr>
              <w:t>Partly</w:t>
            </w:r>
          </w:p>
        </w:tc>
      </w:tr>
    </w:tbl>
    <w:p/>
    <w:p>
      <w:pPr>
        <w:pStyle w:val="Heading1"/>
        <w:pageBreakBefore/>
      </w:pPr>
      <w:r>
        <w:t>20. Observability and Operational Resilience</w:t>
      </w:r>
    </w:p>
    <w:p>
      <w:pPr>
        <w:pStyle w:val="ListBullet"/>
      </w:pPr>
      <w:r>
        <w:t>Distributed tracing using correlation IDs spanning telco gateway, decision, fulfilment, ledger and notification.</w:t>
      </w:r>
    </w:p>
    <w:p>
      <w:pPr>
        <w:pStyle w:val="ListBullet"/>
      </w:pPr>
      <w:r>
        <w:t>Metrics by telco, product, channel, adapter and status.</w:t>
      </w:r>
    </w:p>
    <w:p>
      <w:pPr>
        <w:pStyle w:val="ListBullet"/>
      </w:pPr>
      <w:r>
        <w:t>Structured logs with masking and traceability.</w:t>
      </w:r>
    </w:p>
    <w:p>
      <w:pPr>
        <w:pStyle w:val="ListBullet"/>
      </w:pPr>
      <w:r>
        <w:t>Business controls: approvals, fulfilments, recoveries, exposure, settlement variance and reconciliation ageing.</w:t>
      </w:r>
    </w:p>
    <w:p>
      <w:pPr>
        <w:pStyle w:val="ListBullet"/>
      </w:pPr>
      <w:r>
        <w:t>Technical controls: latency, error rate, queue lag, retry rate, circuit-breaker state, saturation and database health.</w:t>
      </w:r>
    </w:p>
    <w:p>
      <w:pPr>
        <w:pStyle w:val="ListBullet"/>
      </w:pPr>
      <w:r>
        <w:t>Synthetic probes for telco endpoints and internal critical paths.</w:t>
      </w:r>
    </w:p>
    <w:p>
      <w:pPr>
        <w:pStyle w:val="ListBullet"/>
      </w:pPr>
      <w:r>
        <w:t>Runbooks for telco outage, batch failure, unknown fulfilment, ledger imbalance, queue backlog, data corruption and cyber incident.</w:t>
      </w:r>
    </w:p>
    <w:p>
      <w:pPr>
        <w:pStyle w:val="ListBullet"/>
      </w:pPr>
      <w:r>
        <w:t>Regular disaster-recovery and reconciliation-rebuild exercises.</w:t>
      </w:r>
    </w:p>
    <w:p>
      <w:pPr>
        <w:pStyle w:val="Heading1"/>
        <w:pageBreakBefore/>
      </w:pPr>
      <w:r>
        <w:t>21. Edge Cases and Required Behaviour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6"/>
              </w:rPr>
              <w:t>Scenario</w:t>
            </w:r>
          </w:p>
        </w:tc>
        <w:tc>
          <w:tcPr>
            <w:tcW w:type="dxa" w:w="3408"/>
            <w:vAlign w:val="center"/>
            <w:shd w:fill="1F4E78"/>
          </w:tcPr>
          <w:p>
            <w:r/>
            <w:r>
              <w:rPr>
                <w:b/>
                <w:color w:val="FFFFFF"/>
                <w:sz w:val="16"/>
              </w:rPr>
              <w:t>Trigger</w:t>
            </w:r>
          </w:p>
        </w:tc>
        <w:tc>
          <w:tcPr>
            <w:tcW w:type="dxa" w:w="3408"/>
            <w:vAlign w:val="center"/>
            <w:shd w:fill="1F4E78"/>
          </w:tcPr>
          <w:p>
            <w:r/>
            <w:r>
              <w:rPr>
                <w:b/>
                <w:color w:val="FFFFFF"/>
                <w:sz w:val="16"/>
              </w:rPr>
              <w:t>Required Behaviour</w:t>
            </w:r>
          </w:p>
        </w:tc>
      </w:tr>
      <w:tr>
        <w:tc>
          <w:tcPr>
            <w:tcW w:type="dxa" w:w="3408"/>
            <w:vAlign w:val="center"/>
          </w:tcPr>
          <w:p>
            <w:r/>
            <w:r>
              <w:rPr>
                <w:b w:val="0"/>
                <w:sz w:val="16"/>
              </w:rPr>
              <w:t>Duplicate advance request</w:t>
            </w:r>
          </w:p>
        </w:tc>
        <w:tc>
          <w:tcPr>
            <w:tcW w:type="dxa" w:w="3408"/>
            <w:vAlign w:val="center"/>
          </w:tcPr>
          <w:p>
            <w:r/>
            <w:r>
              <w:rPr>
                <w:b w:val="0"/>
                <w:sz w:val="16"/>
              </w:rPr>
              <w:t>Same request ID replayed</w:t>
            </w:r>
          </w:p>
        </w:tc>
        <w:tc>
          <w:tcPr>
            <w:tcW w:type="dxa" w:w="3408"/>
            <w:vAlign w:val="center"/>
          </w:tcPr>
          <w:p>
            <w:r/>
            <w:r>
              <w:rPr>
                <w:b w:val="0"/>
                <w:sz w:val="16"/>
              </w:rPr>
              <w:t>Return original result; do not create second reservation/advance.</w:t>
            </w:r>
          </w:p>
        </w:tc>
      </w:tr>
      <w:tr>
        <w:tc>
          <w:tcPr>
            <w:tcW w:type="dxa" w:w="3408"/>
            <w:vAlign w:val="center"/>
          </w:tcPr>
          <w:p>
            <w:r/>
            <w:r>
              <w:rPr>
                <w:b w:val="0"/>
                <w:sz w:val="16"/>
              </w:rPr>
              <w:t>Concurrent requests</w:t>
            </w:r>
          </w:p>
        </w:tc>
        <w:tc>
          <w:tcPr>
            <w:tcW w:type="dxa" w:w="3408"/>
            <w:vAlign w:val="center"/>
          </w:tcPr>
          <w:p>
            <w:r/>
            <w:r>
              <w:rPr>
                <w:b w:val="0"/>
                <w:sz w:val="16"/>
              </w:rPr>
              <w:t>Two channels request simultaneously</w:t>
            </w:r>
          </w:p>
        </w:tc>
        <w:tc>
          <w:tcPr>
            <w:tcW w:type="dxa" w:w="3408"/>
            <w:vAlign w:val="center"/>
          </w:tcPr>
          <w:p>
            <w:r/>
            <w:r>
              <w:rPr>
                <w:b w:val="0"/>
                <w:sz w:val="16"/>
              </w:rPr>
              <w:t>Serialize or atomically reserve exposure; total cannot exceed limit.</w:t>
            </w:r>
          </w:p>
        </w:tc>
      </w:tr>
      <w:tr>
        <w:tc>
          <w:tcPr>
            <w:tcW w:type="dxa" w:w="3408"/>
            <w:vAlign w:val="center"/>
          </w:tcPr>
          <w:p>
            <w:r/>
            <w:r>
              <w:rPr>
                <w:b w:val="0"/>
                <w:sz w:val="16"/>
              </w:rPr>
              <w:t>Telco timeout after credit</w:t>
            </w:r>
          </w:p>
        </w:tc>
        <w:tc>
          <w:tcPr>
            <w:tcW w:type="dxa" w:w="3408"/>
            <w:vAlign w:val="center"/>
          </w:tcPr>
          <w:p>
            <w:r/>
            <w:r>
              <w:rPr>
                <w:b w:val="0"/>
                <w:sz w:val="16"/>
              </w:rPr>
              <w:t>Platform does not receive response</w:t>
            </w:r>
          </w:p>
        </w:tc>
        <w:tc>
          <w:tcPr>
            <w:tcW w:type="dxa" w:w="3408"/>
            <w:vAlign w:val="center"/>
          </w:tcPr>
          <w:p>
            <w:r/>
            <w:r>
              <w:rPr>
                <w:b w:val="0"/>
                <w:sz w:val="16"/>
              </w:rPr>
              <w:t>Mark FULFILMENT_UNKNOWN; query status/reconcile before retry.</w:t>
            </w:r>
          </w:p>
        </w:tc>
      </w:tr>
      <w:tr>
        <w:tc>
          <w:tcPr>
            <w:tcW w:type="dxa" w:w="3408"/>
            <w:vAlign w:val="center"/>
          </w:tcPr>
          <w:p>
            <w:r/>
            <w:r>
              <w:rPr>
                <w:b w:val="0"/>
                <w:sz w:val="16"/>
              </w:rPr>
              <w:t>Platform crash after telco success</w:t>
            </w:r>
          </w:p>
        </w:tc>
        <w:tc>
          <w:tcPr>
            <w:tcW w:type="dxa" w:w="3408"/>
            <w:vAlign w:val="center"/>
          </w:tcPr>
          <w:p>
            <w:r/>
            <w:r>
              <w:rPr>
                <w:b w:val="0"/>
                <w:sz w:val="16"/>
              </w:rPr>
              <w:t>Credit succeeded before local activation</w:t>
            </w:r>
          </w:p>
        </w:tc>
        <w:tc>
          <w:tcPr>
            <w:tcW w:type="dxa" w:w="3408"/>
            <w:vAlign w:val="center"/>
          </w:tcPr>
          <w:p>
            <w:r/>
            <w:r>
              <w:rPr>
                <w:b w:val="0"/>
                <w:sz w:val="16"/>
              </w:rPr>
              <w:t>Recover via outbox/inbox/reconciliation; activate exactly once.</w:t>
            </w:r>
          </w:p>
        </w:tc>
      </w:tr>
      <w:tr>
        <w:tc>
          <w:tcPr>
            <w:tcW w:type="dxa" w:w="3408"/>
            <w:vAlign w:val="center"/>
          </w:tcPr>
          <w:p>
            <w:r/>
            <w:r>
              <w:rPr>
                <w:b w:val="0"/>
                <w:sz w:val="16"/>
              </w:rPr>
              <w:t>Platform approves but telco rejects</w:t>
            </w:r>
          </w:p>
        </w:tc>
        <w:tc>
          <w:tcPr>
            <w:tcW w:type="dxa" w:w="3408"/>
            <w:vAlign w:val="center"/>
          </w:tcPr>
          <w:p>
            <w:r/>
            <w:r>
              <w:rPr>
                <w:b w:val="0"/>
                <w:sz w:val="16"/>
              </w:rPr>
              <w:t>No airtime/data delivered</w:t>
            </w:r>
          </w:p>
        </w:tc>
        <w:tc>
          <w:tcPr>
            <w:tcW w:type="dxa" w:w="3408"/>
            <w:vAlign w:val="center"/>
          </w:tcPr>
          <w:p>
            <w:r/>
            <w:r>
              <w:rPr>
                <w:b w:val="0"/>
                <w:sz w:val="16"/>
              </w:rPr>
              <w:t>Mark failed, reverse reservation and provisional entries.</w:t>
            </w:r>
          </w:p>
        </w:tc>
      </w:tr>
      <w:tr>
        <w:tc>
          <w:tcPr>
            <w:tcW w:type="dxa" w:w="3408"/>
            <w:vAlign w:val="center"/>
          </w:tcPr>
          <w:p>
            <w:r/>
            <w:r>
              <w:rPr>
                <w:b w:val="0"/>
                <w:sz w:val="16"/>
              </w:rPr>
              <w:t>Partial fulfilment</w:t>
            </w:r>
          </w:p>
        </w:tc>
        <w:tc>
          <w:tcPr>
            <w:tcW w:type="dxa" w:w="3408"/>
            <w:vAlign w:val="center"/>
          </w:tcPr>
          <w:p>
            <w:r/>
            <w:r>
              <w:rPr>
                <w:b w:val="0"/>
                <w:sz w:val="16"/>
              </w:rPr>
              <w:t>Telco delivers different amount</w:t>
            </w:r>
          </w:p>
        </w:tc>
        <w:tc>
          <w:tcPr>
            <w:tcW w:type="dxa" w:w="3408"/>
            <w:vAlign w:val="center"/>
          </w:tcPr>
          <w:p>
            <w:r/>
            <w:r>
              <w:rPr>
                <w:b w:val="0"/>
                <w:sz w:val="16"/>
              </w:rPr>
              <w:t>Quarantine; either recognise actual amount under approved rule or reverse/correct.</w:t>
            </w:r>
          </w:p>
        </w:tc>
      </w:tr>
      <w:tr>
        <w:tc>
          <w:tcPr>
            <w:tcW w:type="dxa" w:w="3408"/>
            <w:vAlign w:val="center"/>
          </w:tcPr>
          <w:p>
            <w:r/>
            <w:r>
              <w:rPr>
                <w:b w:val="0"/>
                <w:sz w:val="16"/>
              </w:rPr>
              <w:t>Duplicate recovery event</w:t>
            </w:r>
          </w:p>
        </w:tc>
        <w:tc>
          <w:tcPr>
            <w:tcW w:type="dxa" w:w="3408"/>
            <w:vAlign w:val="center"/>
          </w:tcPr>
          <w:p>
            <w:r/>
            <w:r>
              <w:rPr>
                <w:b w:val="0"/>
                <w:sz w:val="16"/>
              </w:rPr>
              <w:t>Telco replays recharge deduction</w:t>
            </w:r>
          </w:p>
        </w:tc>
        <w:tc>
          <w:tcPr>
            <w:tcW w:type="dxa" w:w="3408"/>
            <w:vAlign w:val="center"/>
          </w:tcPr>
          <w:p>
            <w:r/>
            <w:r>
              <w:rPr>
                <w:b w:val="0"/>
                <w:sz w:val="16"/>
              </w:rPr>
              <w:t>Idempotency prevents double repayment.</w:t>
            </w:r>
          </w:p>
        </w:tc>
      </w:tr>
      <w:tr>
        <w:tc>
          <w:tcPr>
            <w:tcW w:type="dxa" w:w="3408"/>
            <w:vAlign w:val="center"/>
          </w:tcPr>
          <w:p>
            <w:r/>
            <w:r>
              <w:rPr>
                <w:b w:val="0"/>
                <w:sz w:val="16"/>
              </w:rPr>
              <w:t>Out-of-order recovery/reversal</w:t>
            </w:r>
          </w:p>
        </w:tc>
        <w:tc>
          <w:tcPr>
            <w:tcW w:type="dxa" w:w="3408"/>
            <w:vAlign w:val="center"/>
          </w:tcPr>
          <w:p>
            <w:r/>
            <w:r>
              <w:rPr>
                <w:b w:val="0"/>
                <w:sz w:val="16"/>
              </w:rPr>
              <w:t>Reversal arrives first</w:t>
            </w:r>
          </w:p>
        </w:tc>
        <w:tc>
          <w:tcPr>
            <w:tcW w:type="dxa" w:w="3408"/>
            <w:vAlign w:val="center"/>
          </w:tcPr>
          <w:p>
            <w:r/>
            <w:r>
              <w:rPr>
                <w:b w:val="0"/>
                <w:sz w:val="16"/>
              </w:rPr>
              <w:t>Park until original arrives or resolve through exception process.</w:t>
            </w:r>
          </w:p>
        </w:tc>
      </w:tr>
      <w:tr>
        <w:tc>
          <w:tcPr>
            <w:tcW w:type="dxa" w:w="3408"/>
            <w:vAlign w:val="center"/>
          </w:tcPr>
          <w:p>
            <w:r/>
            <w:r>
              <w:rPr>
                <w:b w:val="0"/>
                <w:sz w:val="16"/>
              </w:rPr>
              <w:t>Recovery exceeds outstanding</w:t>
            </w:r>
          </w:p>
        </w:tc>
        <w:tc>
          <w:tcPr>
            <w:tcW w:type="dxa" w:w="3408"/>
            <w:vAlign w:val="center"/>
          </w:tcPr>
          <w:p>
            <w:r/>
            <w:r>
              <w:rPr>
                <w:b w:val="0"/>
                <w:sz w:val="16"/>
              </w:rPr>
              <w:t>Overpayment</w:t>
            </w:r>
          </w:p>
        </w:tc>
        <w:tc>
          <w:tcPr>
            <w:tcW w:type="dxa" w:w="3408"/>
            <w:vAlign w:val="center"/>
          </w:tcPr>
          <w:p>
            <w:r/>
            <w:r>
              <w:rPr>
                <w:b w:val="0"/>
                <w:sz w:val="16"/>
              </w:rPr>
              <w:t>Cap allocation; create unapplied item/refund/credit according to policy.</w:t>
            </w:r>
          </w:p>
        </w:tc>
      </w:tr>
      <w:tr>
        <w:tc>
          <w:tcPr>
            <w:tcW w:type="dxa" w:w="3408"/>
            <w:vAlign w:val="center"/>
          </w:tcPr>
          <w:p>
            <w:r/>
            <w:r>
              <w:rPr>
                <w:b w:val="0"/>
                <w:sz w:val="16"/>
              </w:rPr>
              <w:t>Recharge reversal after repayment</w:t>
            </w:r>
          </w:p>
        </w:tc>
        <w:tc>
          <w:tcPr>
            <w:tcW w:type="dxa" w:w="3408"/>
            <w:vAlign w:val="center"/>
          </w:tcPr>
          <w:p>
            <w:r/>
            <w:r>
              <w:rPr>
                <w:b w:val="0"/>
                <w:sz w:val="16"/>
              </w:rPr>
              <w:t>Previously recovered value reversed</w:t>
            </w:r>
          </w:p>
        </w:tc>
        <w:tc>
          <w:tcPr>
            <w:tcW w:type="dxa" w:w="3408"/>
            <w:vAlign w:val="center"/>
          </w:tcPr>
          <w:p>
            <w:r/>
            <w:r>
              <w:rPr>
                <w:b w:val="0"/>
                <w:sz w:val="16"/>
              </w:rPr>
              <w:t>Reverse allocation and reopen exposure.</w:t>
            </w:r>
          </w:p>
        </w:tc>
      </w:tr>
      <w:tr>
        <w:tc>
          <w:tcPr>
            <w:tcW w:type="dxa" w:w="3408"/>
            <w:vAlign w:val="center"/>
          </w:tcPr>
          <w:p>
            <w:r/>
            <w:r>
              <w:rPr>
                <w:b w:val="0"/>
                <w:sz w:val="16"/>
              </w:rPr>
              <w:t>SIM swap after score</w:t>
            </w:r>
          </w:p>
        </w:tc>
        <w:tc>
          <w:tcPr>
            <w:tcW w:type="dxa" w:w="3408"/>
            <w:vAlign w:val="center"/>
          </w:tcPr>
          <w:p>
            <w:r/>
            <w:r>
              <w:rPr>
                <w:b w:val="0"/>
                <w:sz w:val="16"/>
              </w:rPr>
              <w:t>Risk changes before borrow</w:t>
            </w:r>
          </w:p>
        </w:tc>
        <w:tc>
          <w:tcPr>
            <w:tcW w:type="dxa" w:w="3408"/>
            <w:vAlign w:val="center"/>
          </w:tcPr>
          <w:p>
            <w:r/>
            <w:r>
              <w:rPr>
                <w:b w:val="0"/>
                <w:sz w:val="16"/>
              </w:rPr>
              <w:t>Real-time overlay blocks/reduces offer for configured cooling period.</w:t>
            </w:r>
          </w:p>
        </w:tc>
      </w:tr>
      <w:tr>
        <w:tc>
          <w:tcPr>
            <w:tcW w:type="dxa" w:w="3408"/>
            <w:vAlign w:val="center"/>
          </w:tcPr>
          <w:p>
            <w:r/>
            <w:r>
              <w:rPr>
                <w:b w:val="0"/>
                <w:sz w:val="16"/>
              </w:rPr>
              <w:t>NIN flag changes to unverified</w:t>
            </w:r>
          </w:p>
        </w:tc>
        <w:tc>
          <w:tcPr>
            <w:tcW w:type="dxa" w:w="3408"/>
            <w:vAlign w:val="center"/>
          </w:tcPr>
          <w:p>
            <w:r/>
            <w:r>
              <w:rPr>
                <w:b w:val="0"/>
                <w:sz w:val="16"/>
              </w:rPr>
              <w:t>Eligibility lost</w:t>
            </w:r>
          </w:p>
        </w:tc>
        <w:tc>
          <w:tcPr>
            <w:tcW w:type="dxa" w:w="3408"/>
            <w:vAlign w:val="center"/>
          </w:tcPr>
          <w:p>
            <w:r/>
            <w:r>
              <w:rPr>
                <w:b w:val="0"/>
                <w:sz w:val="16"/>
              </w:rPr>
              <w:t>Block new advances; existing obligations remain recoverable.</w:t>
            </w:r>
          </w:p>
        </w:tc>
      </w:tr>
      <w:tr>
        <w:tc>
          <w:tcPr>
            <w:tcW w:type="dxa" w:w="3408"/>
            <w:vAlign w:val="center"/>
          </w:tcPr>
          <w:p>
            <w:r/>
            <w:r>
              <w:rPr>
                <w:b w:val="0"/>
                <w:sz w:val="16"/>
              </w:rPr>
              <w:t>Number porting</w:t>
            </w:r>
          </w:p>
        </w:tc>
        <w:tc>
          <w:tcPr>
            <w:tcW w:type="dxa" w:w="3408"/>
            <w:vAlign w:val="center"/>
          </w:tcPr>
          <w:p>
            <w:r/>
            <w:r>
              <w:rPr>
                <w:b w:val="0"/>
                <w:sz w:val="16"/>
              </w:rPr>
              <w:t>MSISDN moves operator</w:t>
            </w:r>
          </w:p>
        </w:tc>
        <w:tc>
          <w:tcPr>
            <w:tcW w:type="dxa" w:w="3408"/>
            <w:vAlign w:val="center"/>
          </w:tcPr>
          <w:p>
            <w:r/>
            <w:r>
              <w:rPr>
                <w:b w:val="0"/>
                <w:sz w:val="16"/>
              </w:rPr>
              <w:t>Close old telco service account, preserve history, create new telco account; no cross-tenant assumption.</w:t>
            </w:r>
          </w:p>
        </w:tc>
      </w:tr>
      <w:tr>
        <w:tc>
          <w:tcPr>
            <w:tcW w:type="dxa" w:w="3408"/>
            <w:vAlign w:val="center"/>
          </w:tcPr>
          <w:p>
            <w:r/>
            <w:r>
              <w:rPr>
                <w:b w:val="0"/>
                <w:sz w:val="16"/>
              </w:rPr>
              <w:t>MSISDN recycled</w:t>
            </w:r>
          </w:p>
        </w:tc>
        <w:tc>
          <w:tcPr>
            <w:tcW w:type="dxa" w:w="3408"/>
            <w:vAlign w:val="center"/>
          </w:tcPr>
          <w:p>
            <w:r/>
            <w:r>
              <w:rPr>
                <w:b w:val="0"/>
                <w:sz w:val="16"/>
              </w:rPr>
              <w:t>Number assigned to new person</w:t>
            </w:r>
          </w:p>
        </w:tc>
        <w:tc>
          <w:tcPr>
            <w:tcW w:type="dxa" w:w="3408"/>
            <w:vAlign w:val="center"/>
          </w:tcPr>
          <w:p>
            <w:r/>
            <w:r>
              <w:rPr>
                <w:b w:val="0"/>
                <w:sz w:val="16"/>
              </w:rPr>
              <w:t>Use telco effective dates/identity confidence; do not expose predecessor history.</w:t>
            </w:r>
          </w:p>
        </w:tc>
      </w:tr>
      <w:tr>
        <w:tc>
          <w:tcPr>
            <w:tcW w:type="dxa" w:w="3408"/>
            <w:vAlign w:val="center"/>
          </w:tcPr>
          <w:p>
            <w:r/>
            <w:r>
              <w:rPr>
                <w:b w:val="0"/>
                <w:sz w:val="16"/>
              </w:rPr>
              <w:t>One-off large recharge</w:t>
            </w:r>
          </w:p>
        </w:tc>
        <w:tc>
          <w:tcPr>
            <w:tcW w:type="dxa" w:w="3408"/>
            <w:vAlign w:val="center"/>
          </w:tcPr>
          <w:p>
            <w:r/>
            <w:r>
              <w:rPr>
                <w:b w:val="0"/>
                <w:sz w:val="16"/>
              </w:rPr>
              <w:t>Attempt to game limit</w:t>
            </w:r>
          </w:p>
        </w:tc>
        <w:tc>
          <w:tcPr>
            <w:tcW w:type="dxa" w:w="3408"/>
            <w:vAlign w:val="center"/>
          </w:tcPr>
          <w:p>
            <w:r/>
            <w:r>
              <w:rPr>
                <w:b w:val="0"/>
                <w:sz w:val="16"/>
              </w:rPr>
              <w:t>Spike discounted; max upward movement one configured tier.</w:t>
            </w:r>
          </w:p>
        </w:tc>
      </w:tr>
      <w:tr>
        <w:tc>
          <w:tcPr>
            <w:tcW w:type="dxa" w:w="3408"/>
            <w:vAlign w:val="center"/>
          </w:tcPr>
          <w:p>
            <w:r/>
            <w:r>
              <w:rPr>
                <w:b w:val="0"/>
                <w:sz w:val="16"/>
              </w:rPr>
              <w:t>Stale score</w:t>
            </w:r>
          </w:p>
        </w:tc>
        <w:tc>
          <w:tcPr>
            <w:tcW w:type="dxa" w:w="3408"/>
            <w:vAlign w:val="center"/>
          </w:tcPr>
          <w:p>
            <w:r/>
            <w:r>
              <w:rPr>
                <w:b w:val="0"/>
                <w:sz w:val="16"/>
              </w:rPr>
              <w:t>Batch delayed</w:t>
            </w:r>
          </w:p>
        </w:tc>
        <w:tc>
          <w:tcPr>
            <w:tcW w:type="dxa" w:w="3408"/>
            <w:vAlign w:val="center"/>
          </w:tcPr>
          <w:p>
            <w:r/>
            <w:r>
              <w:rPr>
                <w:b w:val="0"/>
                <w:sz w:val="16"/>
              </w:rPr>
              <w:t>Apply score-age policy: allow conservative offer, re-score or decline safely.</w:t>
            </w:r>
          </w:p>
        </w:tc>
      </w:tr>
      <w:tr>
        <w:tc>
          <w:tcPr>
            <w:tcW w:type="dxa" w:w="3408"/>
            <w:vAlign w:val="center"/>
          </w:tcPr>
          <w:p>
            <w:r/>
            <w:r>
              <w:rPr>
                <w:b w:val="0"/>
                <w:sz w:val="16"/>
              </w:rPr>
              <w:t>Missing feed fields</w:t>
            </w:r>
          </w:p>
        </w:tc>
        <w:tc>
          <w:tcPr>
            <w:tcW w:type="dxa" w:w="3408"/>
            <w:vAlign w:val="center"/>
          </w:tcPr>
          <w:p>
            <w:r/>
            <w:r>
              <w:rPr>
                <w:b w:val="0"/>
                <w:sz w:val="16"/>
              </w:rPr>
              <w:t>Partial telco data</w:t>
            </w:r>
          </w:p>
        </w:tc>
        <w:tc>
          <w:tcPr>
            <w:tcW w:type="dxa" w:w="3408"/>
            <w:vAlign w:val="center"/>
          </w:tcPr>
          <w:p>
            <w:r/>
            <w:r>
              <w:rPr>
                <w:b w:val="0"/>
                <w:sz w:val="16"/>
              </w:rPr>
              <w:t>Use approved fallback only; otherwise quarantine and protect prior valid data.</w:t>
            </w:r>
          </w:p>
        </w:tc>
      </w:tr>
      <w:tr>
        <w:tc>
          <w:tcPr>
            <w:tcW w:type="dxa" w:w="3408"/>
            <w:vAlign w:val="center"/>
          </w:tcPr>
          <w:p>
            <w:r/>
            <w:r>
              <w:rPr>
                <w:b w:val="0"/>
                <w:sz w:val="16"/>
              </w:rPr>
              <w:t>Corrupt batch file</w:t>
            </w:r>
          </w:p>
        </w:tc>
        <w:tc>
          <w:tcPr>
            <w:tcW w:type="dxa" w:w="3408"/>
            <w:vAlign w:val="center"/>
          </w:tcPr>
          <w:p>
            <w:r/>
            <w:r>
              <w:rPr>
                <w:b w:val="0"/>
                <w:sz w:val="16"/>
              </w:rPr>
              <w:t>Checksum/schema mismatch</w:t>
            </w:r>
          </w:p>
        </w:tc>
        <w:tc>
          <w:tcPr>
            <w:tcW w:type="dxa" w:w="3408"/>
            <w:vAlign w:val="center"/>
          </w:tcPr>
          <w:p>
            <w:r/>
            <w:r>
              <w:rPr>
                <w:b w:val="0"/>
                <w:sz w:val="16"/>
              </w:rPr>
              <w:t>Reject whole file or safe partition; alert; retain last valid snapshot.</w:t>
            </w:r>
          </w:p>
        </w:tc>
      </w:tr>
      <w:tr>
        <w:tc>
          <w:tcPr>
            <w:tcW w:type="dxa" w:w="3408"/>
            <w:vAlign w:val="center"/>
          </w:tcPr>
          <w:p>
            <w:r/>
            <w:r>
              <w:rPr>
                <w:b w:val="0"/>
                <w:sz w:val="16"/>
              </w:rPr>
              <w:t>Telco sends wrong tenant ID</w:t>
            </w:r>
          </w:p>
        </w:tc>
        <w:tc>
          <w:tcPr>
            <w:tcW w:type="dxa" w:w="3408"/>
            <w:vAlign w:val="center"/>
          </w:tcPr>
          <w:p>
            <w:r/>
            <w:r>
              <w:rPr>
                <w:b w:val="0"/>
                <w:sz w:val="16"/>
              </w:rPr>
              <w:t>Credentials and payload disagree</w:t>
            </w:r>
          </w:p>
        </w:tc>
        <w:tc>
          <w:tcPr>
            <w:tcW w:type="dxa" w:w="3408"/>
            <w:vAlign w:val="center"/>
          </w:tcPr>
          <w:p>
            <w:r/>
            <w:r>
              <w:rPr>
                <w:b w:val="0"/>
                <w:sz w:val="16"/>
              </w:rPr>
              <w:t>Reject and raise security alert.</w:t>
            </w:r>
          </w:p>
        </w:tc>
      </w:tr>
      <w:tr>
        <w:tc>
          <w:tcPr>
            <w:tcW w:type="dxa" w:w="3408"/>
            <w:vAlign w:val="center"/>
          </w:tcPr>
          <w:p>
            <w:r/>
            <w:r>
              <w:rPr>
                <w:b w:val="0"/>
                <w:sz w:val="16"/>
              </w:rPr>
              <w:t>Product disabled mid-request</w:t>
            </w:r>
          </w:p>
        </w:tc>
        <w:tc>
          <w:tcPr>
            <w:tcW w:type="dxa" w:w="3408"/>
            <w:vAlign w:val="center"/>
          </w:tcPr>
          <w:p>
            <w:r/>
            <w:r>
              <w:rPr>
                <w:b w:val="0"/>
                <w:sz w:val="16"/>
              </w:rPr>
              <w:t>Kill switch activated</w:t>
            </w:r>
          </w:p>
        </w:tc>
        <w:tc>
          <w:tcPr>
            <w:tcW w:type="dxa" w:w="3408"/>
            <w:vAlign w:val="center"/>
          </w:tcPr>
          <w:p>
            <w:r/>
            <w:r>
              <w:rPr>
                <w:b w:val="0"/>
                <w:sz w:val="16"/>
              </w:rPr>
              <w:t>Requests not yet fulfilled fail safely; active obligations unchanged.</w:t>
            </w:r>
          </w:p>
        </w:tc>
      </w:tr>
      <w:tr>
        <w:tc>
          <w:tcPr>
            <w:tcW w:type="dxa" w:w="3408"/>
            <w:vAlign w:val="center"/>
          </w:tcPr>
          <w:p>
            <w:r/>
            <w:r>
              <w:rPr>
                <w:b w:val="0"/>
                <w:sz w:val="16"/>
              </w:rPr>
              <w:t>Tier configuration gap</w:t>
            </w:r>
          </w:p>
        </w:tc>
        <w:tc>
          <w:tcPr>
            <w:tcW w:type="dxa" w:w="3408"/>
            <w:vAlign w:val="center"/>
          </w:tcPr>
          <w:p>
            <w:r/>
            <w:r>
              <w:rPr>
                <w:b w:val="0"/>
                <w:sz w:val="16"/>
              </w:rPr>
              <w:t>No matching tier</w:t>
            </w:r>
          </w:p>
        </w:tc>
        <w:tc>
          <w:tcPr>
            <w:tcW w:type="dxa" w:w="3408"/>
            <w:vAlign w:val="center"/>
          </w:tcPr>
          <w:p>
            <w:r/>
            <w:r>
              <w:rPr>
                <w:b w:val="0"/>
                <w:sz w:val="16"/>
              </w:rPr>
              <w:t>Fail configuration validation before activation; never guess.</w:t>
            </w:r>
          </w:p>
        </w:tc>
      </w:tr>
      <w:tr>
        <w:tc>
          <w:tcPr>
            <w:tcW w:type="dxa" w:w="3408"/>
            <w:vAlign w:val="center"/>
          </w:tcPr>
          <w:p>
            <w:r/>
            <w:r>
              <w:rPr>
                <w:b w:val="0"/>
                <w:sz w:val="16"/>
              </w:rPr>
              <w:t>Fee change during accepted offer</w:t>
            </w:r>
          </w:p>
        </w:tc>
        <w:tc>
          <w:tcPr>
            <w:tcW w:type="dxa" w:w="3408"/>
            <w:vAlign w:val="center"/>
          </w:tcPr>
          <w:p>
            <w:r/>
            <w:r>
              <w:rPr>
                <w:b w:val="0"/>
                <w:sz w:val="16"/>
              </w:rPr>
              <w:t>Offer accepted under old terms</w:t>
            </w:r>
          </w:p>
        </w:tc>
        <w:tc>
          <w:tcPr>
            <w:tcW w:type="dxa" w:w="3408"/>
            <w:vAlign w:val="center"/>
          </w:tcPr>
          <w:p>
            <w:r/>
            <w:r>
              <w:rPr>
                <w:b w:val="0"/>
                <w:sz w:val="16"/>
              </w:rPr>
              <w:t>Honour accepted offer version until expiry.</w:t>
            </w:r>
          </w:p>
        </w:tc>
      </w:tr>
      <w:tr>
        <w:tc>
          <w:tcPr>
            <w:tcW w:type="dxa" w:w="3408"/>
            <w:vAlign w:val="center"/>
          </w:tcPr>
          <w:p>
            <w:r/>
            <w:r>
              <w:rPr>
                <w:b w:val="0"/>
                <w:sz w:val="16"/>
              </w:rPr>
              <w:t>Funder limit exhausted</w:t>
            </w:r>
          </w:p>
        </w:tc>
        <w:tc>
          <w:tcPr>
            <w:tcW w:type="dxa" w:w="3408"/>
            <w:vAlign w:val="center"/>
          </w:tcPr>
          <w:p>
            <w:r/>
            <w:r>
              <w:rPr>
                <w:b w:val="0"/>
                <w:sz w:val="16"/>
              </w:rPr>
              <w:t>Portfolio capacity unavailable</w:t>
            </w:r>
          </w:p>
        </w:tc>
        <w:tc>
          <w:tcPr>
            <w:tcW w:type="dxa" w:w="3408"/>
            <w:vAlign w:val="center"/>
          </w:tcPr>
          <w:p>
            <w:r/>
            <w:r>
              <w:rPr>
                <w:b w:val="0"/>
                <w:sz w:val="16"/>
              </w:rPr>
              <w:t>Decline new originations or route to approved alternative funding pool.</w:t>
            </w:r>
          </w:p>
        </w:tc>
      </w:tr>
      <w:tr>
        <w:tc>
          <w:tcPr>
            <w:tcW w:type="dxa" w:w="3408"/>
            <w:vAlign w:val="center"/>
          </w:tcPr>
          <w:p>
            <w:r/>
            <w:r>
              <w:rPr>
                <w:b w:val="0"/>
                <w:sz w:val="16"/>
              </w:rPr>
              <w:t>Telco outage</w:t>
            </w:r>
          </w:p>
        </w:tc>
        <w:tc>
          <w:tcPr>
            <w:tcW w:type="dxa" w:w="3408"/>
            <w:vAlign w:val="center"/>
          </w:tcPr>
          <w:p>
            <w:r/>
            <w:r>
              <w:rPr>
                <w:b w:val="0"/>
                <w:sz w:val="16"/>
              </w:rPr>
              <w:t>Fulfilment unavailable</w:t>
            </w:r>
          </w:p>
        </w:tc>
        <w:tc>
          <w:tcPr>
            <w:tcW w:type="dxa" w:w="3408"/>
            <w:vAlign w:val="center"/>
          </w:tcPr>
          <w:p>
            <w:r/>
            <w:r>
              <w:rPr>
                <w:b w:val="0"/>
                <w:sz w:val="16"/>
              </w:rPr>
              <w:t>Open circuit breaker; suspend offers or queue according to configured safe mode.</w:t>
            </w:r>
          </w:p>
        </w:tc>
      </w:tr>
      <w:tr>
        <w:tc>
          <w:tcPr>
            <w:tcW w:type="dxa" w:w="3408"/>
            <w:vAlign w:val="center"/>
          </w:tcPr>
          <w:p>
            <w:r/>
            <w:r>
              <w:rPr>
                <w:b w:val="0"/>
                <w:sz w:val="16"/>
              </w:rPr>
              <w:t>Queue backlog</w:t>
            </w:r>
          </w:p>
        </w:tc>
        <w:tc>
          <w:tcPr>
            <w:tcW w:type="dxa" w:w="3408"/>
            <w:vAlign w:val="center"/>
          </w:tcPr>
          <w:p>
            <w:r/>
            <w:r>
              <w:rPr>
                <w:b w:val="0"/>
                <w:sz w:val="16"/>
              </w:rPr>
              <w:t>Events delayed</w:t>
            </w:r>
          </w:p>
        </w:tc>
        <w:tc>
          <w:tcPr>
            <w:tcW w:type="dxa" w:w="3408"/>
            <w:vAlign w:val="center"/>
          </w:tcPr>
          <w:p>
            <w:r/>
            <w:r>
              <w:rPr>
                <w:b w:val="0"/>
                <w:sz w:val="16"/>
              </w:rPr>
              <w:t>Scale workers, apply backpressure, preserve ordering and monitor SLA.</w:t>
            </w:r>
          </w:p>
        </w:tc>
      </w:tr>
      <w:tr>
        <w:tc>
          <w:tcPr>
            <w:tcW w:type="dxa" w:w="3408"/>
            <w:vAlign w:val="center"/>
          </w:tcPr>
          <w:p>
            <w:r/>
            <w:r>
              <w:rPr>
                <w:b w:val="0"/>
                <w:sz w:val="16"/>
              </w:rPr>
              <w:t>Database failover</w:t>
            </w:r>
          </w:p>
        </w:tc>
        <w:tc>
          <w:tcPr>
            <w:tcW w:type="dxa" w:w="3408"/>
            <w:vAlign w:val="center"/>
          </w:tcPr>
          <w:p>
            <w:r/>
            <w:r>
              <w:rPr>
                <w:b w:val="0"/>
                <w:sz w:val="16"/>
              </w:rPr>
              <w:t>Primary unavailable</w:t>
            </w:r>
          </w:p>
        </w:tc>
        <w:tc>
          <w:tcPr>
            <w:tcW w:type="dxa" w:w="3408"/>
            <w:vAlign w:val="center"/>
          </w:tcPr>
          <w:p>
            <w:r/>
            <w:r>
              <w:rPr>
                <w:b w:val="0"/>
                <w:sz w:val="16"/>
              </w:rPr>
              <w:t>Fail over without duplicate posting; validate ledger sequence and replay outbox.</w:t>
            </w:r>
          </w:p>
        </w:tc>
      </w:tr>
      <w:tr>
        <w:tc>
          <w:tcPr>
            <w:tcW w:type="dxa" w:w="3408"/>
            <w:vAlign w:val="center"/>
          </w:tcPr>
          <w:p>
            <w:r/>
            <w:r>
              <w:rPr>
                <w:b w:val="0"/>
                <w:sz w:val="16"/>
              </w:rPr>
              <w:t>Ledger imbalance</w:t>
            </w:r>
          </w:p>
        </w:tc>
        <w:tc>
          <w:tcPr>
            <w:tcW w:type="dxa" w:w="3408"/>
            <w:vAlign w:val="center"/>
          </w:tcPr>
          <w:p>
            <w:r/>
            <w:r>
              <w:rPr>
                <w:b w:val="0"/>
                <w:sz w:val="16"/>
              </w:rPr>
              <w:t>Posting template defect</w:t>
            </w:r>
          </w:p>
        </w:tc>
        <w:tc>
          <w:tcPr>
            <w:tcW w:type="dxa" w:w="3408"/>
            <w:vAlign w:val="center"/>
          </w:tcPr>
          <w:p>
            <w:r/>
            <w:r>
              <w:rPr>
                <w:b w:val="0"/>
                <w:sz w:val="16"/>
              </w:rPr>
              <w:t>Stop affected product/telco posting, quarantine transactions and alert finance.</w:t>
            </w:r>
          </w:p>
        </w:tc>
      </w:tr>
      <w:tr>
        <w:tc>
          <w:tcPr>
            <w:tcW w:type="dxa" w:w="3408"/>
            <w:vAlign w:val="center"/>
          </w:tcPr>
          <w:p>
            <w:r/>
            <w:r>
              <w:rPr>
                <w:b w:val="0"/>
                <w:sz w:val="16"/>
              </w:rPr>
              <w:t>Settlement dispute</w:t>
            </w:r>
          </w:p>
        </w:tc>
        <w:tc>
          <w:tcPr>
            <w:tcW w:type="dxa" w:w="3408"/>
            <w:vAlign w:val="center"/>
          </w:tcPr>
          <w:p>
            <w:r/>
            <w:r>
              <w:rPr>
                <w:b w:val="0"/>
                <w:sz w:val="16"/>
              </w:rPr>
              <w:t>Telco rejects statement item</w:t>
            </w:r>
          </w:p>
        </w:tc>
        <w:tc>
          <w:tcPr>
            <w:tcW w:type="dxa" w:w="3408"/>
            <w:vAlign w:val="center"/>
          </w:tcPr>
          <w:p>
            <w:r/>
            <w:r>
              <w:rPr>
                <w:b w:val="0"/>
                <w:sz w:val="16"/>
              </w:rPr>
              <w:t>Create case, freeze disputed amount only, preserve undisputed settlement.</w:t>
            </w:r>
          </w:p>
        </w:tc>
      </w:tr>
      <w:tr>
        <w:tc>
          <w:tcPr>
            <w:tcW w:type="dxa" w:w="3408"/>
            <w:vAlign w:val="center"/>
          </w:tcPr>
          <w:p>
            <w:r/>
            <w:r>
              <w:rPr>
                <w:b w:val="0"/>
                <w:sz w:val="16"/>
              </w:rPr>
              <w:t>Manual adjustment abuse</w:t>
            </w:r>
          </w:p>
        </w:tc>
        <w:tc>
          <w:tcPr>
            <w:tcW w:type="dxa" w:w="3408"/>
            <w:vAlign w:val="center"/>
          </w:tcPr>
          <w:p>
            <w:r/>
            <w:r>
              <w:rPr>
                <w:b w:val="0"/>
                <w:sz w:val="16"/>
              </w:rPr>
              <w:t>Agent attempts unauthorised change</w:t>
            </w:r>
          </w:p>
        </w:tc>
        <w:tc>
          <w:tcPr>
            <w:tcW w:type="dxa" w:w="3408"/>
            <w:vAlign w:val="center"/>
          </w:tcPr>
          <w:p>
            <w:r/>
            <w:r>
              <w:rPr>
                <w:b w:val="0"/>
                <w:sz w:val="16"/>
              </w:rPr>
              <w:t>Maker-checker, limits, reason/evidence, no ledger edits.</w:t>
            </w:r>
          </w:p>
        </w:tc>
      </w:tr>
      <w:tr>
        <w:tc>
          <w:tcPr>
            <w:tcW w:type="dxa" w:w="3408"/>
            <w:vAlign w:val="center"/>
          </w:tcPr>
          <w:p>
            <w:r/>
            <w:r>
              <w:rPr>
                <w:b w:val="0"/>
                <w:sz w:val="16"/>
              </w:rPr>
              <w:t>Customer dispute after repayment</w:t>
            </w:r>
          </w:p>
        </w:tc>
        <w:tc>
          <w:tcPr>
            <w:tcW w:type="dxa" w:w="3408"/>
            <w:vAlign w:val="center"/>
          </w:tcPr>
          <w:p>
            <w:r/>
            <w:r>
              <w:rPr>
                <w:b w:val="0"/>
                <w:sz w:val="16"/>
              </w:rPr>
              <w:t>Customer claims wrongful deduction</w:t>
            </w:r>
          </w:p>
        </w:tc>
        <w:tc>
          <w:tcPr>
            <w:tcW w:type="dxa" w:w="3408"/>
            <w:vAlign w:val="center"/>
          </w:tcPr>
          <w:p>
            <w:r/>
            <w:r>
              <w:rPr>
                <w:b w:val="0"/>
                <w:sz w:val="16"/>
              </w:rPr>
              <w:t>Provide trace, telco evidence and controlled refund/reversal workflow.</w:t>
            </w:r>
          </w:p>
        </w:tc>
      </w:tr>
      <w:tr>
        <w:tc>
          <w:tcPr>
            <w:tcW w:type="dxa" w:w="3408"/>
            <w:vAlign w:val="center"/>
          </w:tcPr>
          <w:p>
            <w:r/>
            <w:r>
              <w:rPr>
                <w:b w:val="0"/>
                <w:sz w:val="16"/>
              </w:rPr>
              <w:t>Time-zone/day boundary</w:t>
            </w:r>
          </w:p>
        </w:tc>
        <w:tc>
          <w:tcPr>
            <w:tcW w:type="dxa" w:w="3408"/>
            <w:vAlign w:val="center"/>
          </w:tcPr>
          <w:p>
            <w:r/>
            <w:r>
              <w:rPr>
                <w:b w:val="0"/>
                <w:sz w:val="16"/>
              </w:rPr>
              <w:t>Telcos use different zones</w:t>
            </w:r>
          </w:p>
        </w:tc>
        <w:tc>
          <w:tcPr>
            <w:tcW w:type="dxa" w:w="3408"/>
            <w:vAlign w:val="center"/>
          </w:tcPr>
          <w:p>
            <w:r/>
            <w:r>
              <w:rPr>
                <w:b w:val="0"/>
                <w:sz w:val="16"/>
              </w:rPr>
              <w:t>Store UTC plus telco-local business date; settlement based on configured calendar.</w:t>
            </w:r>
          </w:p>
        </w:tc>
      </w:tr>
      <w:tr>
        <w:tc>
          <w:tcPr>
            <w:tcW w:type="dxa" w:w="3408"/>
            <w:vAlign w:val="center"/>
          </w:tcPr>
          <w:p>
            <w:r/>
            <w:r>
              <w:rPr>
                <w:b w:val="0"/>
                <w:sz w:val="16"/>
              </w:rPr>
              <w:t>Currency mismatch</w:t>
            </w:r>
          </w:p>
        </w:tc>
        <w:tc>
          <w:tcPr>
            <w:tcW w:type="dxa" w:w="3408"/>
            <w:vAlign w:val="center"/>
          </w:tcPr>
          <w:p>
            <w:r/>
            <w:r>
              <w:rPr>
                <w:b w:val="0"/>
                <w:sz w:val="16"/>
              </w:rPr>
              <w:t>Wrong-currency event</w:t>
            </w:r>
          </w:p>
        </w:tc>
        <w:tc>
          <w:tcPr>
            <w:tcW w:type="dxa" w:w="3408"/>
            <w:vAlign w:val="center"/>
          </w:tcPr>
          <w:p>
            <w:r/>
            <w:r>
              <w:rPr>
                <w:b w:val="0"/>
                <w:sz w:val="16"/>
              </w:rPr>
              <w:t>Reject/quarantine; never auto-convert unless an approved FX process exists.</w:t>
            </w:r>
          </w:p>
        </w:tc>
      </w:tr>
      <w:tr>
        <w:tc>
          <w:tcPr>
            <w:tcW w:type="dxa" w:w="3408"/>
            <w:vAlign w:val="center"/>
          </w:tcPr>
          <w:p>
            <w:r/>
            <w:r>
              <w:rPr>
                <w:b w:val="0"/>
                <w:sz w:val="16"/>
              </w:rPr>
              <w:t>Schema version change</w:t>
            </w:r>
          </w:p>
        </w:tc>
        <w:tc>
          <w:tcPr>
            <w:tcW w:type="dxa" w:w="3408"/>
            <w:vAlign w:val="center"/>
          </w:tcPr>
          <w:p>
            <w:r/>
            <w:r>
              <w:rPr>
                <w:b w:val="0"/>
                <w:sz w:val="16"/>
              </w:rPr>
              <w:t>Telco sends new payload</w:t>
            </w:r>
          </w:p>
        </w:tc>
        <w:tc>
          <w:tcPr>
            <w:tcW w:type="dxa" w:w="3408"/>
            <w:vAlign w:val="center"/>
          </w:tcPr>
          <w:p>
            <w:r/>
            <w:r>
              <w:rPr>
                <w:b w:val="0"/>
                <w:sz w:val="16"/>
              </w:rPr>
              <w:t>Version negotiation; unsupported versions rejected with clear error.</w:t>
            </w:r>
          </w:p>
        </w:tc>
      </w:tr>
      <w:tr>
        <w:tc>
          <w:tcPr>
            <w:tcW w:type="dxa" w:w="3408"/>
            <w:vAlign w:val="center"/>
          </w:tcPr>
          <w:p>
            <w:r/>
            <w:r>
              <w:rPr>
                <w:b w:val="0"/>
                <w:sz w:val="16"/>
              </w:rPr>
              <w:t>Certificate expiry</w:t>
            </w:r>
          </w:p>
        </w:tc>
        <w:tc>
          <w:tcPr>
            <w:tcW w:type="dxa" w:w="3408"/>
            <w:vAlign w:val="center"/>
          </w:tcPr>
          <w:p>
            <w:r/>
            <w:r>
              <w:rPr>
                <w:b w:val="0"/>
                <w:sz w:val="16"/>
              </w:rPr>
              <w:t>Telco credential expires</w:t>
            </w:r>
          </w:p>
        </w:tc>
        <w:tc>
          <w:tcPr>
            <w:tcW w:type="dxa" w:w="3408"/>
            <w:vAlign w:val="center"/>
          </w:tcPr>
          <w:p>
            <w:r/>
            <w:r>
              <w:rPr>
                <w:b w:val="0"/>
                <w:sz w:val="16"/>
              </w:rPr>
              <w:t>Advance alerting and rotation; fail securely.</w:t>
            </w:r>
          </w:p>
        </w:tc>
      </w:tr>
      <w:tr>
        <w:tc>
          <w:tcPr>
            <w:tcW w:type="dxa" w:w="3408"/>
            <w:vAlign w:val="center"/>
          </w:tcPr>
          <w:p>
            <w:r/>
            <w:r>
              <w:rPr>
                <w:b w:val="0"/>
                <w:sz w:val="16"/>
              </w:rPr>
              <w:t>Notification failure</w:t>
            </w:r>
          </w:p>
        </w:tc>
        <w:tc>
          <w:tcPr>
            <w:tcW w:type="dxa" w:w="3408"/>
            <w:vAlign w:val="center"/>
          </w:tcPr>
          <w:p>
            <w:r/>
            <w:r>
              <w:rPr>
                <w:b w:val="0"/>
                <w:sz w:val="16"/>
              </w:rPr>
              <w:t>SMS/app message unavailable</w:t>
            </w:r>
          </w:p>
        </w:tc>
        <w:tc>
          <w:tcPr>
            <w:tcW w:type="dxa" w:w="3408"/>
            <w:vAlign w:val="center"/>
          </w:tcPr>
          <w:p>
            <w:r/>
            <w:r>
              <w:rPr>
                <w:b w:val="0"/>
                <w:sz w:val="16"/>
              </w:rPr>
              <w:t>Financial transaction remains valid; retry notification separately.</w:t>
            </w:r>
          </w:p>
        </w:tc>
      </w:tr>
      <w:tr>
        <w:tc>
          <w:tcPr>
            <w:tcW w:type="dxa" w:w="3408"/>
            <w:vAlign w:val="center"/>
          </w:tcPr>
          <w:p>
            <w:r/>
            <w:r>
              <w:rPr>
                <w:b w:val="0"/>
                <w:sz w:val="16"/>
              </w:rPr>
              <w:t>Analytics lag</w:t>
            </w:r>
          </w:p>
        </w:tc>
        <w:tc>
          <w:tcPr>
            <w:tcW w:type="dxa" w:w="3408"/>
            <w:vAlign w:val="center"/>
          </w:tcPr>
          <w:p>
            <w:r/>
            <w:r>
              <w:rPr>
                <w:b w:val="0"/>
                <w:sz w:val="16"/>
              </w:rPr>
              <w:t>Warehouse delayed</w:t>
            </w:r>
          </w:p>
        </w:tc>
        <w:tc>
          <w:tcPr>
            <w:tcW w:type="dxa" w:w="3408"/>
            <w:vAlign w:val="center"/>
          </w:tcPr>
          <w:p>
            <w:r/>
            <w:r>
              <w:rPr>
                <w:b w:val="0"/>
                <w:sz w:val="16"/>
              </w:rPr>
              <w:t>Operational decisions continue from operational store; dashboards show freshness.</w:t>
            </w:r>
          </w:p>
        </w:tc>
      </w:tr>
      <w:tr>
        <w:tc>
          <w:tcPr>
            <w:tcW w:type="dxa" w:w="3408"/>
            <w:vAlign w:val="center"/>
          </w:tcPr>
          <w:p>
            <w:r/>
            <w:r>
              <w:rPr>
                <w:b w:val="0"/>
                <w:sz w:val="16"/>
              </w:rPr>
              <w:t>Write-off then recovery</w:t>
            </w:r>
          </w:p>
        </w:tc>
        <w:tc>
          <w:tcPr>
            <w:tcW w:type="dxa" w:w="3408"/>
            <w:vAlign w:val="center"/>
          </w:tcPr>
          <w:p>
            <w:r/>
            <w:r>
              <w:rPr>
                <w:b w:val="0"/>
                <w:sz w:val="16"/>
              </w:rPr>
              <w:t>Late recharge received</w:t>
            </w:r>
          </w:p>
        </w:tc>
        <w:tc>
          <w:tcPr>
            <w:tcW w:type="dxa" w:w="3408"/>
            <w:vAlign w:val="center"/>
          </w:tcPr>
          <w:p>
            <w:r/>
            <w:r>
              <w:rPr>
                <w:b w:val="0"/>
                <w:sz w:val="16"/>
              </w:rPr>
              <w:t>Post post-write-off recovery; do not erase write-off history.</w:t>
            </w:r>
          </w:p>
        </w:tc>
      </w:tr>
      <w:tr>
        <w:tc>
          <w:tcPr>
            <w:tcW w:type="dxa" w:w="3408"/>
            <w:vAlign w:val="center"/>
          </w:tcPr>
          <w:p>
            <w:r/>
            <w:r>
              <w:rPr>
                <w:b w:val="0"/>
                <w:sz w:val="16"/>
              </w:rPr>
              <w:t>Death/inactive account/legal hold</w:t>
            </w:r>
          </w:p>
        </w:tc>
        <w:tc>
          <w:tcPr>
            <w:tcW w:type="dxa" w:w="3408"/>
            <w:vAlign w:val="center"/>
          </w:tcPr>
          <w:p>
            <w:r/>
            <w:r>
              <w:rPr>
                <w:b w:val="0"/>
                <w:sz w:val="16"/>
              </w:rPr>
              <w:t>Special treatment required</w:t>
            </w:r>
          </w:p>
        </w:tc>
        <w:tc>
          <w:tcPr>
            <w:tcW w:type="dxa" w:w="3408"/>
            <w:vAlign w:val="center"/>
          </w:tcPr>
          <w:p>
            <w:r/>
            <w:r>
              <w:rPr>
                <w:b w:val="0"/>
                <w:sz w:val="16"/>
              </w:rPr>
              <w:t>Apply approved status workflow and recovery restrictions.</w:t>
            </w:r>
          </w:p>
        </w:tc>
      </w:tr>
      <w:tr>
        <w:tc>
          <w:tcPr>
            <w:tcW w:type="dxa" w:w="3408"/>
            <w:vAlign w:val="center"/>
          </w:tcPr>
          <w:p>
            <w:r/>
            <w:r>
              <w:rPr>
                <w:b w:val="0"/>
                <w:sz w:val="16"/>
              </w:rPr>
              <w:t>Mass configuration error</w:t>
            </w:r>
          </w:p>
        </w:tc>
        <w:tc>
          <w:tcPr>
            <w:tcW w:type="dxa" w:w="3408"/>
            <w:vAlign w:val="center"/>
          </w:tcPr>
          <w:p>
            <w:r/>
            <w:r>
              <w:rPr>
                <w:b w:val="0"/>
                <w:sz w:val="16"/>
              </w:rPr>
              <w:t>Risk rule would over-approve</w:t>
            </w:r>
          </w:p>
        </w:tc>
        <w:tc>
          <w:tcPr>
            <w:tcW w:type="dxa" w:w="3408"/>
            <w:vAlign w:val="center"/>
          </w:tcPr>
          <w:p>
            <w:r/>
            <w:r>
              <w:rPr>
                <w:b w:val="0"/>
                <w:sz w:val="16"/>
              </w:rPr>
              <w:t>Simulation, change approval, canary rollout, automatic guardrails and rollback.</w:t>
            </w:r>
          </w:p>
        </w:tc>
      </w:tr>
      <w:tr>
        <w:tc>
          <w:tcPr>
            <w:tcW w:type="dxa" w:w="3408"/>
            <w:vAlign w:val="center"/>
          </w:tcPr>
          <w:p>
            <w:r/>
            <w:r>
              <w:rPr>
                <w:b w:val="0"/>
                <w:sz w:val="16"/>
              </w:rPr>
              <w:t>Cross-telco coincidence</w:t>
            </w:r>
          </w:p>
        </w:tc>
        <w:tc>
          <w:tcPr>
            <w:tcW w:type="dxa" w:w="3408"/>
            <w:vAlign w:val="center"/>
          </w:tcPr>
          <w:p>
            <w:r/>
            <w:r>
              <w:rPr>
                <w:b w:val="0"/>
                <w:sz w:val="16"/>
              </w:rPr>
              <w:t>Same MSISDN appears in historical data</w:t>
            </w:r>
          </w:p>
        </w:tc>
        <w:tc>
          <w:tcPr>
            <w:tcW w:type="dxa" w:w="3408"/>
            <w:vAlign w:val="center"/>
          </w:tcPr>
          <w:p>
            <w:r/>
            <w:r>
              <w:rPr>
                <w:b w:val="0"/>
                <w:sz w:val="16"/>
              </w:rPr>
              <w:t>Treat telco_id + effective period as distinct subscriber accounts.</w:t>
            </w:r>
          </w:p>
        </w:tc>
      </w:tr>
    </w:tbl>
    <w:p/>
    <w:p>
      <w:pPr>
        <w:pStyle w:val="Heading1"/>
        <w:pageBreakBefore/>
      </w:pPr>
      <w:r>
        <w:t>22. Core Data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Entity</w:t>
            </w:r>
          </w:p>
        </w:tc>
        <w:tc>
          <w:tcPr>
            <w:tcW w:type="dxa" w:w="5112"/>
            <w:vAlign w:val="center"/>
            <w:shd w:fill="1F4E78"/>
          </w:tcPr>
          <w:p>
            <w:r/>
            <w:r>
              <w:rPr>
                <w:b/>
                <w:color w:val="FFFFFF"/>
                <w:sz w:val="16"/>
              </w:rPr>
              <w:t>Key Attributes</w:t>
            </w:r>
          </w:p>
        </w:tc>
      </w:tr>
      <w:tr>
        <w:tc>
          <w:tcPr>
            <w:tcW w:type="dxa" w:w="5112"/>
            <w:vAlign w:val="center"/>
          </w:tcPr>
          <w:p>
            <w:r/>
            <w:r>
              <w:rPr>
                <w:b w:val="0"/>
                <w:sz w:val="16"/>
              </w:rPr>
              <w:t>TelcoTenant</w:t>
            </w:r>
          </w:p>
        </w:tc>
        <w:tc>
          <w:tcPr>
            <w:tcW w:type="dxa" w:w="5112"/>
            <w:vAlign w:val="center"/>
          </w:tcPr>
          <w:p>
            <w:r/>
            <w:r>
              <w:rPr>
                <w:b w:val="0"/>
                <w:sz w:val="16"/>
              </w:rPr>
              <w:t>telco_id, country, currency, time zone, status, deployment mode.</w:t>
            </w:r>
          </w:p>
        </w:tc>
      </w:tr>
      <w:tr>
        <w:tc>
          <w:tcPr>
            <w:tcW w:type="dxa" w:w="5112"/>
            <w:vAlign w:val="center"/>
          </w:tcPr>
          <w:p>
            <w:r/>
            <w:r>
              <w:rPr>
                <w:b w:val="0"/>
                <w:sz w:val="16"/>
              </w:rPr>
              <w:t>SubscriberAccount</w:t>
            </w:r>
          </w:p>
        </w:tc>
        <w:tc>
          <w:tcPr>
            <w:tcW w:type="dxa" w:w="5112"/>
            <w:vAlign w:val="center"/>
          </w:tcPr>
          <w:p>
            <w:r/>
            <w:r>
              <w:rPr>
                <w:b w:val="0"/>
                <w:sz w:val="16"/>
              </w:rPr>
              <w:t>subscriber_account_id, telco_id, normalised MSISDN token, effective dates, status.</w:t>
            </w:r>
          </w:p>
        </w:tc>
      </w:tr>
      <w:tr>
        <w:tc>
          <w:tcPr>
            <w:tcW w:type="dxa" w:w="5112"/>
            <w:vAlign w:val="center"/>
          </w:tcPr>
          <w:p>
            <w:r/>
            <w:r>
              <w:rPr>
                <w:b w:val="0"/>
                <w:sz w:val="16"/>
              </w:rPr>
              <w:t>SubscriberFeatureSnapshot</w:t>
            </w:r>
          </w:p>
        </w:tc>
        <w:tc>
          <w:tcPr>
            <w:tcW w:type="dxa" w:w="5112"/>
            <w:vAlign w:val="center"/>
          </w:tcPr>
          <w:p>
            <w:r/>
            <w:r>
              <w:rPr>
                <w:b w:val="0"/>
                <w:sz w:val="16"/>
              </w:rPr>
              <w:t>snapshot_id, source period, feature values, quality, schema version.</w:t>
            </w:r>
          </w:p>
        </w:tc>
      </w:tr>
      <w:tr>
        <w:tc>
          <w:tcPr>
            <w:tcW w:type="dxa" w:w="5112"/>
            <w:vAlign w:val="center"/>
          </w:tcPr>
          <w:p>
            <w:r/>
            <w:r>
              <w:rPr>
                <w:b w:val="0"/>
                <w:sz w:val="16"/>
              </w:rPr>
              <w:t>ScoreDecision</w:t>
            </w:r>
          </w:p>
        </w:tc>
        <w:tc>
          <w:tcPr>
            <w:tcW w:type="dxa" w:w="5112"/>
            <w:vAlign w:val="center"/>
          </w:tcPr>
          <w:p>
            <w:r/>
            <w:r>
              <w:rPr>
                <w:b w:val="0"/>
                <w:sz w:val="16"/>
              </w:rPr>
              <w:t>score_id, model/rule/config versions, contributions, reason codes, decision time.</w:t>
            </w:r>
          </w:p>
        </w:tc>
      </w:tr>
      <w:tr>
        <w:tc>
          <w:tcPr>
            <w:tcW w:type="dxa" w:w="5112"/>
            <w:vAlign w:val="center"/>
          </w:tcPr>
          <w:p>
            <w:r/>
            <w:r>
              <w:rPr>
                <w:b w:val="0"/>
                <w:sz w:val="16"/>
              </w:rPr>
              <w:t>CreditTier</w:t>
            </w:r>
          </w:p>
        </w:tc>
        <w:tc>
          <w:tcPr>
            <w:tcW w:type="dxa" w:w="5112"/>
            <w:vAlign w:val="center"/>
          </w:tcPr>
          <w:p>
            <w:r/>
            <w:r>
              <w:rPr>
                <w:b w:val="0"/>
                <w:sz w:val="16"/>
              </w:rPr>
              <w:t>tenant/product tier number, amount, movement rules, effective dates.</w:t>
            </w:r>
          </w:p>
        </w:tc>
      </w:tr>
      <w:tr>
        <w:tc>
          <w:tcPr>
            <w:tcW w:type="dxa" w:w="5112"/>
            <w:vAlign w:val="center"/>
          </w:tcPr>
          <w:p>
            <w:r/>
            <w:r>
              <w:rPr>
                <w:b w:val="0"/>
                <w:sz w:val="16"/>
              </w:rPr>
              <w:t>Offer</w:t>
            </w:r>
          </w:p>
        </w:tc>
        <w:tc>
          <w:tcPr>
            <w:tcW w:type="dxa" w:w="5112"/>
            <w:vAlign w:val="center"/>
          </w:tcPr>
          <w:p>
            <w:r/>
            <w:r>
              <w:rPr>
                <w:b w:val="0"/>
                <w:sz w:val="16"/>
              </w:rPr>
              <w:t>offer_id, subscriber, product, gross/net/fee/repayment, expiry, terms version.</w:t>
            </w:r>
          </w:p>
        </w:tc>
      </w:tr>
      <w:tr>
        <w:tc>
          <w:tcPr>
            <w:tcW w:type="dxa" w:w="5112"/>
            <w:vAlign w:val="center"/>
          </w:tcPr>
          <w:p>
            <w:r/>
            <w:r>
              <w:rPr>
                <w:b w:val="0"/>
                <w:sz w:val="16"/>
              </w:rPr>
              <w:t>Advance</w:t>
            </w:r>
          </w:p>
        </w:tc>
        <w:tc>
          <w:tcPr>
            <w:tcW w:type="dxa" w:w="5112"/>
            <w:vAlign w:val="center"/>
          </w:tcPr>
          <w:p>
            <w:r/>
            <w:r>
              <w:rPr>
                <w:b w:val="0"/>
                <w:sz w:val="16"/>
              </w:rPr>
              <w:t>advance_id, request/idempotency keys, product, amount, state, fulfilment reference.</w:t>
            </w:r>
          </w:p>
        </w:tc>
      </w:tr>
      <w:tr>
        <w:tc>
          <w:tcPr>
            <w:tcW w:type="dxa" w:w="5112"/>
            <w:vAlign w:val="center"/>
          </w:tcPr>
          <w:p>
            <w:r/>
            <w:r>
              <w:rPr>
                <w:b w:val="0"/>
                <w:sz w:val="16"/>
              </w:rPr>
              <w:t>ExposureReservation</w:t>
            </w:r>
          </w:p>
        </w:tc>
        <w:tc>
          <w:tcPr>
            <w:tcW w:type="dxa" w:w="5112"/>
            <w:vAlign w:val="center"/>
          </w:tcPr>
          <w:p>
            <w:r/>
            <w:r>
              <w:rPr>
                <w:b w:val="0"/>
                <w:sz w:val="16"/>
              </w:rPr>
              <w:t>reservation_id, amount, expiry, status.</w:t>
            </w:r>
          </w:p>
        </w:tc>
      </w:tr>
      <w:tr>
        <w:tc>
          <w:tcPr>
            <w:tcW w:type="dxa" w:w="5112"/>
            <w:vAlign w:val="center"/>
          </w:tcPr>
          <w:p>
            <w:r/>
            <w:r>
              <w:rPr>
                <w:b w:val="0"/>
                <w:sz w:val="16"/>
              </w:rPr>
              <w:t>LedgerEntry</w:t>
            </w:r>
          </w:p>
        </w:tc>
        <w:tc>
          <w:tcPr>
            <w:tcW w:type="dxa" w:w="5112"/>
            <w:vAlign w:val="center"/>
          </w:tcPr>
          <w:p>
            <w:r/>
            <w:r>
              <w:rPr>
                <w:b w:val="0"/>
                <w:sz w:val="16"/>
              </w:rPr>
              <w:t>entry_id, event, debit/credit account, amount, currency, references.</w:t>
            </w:r>
          </w:p>
        </w:tc>
      </w:tr>
      <w:tr>
        <w:tc>
          <w:tcPr>
            <w:tcW w:type="dxa" w:w="5112"/>
            <w:vAlign w:val="center"/>
          </w:tcPr>
          <w:p>
            <w:r/>
            <w:r>
              <w:rPr>
                <w:b w:val="0"/>
                <w:sz w:val="16"/>
              </w:rPr>
              <w:t>RecoveryEvent</w:t>
            </w:r>
          </w:p>
        </w:tc>
        <w:tc>
          <w:tcPr>
            <w:tcW w:type="dxa" w:w="5112"/>
            <w:vAlign w:val="center"/>
          </w:tcPr>
          <w:p>
            <w:r/>
            <w:r>
              <w:rPr>
                <w:b w:val="0"/>
                <w:sz w:val="16"/>
              </w:rPr>
              <w:t>recovery_id, telco event reference, source recharge, amount, status.</w:t>
            </w:r>
          </w:p>
        </w:tc>
      </w:tr>
      <w:tr>
        <w:tc>
          <w:tcPr>
            <w:tcW w:type="dxa" w:w="5112"/>
            <w:vAlign w:val="center"/>
          </w:tcPr>
          <w:p>
            <w:r/>
            <w:r>
              <w:rPr>
                <w:b w:val="0"/>
                <w:sz w:val="16"/>
              </w:rPr>
              <w:t>RepaymentAllocation</w:t>
            </w:r>
          </w:p>
        </w:tc>
        <w:tc>
          <w:tcPr>
            <w:tcW w:type="dxa" w:w="5112"/>
            <w:vAlign w:val="center"/>
          </w:tcPr>
          <w:p>
            <w:r/>
            <w:r>
              <w:rPr>
                <w:b w:val="0"/>
                <w:sz w:val="16"/>
              </w:rPr>
              <w:t>allocation_id, recovery_id, advance_id, component, amount.</w:t>
            </w:r>
          </w:p>
        </w:tc>
      </w:tr>
      <w:tr>
        <w:tc>
          <w:tcPr>
            <w:tcW w:type="dxa" w:w="5112"/>
            <w:vAlign w:val="center"/>
          </w:tcPr>
          <w:p>
            <w:r/>
            <w:r>
              <w:rPr>
                <w:b w:val="0"/>
                <w:sz w:val="16"/>
              </w:rPr>
              <w:t>ReconciliationItem</w:t>
            </w:r>
          </w:p>
        </w:tc>
        <w:tc>
          <w:tcPr>
            <w:tcW w:type="dxa" w:w="5112"/>
            <w:vAlign w:val="center"/>
          </w:tcPr>
          <w:p>
            <w:r/>
            <w:r>
              <w:rPr>
                <w:b w:val="0"/>
                <w:sz w:val="16"/>
              </w:rPr>
              <w:t>source, expected, actual, variance, match status and case.</w:t>
            </w:r>
          </w:p>
        </w:tc>
      </w:tr>
      <w:tr>
        <w:tc>
          <w:tcPr>
            <w:tcW w:type="dxa" w:w="5112"/>
            <w:vAlign w:val="center"/>
          </w:tcPr>
          <w:p>
            <w:r/>
            <w:r>
              <w:rPr>
                <w:b w:val="0"/>
                <w:sz w:val="16"/>
              </w:rPr>
              <w:t>SettlementPeriod</w:t>
            </w:r>
          </w:p>
        </w:tc>
        <w:tc>
          <w:tcPr>
            <w:tcW w:type="dxa" w:w="5112"/>
            <w:vAlign w:val="center"/>
          </w:tcPr>
          <w:p>
            <w:r/>
            <w:r>
              <w:rPr>
                <w:b w:val="0"/>
                <w:sz w:val="16"/>
              </w:rPr>
              <w:t>tenant/product/funder dates, status, totals and statement.</w:t>
            </w:r>
          </w:p>
        </w:tc>
      </w:tr>
      <w:tr>
        <w:tc>
          <w:tcPr>
            <w:tcW w:type="dxa" w:w="5112"/>
            <w:vAlign w:val="center"/>
          </w:tcPr>
          <w:p>
            <w:r/>
            <w:r>
              <w:rPr>
                <w:b w:val="0"/>
                <w:sz w:val="16"/>
              </w:rPr>
              <w:t>ConfigurationVersion</w:t>
            </w:r>
          </w:p>
        </w:tc>
        <w:tc>
          <w:tcPr>
            <w:tcW w:type="dxa" w:w="5112"/>
            <w:vAlign w:val="center"/>
          </w:tcPr>
          <w:p>
            <w:r/>
            <w:r>
              <w:rPr>
                <w:b w:val="0"/>
                <w:sz w:val="16"/>
              </w:rPr>
              <w:t>domain, scope, values, lifecycle, approvals and hash.</w:t>
            </w:r>
          </w:p>
        </w:tc>
      </w:tr>
      <w:tr>
        <w:tc>
          <w:tcPr>
            <w:tcW w:type="dxa" w:w="5112"/>
            <w:vAlign w:val="center"/>
          </w:tcPr>
          <w:p>
            <w:r/>
            <w:r>
              <w:rPr>
                <w:b w:val="0"/>
                <w:sz w:val="16"/>
              </w:rPr>
              <w:t>AuditEvent</w:t>
            </w:r>
          </w:p>
        </w:tc>
        <w:tc>
          <w:tcPr>
            <w:tcW w:type="dxa" w:w="5112"/>
            <w:vAlign w:val="center"/>
          </w:tcPr>
          <w:p>
            <w:r/>
            <w:r>
              <w:rPr>
                <w:b w:val="0"/>
                <w:sz w:val="16"/>
              </w:rPr>
              <w:t>actor, action, object, before/after hashes, time, reason, source IP/device.</w:t>
            </w:r>
          </w:p>
        </w:tc>
      </w:tr>
    </w:tbl>
    <w:p/>
    <w:p>
      <w:pPr>
        <w:pStyle w:val="Heading1"/>
        <w:pageBreakBefore/>
      </w:pPr>
      <w:r>
        <w:t>23. Testing and Quality Assurance</w:t>
      </w:r>
    </w:p>
    <w:p>
      <w:pPr>
        <w:pStyle w:val="ListBullet"/>
      </w:pPr>
      <w:r>
        <w:t>Unit and property-based testing for scoring, tier movement, fees, allocation and ledger invariants.</w:t>
      </w:r>
    </w:p>
    <w:p>
      <w:pPr>
        <w:pStyle w:val="ListBullet"/>
      </w:pPr>
      <w:r>
        <w:t>Contract tests for each telco adapter and schema version.</w:t>
      </w:r>
    </w:p>
    <w:p>
      <w:pPr>
        <w:pStyle w:val="ListBullet"/>
      </w:pPr>
      <w:r>
        <w:t>End-to-end tests covering USSD/app request through fulfilment, repayment, reconciliation and settlement.</w:t>
      </w:r>
    </w:p>
    <w:p>
      <w:pPr>
        <w:pStyle w:val="ListBullet"/>
      </w:pPr>
      <w:r>
        <w:t>Load, soak, burst and capacity tests using realistic telco distributions.</w:t>
      </w:r>
    </w:p>
    <w:p>
      <w:pPr>
        <w:pStyle w:val="ListBullet"/>
      </w:pPr>
      <w:r>
        <w:t>Chaos tests for endpoint timeout, duplicate events, queue failure, database failover and partial region loss.</w:t>
      </w:r>
    </w:p>
    <w:p>
      <w:pPr>
        <w:pStyle w:val="ListBullet"/>
      </w:pPr>
      <w:r>
        <w:t>Security, penetration, tenant-isolation and privilege-abuse tests.</w:t>
      </w:r>
    </w:p>
    <w:p>
      <w:pPr>
        <w:pStyle w:val="ListBullet"/>
      </w:pPr>
      <w:r>
        <w:t>Model validation, back-testing, bias/fairness review where applicable, drift and stability tests.</w:t>
      </w:r>
    </w:p>
    <w:p>
      <w:pPr>
        <w:pStyle w:val="ListBullet"/>
      </w:pPr>
      <w:r>
        <w:t>Financial reconciliation tests proving transaction-level totals.</w:t>
      </w:r>
    </w:p>
    <w:p>
      <w:pPr>
        <w:pStyle w:val="ListBullet"/>
      </w:pPr>
      <w:r>
        <w:t>Disaster-recovery, restore and historical replay tests.</w:t>
      </w:r>
    </w:p>
    <w:p>
      <w:pPr>
        <w:pStyle w:val="ListBullet"/>
      </w:pPr>
      <w:r>
        <w:t>UAT by risk, operations, finance, support, security and each telco.</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r/>
            <w:r>
              <w:rPr>
                <w:b/>
                <w:color w:val="FFFFFF"/>
                <w:sz w:val="16"/>
              </w:rPr>
              <w:t>ID</w:t>
            </w:r>
          </w:p>
        </w:tc>
        <w:tc>
          <w:tcPr>
            <w:tcW w:type="dxa" w:w="2045"/>
            <w:vAlign w:val="center"/>
            <w:shd w:fill="17365D"/>
          </w:tcPr>
          <w:p>
            <w:r/>
            <w:r>
              <w:rPr>
                <w:b/>
                <w:color w:val="FFFFFF"/>
                <w:sz w:val="16"/>
              </w:rPr>
              <w:t>Requirement</w:t>
            </w:r>
          </w:p>
        </w:tc>
        <w:tc>
          <w:tcPr>
            <w:tcW w:type="dxa" w:w="2045"/>
            <w:vAlign w:val="center"/>
            <w:shd w:fill="17365D"/>
          </w:tcPr>
          <w:p>
            <w:r/>
            <w:r>
              <w:rPr>
                <w:b/>
                <w:color w:val="FFFFFF"/>
                <w:sz w:val="16"/>
              </w:rPr>
              <w:t>Priority</w:t>
            </w:r>
          </w:p>
        </w:tc>
        <w:tc>
          <w:tcPr>
            <w:tcW w:type="dxa" w:w="2045"/>
            <w:vAlign w:val="center"/>
            <w:shd w:fill="17365D"/>
          </w:tcPr>
          <w:p>
            <w:r/>
            <w:r>
              <w:rPr>
                <w:b/>
                <w:color w:val="FFFFFF"/>
                <w:sz w:val="16"/>
              </w:rPr>
              <w:t>Acceptance Evidence</w:t>
            </w:r>
          </w:p>
        </w:tc>
        <w:tc>
          <w:tcPr>
            <w:tcW w:type="dxa" w:w="2045"/>
            <w:vAlign w:val="center"/>
            <w:shd w:fill="17365D"/>
          </w:tcPr>
          <w:p>
            <w:r/>
            <w:r>
              <w:rPr>
                <w:b/>
                <w:color w:val="FFFFFF"/>
                <w:sz w:val="16"/>
              </w:rPr>
              <w:t>Configurable?</w:t>
            </w:r>
          </w:p>
        </w:tc>
      </w:tr>
      <w:tr>
        <w:tc>
          <w:tcPr>
            <w:tcW w:type="dxa" w:w="2045"/>
            <w:vAlign w:val="center"/>
          </w:tcPr>
          <w:p>
            <w:r/>
            <w:r>
              <w:rPr>
                <w:b w:val="0"/>
                <w:sz w:val="16"/>
              </w:rPr>
              <w:t>TST-001</w:t>
            </w:r>
          </w:p>
        </w:tc>
        <w:tc>
          <w:tcPr>
            <w:tcW w:type="dxa" w:w="2045"/>
            <w:vAlign w:val="center"/>
          </w:tcPr>
          <w:p>
            <w:r/>
            <w:r>
              <w:rPr>
                <w:b w:val="0"/>
                <w:sz w:val="16"/>
              </w:rPr>
              <w:t>No release shall proceed with unresolved critical ledger, tenant-isolation or duplicate-processing defects.</w:t>
            </w:r>
          </w:p>
        </w:tc>
        <w:tc>
          <w:tcPr>
            <w:tcW w:type="dxa" w:w="2045"/>
            <w:vAlign w:val="center"/>
          </w:tcPr>
          <w:p>
            <w:r/>
            <w:r>
              <w:rPr>
                <w:b w:val="0"/>
                <w:sz w:val="16"/>
              </w:rPr>
              <w:t>Must</w:t>
            </w:r>
          </w:p>
        </w:tc>
        <w:tc>
          <w:tcPr>
            <w:tcW w:type="dxa" w:w="2045"/>
            <w:vAlign w:val="center"/>
          </w:tcPr>
          <w:p>
            <w:r/>
            <w:r>
              <w:rPr>
                <w:b w:val="0"/>
                <w:sz w:val="16"/>
              </w:rPr>
              <w:t>Release gate.</w:t>
            </w:r>
          </w:p>
        </w:tc>
        <w:tc>
          <w:tcPr>
            <w:tcW w:type="dxa" w:w="2045"/>
            <w:vAlign w:val="center"/>
          </w:tcPr>
          <w:p>
            <w:r/>
            <w:r>
              <w:rPr>
                <w:b w:val="0"/>
                <w:sz w:val="16"/>
              </w:rPr>
              <w:t>No</w:t>
            </w:r>
          </w:p>
        </w:tc>
      </w:tr>
      <w:tr>
        <w:tc>
          <w:tcPr>
            <w:tcW w:type="dxa" w:w="2045"/>
            <w:vAlign w:val="center"/>
          </w:tcPr>
          <w:p>
            <w:r/>
            <w:r>
              <w:rPr>
                <w:b w:val="0"/>
                <w:sz w:val="16"/>
              </w:rPr>
              <w:t>TST-002</w:t>
            </w:r>
          </w:p>
        </w:tc>
        <w:tc>
          <w:tcPr>
            <w:tcW w:type="dxa" w:w="2045"/>
            <w:vAlign w:val="center"/>
          </w:tcPr>
          <w:p>
            <w:r/>
            <w:r>
              <w:rPr>
                <w:b w:val="0"/>
                <w:sz w:val="16"/>
              </w:rPr>
              <w:t>Each telco adapter shall have automated certification tests before production activation.</w:t>
            </w:r>
          </w:p>
        </w:tc>
        <w:tc>
          <w:tcPr>
            <w:tcW w:type="dxa" w:w="2045"/>
            <w:vAlign w:val="center"/>
          </w:tcPr>
          <w:p>
            <w:r/>
            <w:r>
              <w:rPr>
                <w:b w:val="0"/>
                <w:sz w:val="16"/>
              </w:rPr>
              <w:t>Must</w:t>
            </w:r>
          </w:p>
        </w:tc>
        <w:tc>
          <w:tcPr>
            <w:tcW w:type="dxa" w:w="2045"/>
            <w:vAlign w:val="center"/>
          </w:tcPr>
          <w:p>
            <w:r/>
            <w:r>
              <w:rPr>
                <w:b w:val="0"/>
                <w:sz w:val="16"/>
              </w:rPr>
              <w:t>Certification report.</w:t>
            </w:r>
          </w:p>
        </w:tc>
        <w:tc>
          <w:tcPr>
            <w:tcW w:type="dxa" w:w="2045"/>
            <w:vAlign w:val="center"/>
          </w:tcPr>
          <w:p>
            <w:r/>
            <w:r>
              <w:rPr>
                <w:b w:val="0"/>
                <w:sz w:val="16"/>
              </w:rPr>
              <w:t>No</w:t>
            </w:r>
          </w:p>
        </w:tc>
      </w:tr>
      <w:tr>
        <w:tc>
          <w:tcPr>
            <w:tcW w:type="dxa" w:w="2045"/>
            <w:vAlign w:val="center"/>
          </w:tcPr>
          <w:p>
            <w:r/>
            <w:r>
              <w:rPr>
                <w:b w:val="0"/>
                <w:sz w:val="16"/>
              </w:rPr>
              <w:t>TST-003</w:t>
            </w:r>
          </w:p>
        </w:tc>
        <w:tc>
          <w:tcPr>
            <w:tcW w:type="dxa" w:w="2045"/>
            <w:vAlign w:val="center"/>
          </w:tcPr>
          <w:p>
            <w:r/>
            <w:r>
              <w:rPr>
                <w:b w:val="0"/>
                <w:sz w:val="16"/>
              </w:rPr>
              <w:t>Configuration changes shall be testable in simulation against historical or synthetic data.</w:t>
            </w:r>
          </w:p>
        </w:tc>
        <w:tc>
          <w:tcPr>
            <w:tcW w:type="dxa" w:w="2045"/>
            <w:vAlign w:val="center"/>
          </w:tcPr>
          <w:p>
            <w:r/>
            <w:r>
              <w:rPr>
                <w:b w:val="0"/>
                <w:sz w:val="16"/>
              </w:rPr>
              <w:t>Must</w:t>
            </w:r>
          </w:p>
        </w:tc>
        <w:tc>
          <w:tcPr>
            <w:tcW w:type="dxa" w:w="2045"/>
            <w:vAlign w:val="center"/>
          </w:tcPr>
          <w:p>
            <w:r/>
            <w:r>
              <w:rPr>
                <w:b w:val="0"/>
                <w:sz w:val="16"/>
              </w:rPr>
              <w:t>Simulation evidence.</w:t>
            </w:r>
          </w:p>
        </w:tc>
        <w:tc>
          <w:tcPr>
            <w:tcW w:type="dxa" w:w="2045"/>
            <w:vAlign w:val="center"/>
          </w:tcPr>
          <w:p>
            <w:r/>
            <w:r>
              <w:rPr>
                <w:b w:val="0"/>
                <w:sz w:val="16"/>
              </w:rPr>
              <w:t>Yes</w:t>
            </w:r>
          </w:p>
        </w:tc>
      </w:tr>
      <w:tr>
        <w:tc>
          <w:tcPr>
            <w:tcW w:type="dxa" w:w="2045"/>
            <w:vAlign w:val="center"/>
          </w:tcPr>
          <w:p>
            <w:r/>
            <w:r>
              <w:rPr>
                <w:b w:val="0"/>
                <w:sz w:val="16"/>
              </w:rPr>
              <w:t>TST-004</w:t>
            </w:r>
          </w:p>
        </w:tc>
        <w:tc>
          <w:tcPr>
            <w:tcW w:type="dxa" w:w="2045"/>
            <w:vAlign w:val="center"/>
          </w:tcPr>
          <w:p>
            <w:r/>
            <w:r>
              <w:rPr>
                <w:b w:val="0"/>
                <w:sz w:val="16"/>
              </w:rPr>
              <w:t>Performance tests shall use agreed peak TPS and 5x burst scenarios.</w:t>
            </w:r>
          </w:p>
        </w:tc>
        <w:tc>
          <w:tcPr>
            <w:tcW w:type="dxa" w:w="2045"/>
            <w:vAlign w:val="center"/>
          </w:tcPr>
          <w:p>
            <w:r/>
            <w:r>
              <w:rPr>
                <w:b w:val="0"/>
                <w:sz w:val="16"/>
              </w:rPr>
              <w:t>Must</w:t>
            </w:r>
          </w:p>
        </w:tc>
        <w:tc>
          <w:tcPr>
            <w:tcW w:type="dxa" w:w="2045"/>
            <w:vAlign w:val="center"/>
          </w:tcPr>
          <w:p>
            <w:r/>
            <w:r>
              <w:rPr>
                <w:b w:val="0"/>
                <w:sz w:val="16"/>
              </w:rPr>
              <w:t>Performance report.</w:t>
            </w:r>
          </w:p>
        </w:tc>
        <w:tc>
          <w:tcPr>
            <w:tcW w:type="dxa" w:w="2045"/>
            <w:vAlign w:val="center"/>
          </w:tcPr>
          <w:p>
            <w:r/>
            <w:r>
              <w:rPr>
                <w:b w:val="0"/>
                <w:sz w:val="16"/>
              </w:rPr>
              <w:t>Yes</w:t>
            </w:r>
          </w:p>
        </w:tc>
      </w:tr>
    </w:tbl>
    <w:p/>
    <w:p>
      <w:pPr>
        <w:pStyle w:val="Heading1"/>
        <w:pageBreakBefore/>
      </w:pPr>
      <w:r>
        <w:t>24. Telco Onboarding and Migration</w:t>
      </w:r>
    </w:p>
    <w:p>
      <w:pPr>
        <w:pStyle w:val="ListNumber"/>
      </w:pPr>
      <w:r>
        <w:t>Commercial and regulatory readiness confirmed.</w:t>
      </w:r>
    </w:p>
    <w:p>
      <w:pPr>
        <w:pStyle w:val="ListNumber"/>
      </w:pPr>
      <w:r>
        <w:t>Tenant created with country/currency/time zone and data-residency settings.</w:t>
      </w:r>
    </w:p>
    <w:p>
      <w:pPr>
        <w:pStyle w:val="ListNumber"/>
      </w:pPr>
      <w:r>
        <w:t>Data contract and canonical mappings agreed.</w:t>
      </w:r>
    </w:p>
    <w:p>
      <w:pPr>
        <w:pStyle w:val="ListNumber"/>
      </w:pPr>
      <w:r>
        <w:t>Connectivity, authentication and certificate exchange completed.</w:t>
      </w:r>
    </w:p>
    <w:p>
      <w:pPr>
        <w:pStyle w:val="ListNumber"/>
      </w:pPr>
      <w:r>
        <w:t>Historical subscriber features and incumbent loan data mapped and quality-assessed.</w:t>
      </w:r>
    </w:p>
    <w:p>
      <w:pPr>
        <w:pStyle w:val="ListNumber"/>
      </w:pPr>
      <w:r>
        <w:t>Adapter contract tests and security tests passed.</w:t>
      </w:r>
    </w:p>
    <w:p>
      <w:pPr>
        <w:pStyle w:val="ListNumber"/>
      </w:pPr>
      <w:r>
        <w:t>Products, tiers, fees, scoring, recovery and settlement configured in draft.</w:t>
      </w:r>
    </w:p>
    <w:p>
      <w:pPr>
        <w:pStyle w:val="ListNumber"/>
      </w:pPr>
      <w:r>
        <w:t>Historical back-testing and limit distribution approved by risk and telco.</w:t>
      </w:r>
    </w:p>
    <w:p>
      <w:pPr>
        <w:pStyle w:val="ListNumber"/>
      </w:pPr>
      <w:r>
        <w:t>Shadow scoring and reconciliation run without customer impact.</w:t>
      </w:r>
    </w:p>
    <w:p>
      <w:pPr>
        <w:pStyle w:val="ListNumber"/>
      </w:pPr>
      <w:r>
        <w:t>Pilot cohort enabled using feature flags and conservative caps.</w:t>
      </w:r>
    </w:p>
    <w:p>
      <w:pPr>
        <w:pStyle w:val="ListNumber"/>
      </w:pPr>
      <w:r>
        <w:t>Ramp-up by segment/region/percentage with live monitoring.</w:t>
      </w:r>
    </w:p>
    <w:p>
      <w:pPr>
        <w:pStyle w:val="ListNumber"/>
      </w:pPr>
      <w:r>
        <w:t>Full launch after operational, financial and risk acceptance.</w:t>
      </w:r>
    </w:p>
    <w:p>
      <w:r>
        <w:t>Migration from an incumbent provider shall preserve external references, outstanding advances, repayment history, customer treatment and settlement positions. The platform shall support dual-running and cutover reconciliation.</w:t>
      </w:r>
    </w:p>
    <w:p>
      <w:pPr>
        <w:pStyle w:val="Heading1"/>
        <w:pageBreakBefore/>
      </w:pPr>
      <w:r>
        <w:t>25. Reporting and Analytics</w:t>
      </w:r>
    </w:p>
    <w:p>
      <w:pPr>
        <w:pStyle w:val="ListBullet"/>
      </w:pPr>
      <w:r>
        <w:t>Daily operational report by telco/product/channel.</w:t>
      </w:r>
    </w:p>
    <w:p>
      <w:pPr>
        <w:pStyle w:val="ListBullet"/>
      </w:pPr>
      <w:r>
        <w:t>Portfolio exposure, approvals, take-up, utilisation and available funding.</w:t>
      </w:r>
    </w:p>
    <w:p>
      <w:pPr>
        <w:pStyle w:val="ListBullet"/>
      </w:pPr>
      <w:r>
        <w:t>Repayment curves, delinquency, roll rates, write-offs and recoveries.</w:t>
      </w:r>
    </w:p>
    <w:p>
      <w:pPr>
        <w:pStyle w:val="ListBullet"/>
      </w:pPr>
      <w:r>
        <w:t>Vintage/cohort analysis and tier migration.</w:t>
      </w:r>
    </w:p>
    <w:p>
      <w:pPr>
        <w:pStyle w:val="ListBullet"/>
      </w:pPr>
      <w:r>
        <w:t>Fee, revenue-share and profitability reporting.</w:t>
      </w:r>
    </w:p>
    <w:p>
      <w:pPr>
        <w:pStyle w:val="ListBullet"/>
      </w:pPr>
      <w:r>
        <w:t>Reconciliation and settlement variance ageing.</w:t>
      </w:r>
    </w:p>
    <w:p>
      <w:pPr>
        <w:pStyle w:val="ListBullet"/>
      </w:pPr>
      <w:r>
        <w:t>Data quality and feed freshness.</w:t>
      </w:r>
    </w:p>
    <w:p>
      <w:pPr>
        <w:pStyle w:val="ListBullet"/>
      </w:pPr>
      <w:r>
        <w:t>Model performance, drift and reason-code distribution.</w:t>
      </w:r>
    </w:p>
    <w:p>
      <w:pPr>
        <w:pStyle w:val="ListBullet"/>
      </w:pPr>
      <w:r>
        <w:t>Fraud alerts and suspicious recharge/borrow behaviour.</w:t>
      </w:r>
    </w:p>
    <w:p>
      <w:pPr>
        <w:pStyle w:val="ListBullet"/>
      </w:pPr>
      <w:r>
        <w:t>Regulatory/consumer complaint and service-availability reports.</w:t>
      </w:r>
    </w:p>
    <w:p>
      <w:pPr>
        <w:pStyle w:val="Heading1"/>
        <w:pageBreakBefore/>
      </w:pPr>
      <w:r>
        <w:t>26. Regulatory and Policy Considerations</w:t>
      </w:r>
    </w:p>
    <w:p>
      <w:r>
        <w:t>Final legal classification, licensing, customer-disclosure, fee, consent, data-processing, complaints, credit reporting and collection requirements shall be confirmed for each jurisdiction and product before launch. The system shall therefore support configurable disclosures, consent capture, fee caps, cooling-off or grace rules, complaint SLAs, data-retention and audit evidence. Legal requirements shall not be assumed from a prior airtime-advance model.</w:t>
      </w:r>
    </w:p>
    <w:p>
      <w:pPr>
        <w:pStyle w:val="Heading1"/>
        <w:pageBreakBefore/>
      </w:pPr>
      <w:r>
        <w:t>27. Deployment and Technical Architecture Guidance</w:t>
      </w:r>
    </w:p>
    <w:p>
      <w:pPr>
        <w:pStyle w:val="ListBullet"/>
      </w:pPr>
      <w:r>
        <w:t>Containerised services orchestrated across multiple availability zones.</w:t>
      </w:r>
    </w:p>
    <w:p>
      <w:pPr>
        <w:pStyle w:val="ListBullet"/>
      </w:pPr>
      <w:r>
        <w:t>API gateway/WAF, Telco Integration Gateway and independently deployable telco adapters.</w:t>
      </w:r>
    </w:p>
    <w:p>
      <w:pPr>
        <w:pStyle w:val="ListBullet"/>
      </w:pPr>
      <w:r>
        <w:t>Separate services for subscriber profile, scoring, offer, advance, fulfilment, ledger, recovery, reconciliation, settlement, configuration, notifications and identity/access.</w:t>
      </w:r>
    </w:p>
    <w:p>
      <w:pPr>
        <w:pStyle w:val="ListBullet"/>
      </w:pPr>
      <w:r>
        <w:t>Durable event bus with partitioning, schema registry, dead-letter queues and replay controls.</w:t>
      </w:r>
    </w:p>
    <w:p>
      <w:pPr>
        <w:pStyle w:val="ListBullet"/>
      </w:pPr>
      <w:r>
        <w:t>Relational transactional store for advances/ledger; distributed cache for offers; object storage/data lake for raw feeds; warehouse/lakehouse for analytics.</w:t>
      </w:r>
    </w:p>
    <w:p>
      <w:pPr>
        <w:pStyle w:val="ListBullet"/>
      </w:pPr>
      <w:r>
        <w:t>Outbox/inbox patterns for reliable state-event consistency.</w:t>
      </w:r>
    </w:p>
    <w:p>
      <w:pPr>
        <w:pStyle w:val="ListBullet"/>
      </w:pPr>
      <w:r>
        <w:t>Immutable backups, point-in-time recovery and cross-region disaster recovery for critical data.</w:t>
      </w:r>
    </w:p>
    <w:p>
      <w:pPr>
        <w:pStyle w:val="ListBullet"/>
      </w:pPr>
      <w:r>
        <w:t>Infrastructure as code and environment-specific configuration; no secrets in source control.</w:t>
      </w:r>
    </w:p>
    <w:p>
      <w:pPr>
        <w:pStyle w:val="Heading1"/>
        <w:pageBreakBefore/>
      </w:pPr>
      <w:r>
        <w:t>28. Release Acceptance Criteria</w:t>
      </w:r>
    </w:p>
    <w:p>
      <w:pPr>
        <w:pStyle w:val="ListBullet"/>
      </w:pPr>
      <w:r>
        <w:t>At least one telco completes end-to-end certification and a second telco can be configured without core-code changes.</w:t>
      </w:r>
    </w:p>
    <w:p>
      <w:pPr>
        <w:pStyle w:val="ListBullet"/>
      </w:pPr>
      <w:r>
        <w:t>All financial transactions reconcile from request through settlement.</w:t>
      </w:r>
    </w:p>
    <w:p>
      <w:pPr>
        <w:pStyle w:val="ListBullet"/>
      </w:pPr>
      <w:r>
        <w:t>Duplicate, timeout-after-success and recovery-reversal scenarios pass.</w:t>
      </w:r>
    </w:p>
    <w:p>
      <w:pPr>
        <w:pStyle w:val="ListBullet"/>
      </w:pPr>
      <w:r>
        <w:t>One-tier maximum movement and anti-gaming scenarios pass.</w:t>
      </w:r>
    </w:p>
    <w:p>
      <w:pPr>
        <w:pStyle w:val="ListBullet"/>
      </w:pPr>
      <w:r>
        <w:t>Tenant isolation, RBAC and security tests pass.</w:t>
      </w:r>
    </w:p>
    <w:p>
      <w:pPr>
        <w:pStyle w:val="ListBullet"/>
      </w:pPr>
      <w:r>
        <w:t>Capacity and latency targets are achieved at forecast peak and burst load.</w:t>
      </w:r>
    </w:p>
    <w:p>
      <w:pPr>
        <w:pStyle w:val="ListBullet"/>
      </w:pPr>
      <w:r>
        <w:t>Disaster recovery and ledger reconstruction are demonstrated.</w:t>
      </w:r>
    </w:p>
    <w:p>
      <w:pPr>
        <w:pStyle w:val="ListBullet"/>
      </w:pPr>
      <w:r>
        <w:t>Admin configuration lifecycle, approval, simulation and rollback are demonstrated.</w:t>
      </w:r>
    </w:p>
    <w:p>
      <w:pPr>
        <w:pStyle w:val="ListBullet"/>
      </w:pPr>
      <w:r>
        <w:t>Operational teams have dashboards, alerts, runbooks and trained users.</w:t>
      </w:r>
    </w:p>
    <w:p>
      <w:pPr>
        <w:pStyle w:val="ListBullet"/>
      </w:pPr>
      <w:r>
        <w:t>Risk, Finance, Security, Compliance, Product and Telco stakeholders sign off.</w:t>
      </w:r>
    </w:p>
    <w:p>
      <w:pPr>
        <w:pStyle w:val="Heading1"/>
        <w:pageBreakBefore/>
      </w:pPr>
      <w:r>
        <w:t>29. Delivery Workstreams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Workstream</w:t>
            </w:r>
          </w:p>
        </w:tc>
        <w:tc>
          <w:tcPr>
            <w:tcW w:type="dxa" w:w="5112"/>
            <w:vAlign w:val="center"/>
            <w:shd w:fill="1F4E78"/>
          </w:tcPr>
          <w:p>
            <w:r/>
            <w:r>
              <w:rPr>
                <w:b/>
                <w:color w:val="FFFFFF"/>
                <w:sz w:val="16"/>
              </w:rPr>
              <w:t>Principal Deliverables</w:t>
            </w:r>
          </w:p>
        </w:tc>
      </w:tr>
      <w:tr>
        <w:tc>
          <w:tcPr>
            <w:tcW w:type="dxa" w:w="5112"/>
            <w:vAlign w:val="center"/>
          </w:tcPr>
          <w:p>
            <w:r/>
            <w:r>
              <w:rPr>
                <w:b w:val="0"/>
                <w:sz w:val="16"/>
              </w:rPr>
              <w:t>Platform Foundation</w:t>
            </w:r>
          </w:p>
        </w:tc>
        <w:tc>
          <w:tcPr>
            <w:tcW w:type="dxa" w:w="5112"/>
            <w:vAlign w:val="center"/>
          </w:tcPr>
          <w:p>
            <w:r/>
            <w:r>
              <w:rPr>
                <w:b w:val="0"/>
                <w:sz w:val="16"/>
              </w:rPr>
              <w:t>Tenant model, identity, configuration, audit, observability and deployment.</w:t>
            </w:r>
          </w:p>
        </w:tc>
      </w:tr>
      <w:tr>
        <w:tc>
          <w:tcPr>
            <w:tcW w:type="dxa" w:w="5112"/>
            <w:vAlign w:val="center"/>
          </w:tcPr>
          <w:p>
            <w:r/>
            <w:r>
              <w:rPr>
                <w:b w:val="0"/>
                <w:sz w:val="16"/>
              </w:rPr>
              <w:t>Telco Integration</w:t>
            </w:r>
          </w:p>
        </w:tc>
        <w:tc>
          <w:tcPr>
            <w:tcW w:type="dxa" w:w="5112"/>
            <w:vAlign w:val="center"/>
          </w:tcPr>
          <w:p>
            <w:r/>
            <w:r>
              <w:rPr>
                <w:b w:val="0"/>
                <w:sz w:val="16"/>
              </w:rPr>
              <w:t>Gateway, adapters, batch/stream/API contracts and certification harness.</w:t>
            </w:r>
          </w:p>
        </w:tc>
      </w:tr>
      <w:tr>
        <w:tc>
          <w:tcPr>
            <w:tcW w:type="dxa" w:w="5112"/>
            <w:vAlign w:val="center"/>
          </w:tcPr>
          <w:p>
            <w:r/>
            <w:r>
              <w:rPr>
                <w:b w:val="0"/>
                <w:sz w:val="16"/>
              </w:rPr>
              <w:t>Data and Scoring</w:t>
            </w:r>
          </w:p>
        </w:tc>
        <w:tc>
          <w:tcPr>
            <w:tcW w:type="dxa" w:w="5112"/>
            <w:vAlign w:val="center"/>
          </w:tcPr>
          <w:p>
            <w:r/>
            <w:r>
              <w:rPr>
                <w:b w:val="0"/>
                <w:sz w:val="16"/>
              </w:rPr>
              <w:t>Feature store, scoring pipeline, anti-gaming, tiering and explainability.</w:t>
            </w:r>
          </w:p>
        </w:tc>
      </w:tr>
      <w:tr>
        <w:tc>
          <w:tcPr>
            <w:tcW w:type="dxa" w:w="5112"/>
            <w:vAlign w:val="center"/>
          </w:tcPr>
          <w:p>
            <w:r/>
            <w:r>
              <w:rPr>
                <w:b w:val="0"/>
                <w:sz w:val="16"/>
              </w:rPr>
              <w:t>Credit Core</w:t>
            </w:r>
          </w:p>
        </w:tc>
        <w:tc>
          <w:tcPr>
            <w:tcW w:type="dxa" w:w="5112"/>
            <w:vAlign w:val="center"/>
          </w:tcPr>
          <w:p>
            <w:r/>
            <w:r>
              <w:rPr>
                <w:b w:val="0"/>
                <w:sz w:val="16"/>
              </w:rPr>
              <w:t>Offers, advance lifecycle, exposure, concurrency and fulfilment orchestration.</w:t>
            </w:r>
          </w:p>
        </w:tc>
      </w:tr>
      <w:tr>
        <w:tc>
          <w:tcPr>
            <w:tcW w:type="dxa" w:w="5112"/>
            <w:vAlign w:val="center"/>
          </w:tcPr>
          <w:p>
            <w:r/>
            <w:r>
              <w:rPr>
                <w:b w:val="0"/>
                <w:sz w:val="16"/>
              </w:rPr>
              <w:t>Ledger and Recovery</w:t>
            </w:r>
          </w:p>
        </w:tc>
        <w:tc>
          <w:tcPr>
            <w:tcW w:type="dxa" w:w="5112"/>
            <w:vAlign w:val="center"/>
          </w:tcPr>
          <w:p>
            <w:r/>
            <w:r>
              <w:rPr>
                <w:b w:val="0"/>
                <w:sz w:val="16"/>
              </w:rPr>
              <w:t>Sub-ledger, recovery allocation, reversals and write-offs.</w:t>
            </w:r>
          </w:p>
        </w:tc>
      </w:tr>
      <w:tr>
        <w:tc>
          <w:tcPr>
            <w:tcW w:type="dxa" w:w="5112"/>
            <w:vAlign w:val="center"/>
          </w:tcPr>
          <w:p>
            <w:r/>
            <w:r>
              <w:rPr>
                <w:b w:val="0"/>
                <w:sz w:val="16"/>
              </w:rPr>
              <w:t>Reconciliation and Settlement</w:t>
            </w:r>
          </w:p>
        </w:tc>
        <w:tc>
          <w:tcPr>
            <w:tcW w:type="dxa" w:w="5112"/>
            <w:vAlign w:val="center"/>
          </w:tcPr>
          <w:p>
            <w:r/>
            <w:r>
              <w:rPr>
                <w:b w:val="0"/>
                <w:sz w:val="16"/>
              </w:rPr>
              <w:t>Matching, exceptions, commissions, statements and finance exports.</w:t>
            </w:r>
          </w:p>
        </w:tc>
      </w:tr>
      <w:tr>
        <w:tc>
          <w:tcPr>
            <w:tcW w:type="dxa" w:w="5112"/>
            <w:vAlign w:val="center"/>
          </w:tcPr>
          <w:p>
            <w:r/>
            <w:r>
              <w:rPr>
                <w:b w:val="0"/>
                <w:sz w:val="16"/>
              </w:rPr>
              <w:t>Portals</w:t>
            </w:r>
          </w:p>
        </w:tc>
        <w:tc>
          <w:tcPr>
            <w:tcW w:type="dxa" w:w="5112"/>
            <w:vAlign w:val="center"/>
          </w:tcPr>
          <w:p>
            <w:r/>
            <w:r>
              <w:rPr>
                <w:b w:val="0"/>
                <w:sz w:val="16"/>
              </w:rPr>
              <w:t>Admin, operations, risk, finance, support and telco views.</w:t>
            </w:r>
          </w:p>
        </w:tc>
      </w:tr>
      <w:tr>
        <w:tc>
          <w:tcPr>
            <w:tcW w:type="dxa" w:w="5112"/>
            <w:vAlign w:val="center"/>
          </w:tcPr>
          <w:p>
            <w:r/>
            <w:r>
              <w:rPr>
                <w:b w:val="0"/>
                <w:sz w:val="16"/>
              </w:rPr>
              <w:t>Security and Compliance</w:t>
            </w:r>
          </w:p>
        </w:tc>
        <w:tc>
          <w:tcPr>
            <w:tcW w:type="dxa" w:w="5112"/>
            <w:vAlign w:val="center"/>
          </w:tcPr>
          <w:p>
            <w:r/>
            <w:r>
              <w:rPr>
                <w:b w:val="0"/>
                <w:sz w:val="16"/>
              </w:rPr>
              <w:t>IAM, encryption, privacy, regulatory controls and testing.</w:t>
            </w:r>
          </w:p>
        </w:tc>
      </w:tr>
      <w:tr>
        <w:tc>
          <w:tcPr>
            <w:tcW w:type="dxa" w:w="5112"/>
            <w:vAlign w:val="center"/>
          </w:tcPr>
          <w:p>
            <w:r/>
            <w:r>
              <w:rPr>
                <w:b w:val="0"/>
                <w:sz w:val="16"/>
              </w:rPr>
              <w:t>Operations Readiness</w:t>
            </w:r>
          </w:p>
        </w:tc>
        <w:tc>
          <w:tcPr>
            <w:tcW w:type="dxa" w:w="5112"/>
            <w:vAlign w:val="center"/>
          </w:tcPr>
          <w:p>
            <w:r/>
            <w:r>
              <w:rPr>
                <w:b w:val="0"/>
                <w:sz w:val="16"/>
              </w:rPr>
              <w:t>Runbooks, monitoring, DR, support model, SLAs and training.</w:t>
            </w:r>
          </w:p>
        </w:tc>
      </w:tr>
      <w:tr>
        <w:tc>
          <w:tcPr>
            <w:tcW w:type="dxa" w:w="5112"/>
            <w:vAlign w:val="center"/>
          </w:tcPr>
          <w:p>
            <w:r/>
            <w:r>
              <w:rPr>
                <w:b w:val="0"/>
                <w:sz w:val="16"/>
              </w:rPr>
              <w:t>Telco Launch</w:t>
            </w:r>
          </w:p>
        </w:tc>
        <w:tc>
          <w:tcPr>
            <w:tcW w:type="dxa" w:w="5112"/>
            <w:vAlign w:val="center"/>
          </w:tcPr>
          <w:p>
            <w:r/>
            <w:r>
              <w:rPr>
                <w:b w:val="0"/>
                <w:sz w:val="16"/>
              </w:rPr>
              <w:t>Data mapping, back-test, shadow run, pilot, ramp-up and cutover.</w:t>
            </w:r>
          </w:p>
        </w:tc>
      </w:tr>
    </w:tbl>
    <w:p/>
    <w:p>
      <w:pPr>
        <w:pStyle w:val="Heading1"/>
        <w:pageBreakBefore/>
      </w:pPr>
      <w:r>
        <w:t>30. Decisions Required Before Detailed Design Freeze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Decision</w:t>
            </w:r>
          </w:p>
        </w:tc>
        <w:tc>
          <w:tcPr>
            <w:tcW w:type="dxa" w:w="5112"/>
            <w:vAlign w:val="center"/>
            <w:shd w:fill="1F4E78"/>
          </w:tcPr>
          <w:p>
            <w:r/>
            <w:r>
              <w:rPr>
                <w:b/>
                <w:color w:val="FFFFFF"/>
                <w:sz w:val="16"/>
              </w:rPr>
              <w:t>Options/Questions</w:t>
            </w:r>
          </w:p>
        </w:tc>
      </w:tr>
      <w:tr>
        <w:tc>
          <w:tcPr>
            <w:tcW w:type="dxa" w:w="5112"/>
            <w:vAlign w:val="center"/>
          </w:tcPr>
          <w:p>
            <w:r/>
            <w:r>
              <w:rPr>
                <w:b w:val="0"/>
                <w:sz w:val="16"/>
              </w:rPr>
              <w:t>Legal lender/funder</w:t>
            </w:r>
          </w:p>
        </w:tc>
        <w:tc>
          <w:tcPr>
            <w:tcW w:type="dxa" w:w="5112"/>
            <w:vAlign w:val="center"/>
          </w:tcPr>
          <w:p>
            <w:r/>
            <w:r>
              <w:rPr>
                <w:b w:val="0"/>
                <w:sz w:val="16"/>
              </w:rPr>
              <w:t>Platform company, licensed lender, bank, telco or multi-party structure?</w:t>
            </w:r>
          </w:p>
        </w:tc>
      </w:tr>
      <w:tr>
        <w:tc>
          <w:tcPr>
            <w:tcW w:type="dxa" w:w="5112"/>
            <w:vAlign w:val="center"/>
          </w:tcPr>
          <w:p>
            <w:r/>
            <w:r>
              <w:rPr>
                <w:b w:val="0"/>
                <w:sz w:val="16"/>
              </w:rPr>
              <w:t>Fulfilment mode</w:t>
            </w:r>
          </w:p>
        </w:tc>
        <w:tc>
          <w:tcPr>
            <w:tcW w:type="dxa" w:w="5112"/>
            <w:vAlign w:val="center"/>
          </w:tcPr>
          <w:p>
            <w:r/>
            <w:r>
              <w:rPr>
                <w:b w:val="0"/>
                <w:sz w:val="16"/>
              </w:rPr>
              <w:t>Platform calls telco credit API or telco fulfils after platform approval?</w:t>
            </w:r>
          </w:p>
        </w:tc>
      </w:tr>
      <w:tr>
        <w:tc>
          <w:tcPr>
            <w:tcW w:type="dxa" w:w="5112"/>
            <w:vAlign w:val="center"/>
          </w:tcPr>
          <w:p>
            <w:r/>
            <w:r>
              <w:rPr>
                <w:b w:val="0"/>
                <w:sz w:val="16"/>
              </w:rPr>
              <w:t>Recovery mode</w:t>
            </w:r>
          </w:p>
        </w:tc>
        <w:tc>
          <w:tcPr>
            <w:tcW w:type="dxa" w:w="5112"/>
            <w:vAlign w:val="center"/>
          </w:tcPr>
          <w:p>
            <w:r/>
            <w:r>
              <w:rPr>
                <w:b w:val="0"/>
                <w:sz w:val="16"/>
              </w:rPr>
              <w:t>Telco autonomously deducts and reports, or platform instructs deduction?</w:t>
            </w:r>
          </w:p>
        </w:tc>
      </w:tr>
      <w:tr>
        <w:tc>
          <w:tcPr>
            <w:tcW w:type="dxa" w:w="5112"/>
            <w:vAlign w:val="center"/>
          </w:tcPr>
          <w:p>
            <w:r/>
            <w:r>
              <w:rPr>
                <w:b w:val="0"/>
                <w:sz w:val="16"/>
              </w:rPr>
              <w:t>Fee structure</w:t>
            </w:r>
          </w:p>
        </w:tc>
        <w:tc>
          <w:tcPr>
            <w:tcW w:type="dxa" w:w="5112"/>
            <w:vAlign w:val="center"/>
          </w:tcPr>
          <w:p>
            <w:r/>
            <w:r>
              <w:rPr>
                <w:b w:val="0"/>
                <w:sz w:val="16"/>
              </w:rPr>
              <w:t>Upfront deduction, added repayment amount, bundle-specific pricing, tax treatment?</w:t>
            </w:r>
          </w:p>
        </w:tc>
      </w:tr>
      <w:tr>
        <w:tc>
          <w:tcPr>
            <w:tcW w:type="dxa" w:w="5112"/>
            <w:vAlign w:val="center"/>
          </w:tcPr>
          <w:p>
            <w:r/>
            <w:r>
              <w:rPr>
                <w:b w:val="0"/>
                <w:sz w:val="16"/>
              </w:rPr>
              <w:t>Data frequency</w:t>
            </w:r>
          </w:p>
        </w:tc>
        <w:tc>
          <w:tcPr>
            <w:tcW w:type="dxa" w:w="5112"/>
            <w:vAlign w:val="center"/>
          </w:tcPr>
          <w:p>
            <w:r/>
            <w:r>
              <w:rPr>
                <w:b w:val="0"/>
                <w:sz w:val="16"/>
              </w:rPr>
              <w:t>Daily full feed, incremental intraday, streaming events and API fallback?</w:t>
            </w:r>
          </w:p>
        </w:tc>
      </w:tr>
      <w:tr>
        <w:tc>
          <w:tcPr>
            <w:tcW w:type="dxa" w:w="5112"/>
            <w:vAlign w:val="center"/>
          </w:tcPr>
          <w:p>
            <w:r/>
            <w:r>
              <w:rPr>
                <w:b w:val="0"/>
                <w:sz w:val="16"/>
              </w:rPr>
              <w:t>Infrastructure location</w:t>
            </w:r>
          </w:p>
        </w:tc>
        <w:tc>
          <w:tcPr>
            <w:tcW w:type="dxa" w:w="5112"/>
            <w:vAlign w:val="center"/>
          </w:tcPr>
          <w:p>
            <w:r/>
            <w:r>
              <w:rPr>
                <w:b w:val="0"/>
                <w:sz w:val="16"/>
              </w:rPr>
              <w:t>Cloud, telco-hosted, hybrid, country-specific or dedicated tenant?</w:t>
            </w:r>
          </w:p>
        </w:tc>
      </w:tr>
      <w:tr>
        <w:tc>
          <w:tcPr>
            <w:tcW w:type="dxa" w:w="5112"/>
            <w:vAlign w:val="center"/>
          </w:tcPr>
          <w:p>
            <w:r/>
            <w:r>
              <w:rPr>
                <w:b w:val="0"/>
                <w:sz w:val="16"/>
              </w:rPr>
              <w:t>Database isolation</w:t>
            </w:r>
          </w:p>
        </w:tc>
        <w:tc>
          <w:tcPr>
            <w:tcW w:type="dxa" w:w="5112"/>
            <w:vAlign w:val="center"/>
          </w:tcPr>
          <w:p>
            <w:r/>
            <w:r>
              <w:rPr>
                <w:b w:val="0"/>
                <w:sz w:val="16"/>
              </w:rPr>
              <w:t>Shared partitioned, schema-per-telco or dedicated for major telcos?</w:t>
            </w:r>
          </w:p>
        </w:tc>
      </w:tr>
      <w:tr>
        <w:tc>
          <w:tcPr>
            <w:tcW w:type="dxa" w:w="5112"/>
            <w:vAlign w:val="center"/>
          </w:tcPr>
          <w:p>
            <w:r/>
            <w:r>
              <w:rPr>
                <w:b w:val="0"/>
                <w:sz w:val="16"/>
              </w:rPr>
              <w:t>Initial products</w:t>
            </w:r>
          </w:p>
        </w:tc>
        <w:tc>
          <w:tcPr>
            <w:tcW w:type="dxa" w:w="5112"/>
            <w:vAlign w:val="center"/>
          </w:tcPr>
          <w:p>
            <w:r/>
            <w:r>
              <w:rPr>
                <w:b w:val="0"/>
                <w:sz w:val="16"/>
              </w:rPr>
              <w:t>Airtime only, airtime + data, or broader digital credit catalogue?</w:t>
            </w:r>
          </w:p>
        </w:tc>
      </w:tr>
      <w:tr>
        <w:tc>
          <w:tcPr>
            <w:tcW w:type="dxa" w:w="5112"/>
            <w:vAlign w:val="center"/>
          </w:tcPr>
          <w:p>
            <w:r/>
            <w:r>
              <w:rPr>
                <w:b w:val="0"/>
                <w:sz w:val="16"/>
              </w:rPr>
              <w:t>Target scale/TPS</w:t>
            </w:r>
          </w:p>
        </w:tc>
        <w:tc>
          <w:tcPr>
            <w:tcW w:type="dxa" w:w="5112"/>
            <w:vAlign w:val="center"/>
          </w:tcPr>
          <w:p>
            <w:r/>
            <w:r>
              <w:rPr>
                <w:b w:val="0"/>
                <w:sz w:val="16"/>
              </w:rPr>
              <w:t>Subscriber counts, peak USSD/app TPS, recharge event peaks and scoring windows?</w:t>
            </w:r>
          </w:p>
        </w:tc>
      </w:tr>
      <w:tr>
        <w:tc>
          <w:tcPr>
            <w:tcW w:type="dxa" w:w="5112"/>
            <w:vAlign w:val="center"/>
          </w:tcPr>
          <w:p>
            <w:r/>
            <w:r>
              <w:rPr>
                <w:b w:val="0"/>
                <w:sz w:val="16"/>
              </w:rPr>
              <w:t>Regulatory controls</w:t>
            </w:r>
          </w:p>
        </w:tc>
        <w:tc>
          <w:tcPr>
            <w:tcW w:type="dxa" w:w="5112"/>
            <w:vAlign w:val="center"/>
          </w:tcPr>
          <w:p>
            <w:r/>
            <w:r>
              <w:rPr>
                <w:b w:val="0"/>
                <w:sz w:val="16"/>
              </w:rPr>
              <w:t>Required licences, disclosures, consent, complaints and reporting?</w:t>
            </w:r>
          </w:p>
        </w:tc>
      </w:tr>
    </w:tbl>
    <w:p/>
    <w:p>
      <w:pPr>
        <w:pStyle w:val="Heading1"/>
        <w:pageBreakBefore/>
      </w:pPr>
      <w:r>
        <w:t>Appendix A - Glossary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6"/>
              </w:rPr>
              <w:t>Term</w:t>
            </w:r>
          </w:p>
        </w:tc>
        <w:tc>
          <w:tcPr>
            <w:tcW w:type="dxa" w:w="5112"/>
            <w:vAlign w:val="center"/>
            <w:shd w:fill="1F4E78"/>
          </w:tcPr>
          <w:p>
            <w:r/>
            <w:r>
              <w:rPr>
                <w:b/>
                <w:color w:val="FFFFFF"/>
                <w:sz w:val="16"/>
              </w:rPr>
              <w:t>Meaning</w:t>
            </w:r>
          </w:p>
        </w:tc>
      </w:tr>
      <w:tr>
        <w:tc>
          <w:tcPr>
            <w:tcW w:type="dxa" w:w="5112"/>
            <w:vAlign w:val="center"/>
          </w:tcPr>
          <w:p>
            <w:r/>
            <w:r>
              <w:rPr>
                <w:b w:val="0"/>
                <w:sz w:val="16"/>
              </w:rPr>
              <w:t>Advance</w:t>
            </w:r>
          </w:p>
        </w:tc>
        <w:tc>
          <w:tcPr>
            <w:tcW w:type="dxa" w:w="5112"/>
            <w:vAlign w:val="center"/>
          </w:tcPr>
          <w:p>
            <w:r/>
            <w:r>
              <w:rPr>
                <w:b w:val="0"/>
                <w:sz w:val="16"/>
              </w:rPr>
              <w:t>Credit value delivered now and recovered later.</w:t>
            </w:r>
          </w:p>
        </w:tc>
      </w:tr>
      <w:tr>
        <w:tc>
          <w:tcPr>
            <w:tcW w:type="dxa" w:w="5112"/>
            <w:vAlign w:val="center"/>
          </w:tcPr>
          <w:p>
            <w:r/>
            <w:r>
              <w:rPr>
                <w:b w:val="0"/>
                <w:sz w:val="16"/>
              </w:rPr>
              <w:t>MSISDN</w:t>
            </w:r>
          </w:p>
        </w:tc>
        <w:tc>
          <w:tcPr>
            <w:tcW w:type="dxa" w:w="5112"/>
            <w:vAlign w:val="center"/>
          </w:tcPr>
          <w:p>
            <w:r/>
            <w:r>
              <w:rPr>
                <w:b w:val="0"/>
                <w:sz w:val="16"/>
              </w:rPr>
              <w:t>Subscriber mobile number identifier.</w:t>
            </w:r>
          </w:p>
        </w:tc>
      </w:tr>
      <w:tr>
        <w:tc>
          <w:tcPr>
            <w:tcW w:type="dxa" w:w="5112"/>
            <w:vAlign w:val="center"/>
          </w:tcPr>
          <w:p>
            <w:r/>
            <w:r>
              <w:rPr>
                <w:b w:val="0"/>
                <w:sz w:val="16"/>
              </w:rPr>
              <w:t>Telco</w:t>
            </w:r>
          </w:p>
        </w:tc>
        <w:tc>
          <w:tcPr>
            <w:tcW w:type="dxa" w:w="5112"/>
            <w:vAlign w:val="center"/>
          </w:tcPr>
          <w:p>
            <w:r/>
            <w:r>
              <w:rPr>
                <w:b w:val="0"/>
                <w:sz w:val="16"/>
              </w:rPr>
              <w:t>Mobile network operator or MVNO connected to the platform.</w:t>
            </w:r>
          </w:p>
        </w:tc>
      </w:tr>
      <w:tr>
        <w:tc>
          <w:tcPr>
            <w:tcW w:type="dxa" w:w="5112"/>
            <w:vAlign w:val="center"/>
          </w:tcPr>
          <w:p>
            <w:r/>
            <w:r>
              <w:rPr>
                <w:b w:val="0"/>
                <w:sz w:val="16"/>
              </w:rPr>
              <w:t>Tenant</w:t>
            </w:r>
          </w:p>
        </w:tc>
        <w:tc>
          <w:tcPr>
            <w:tcW w:type="dxa" w:w="5112"/>
            <w:vAlign w:val="center"/>
          </w:tcPr>
          <w:p>
            <w:r/>
            <w:r>
              <w:rPr>
                <w:b w:val="0"/>
                <w:sz w:val="16"/>
              </w:rPr>
              <w:t>Logically isolated telco/operator configuration and data scope.</w:t>
            </w:r>
          </w:p>
        </w:tc>
      </w:tr>
      <w:tr>
        <w:tc>
          <w:tcPr>
            <w:tcW w:type="dxa" w:w="5112"/>
            <w:vAlign w:val="center"/>
          </w:tcPr>
          <w:p>
            <w:r/>
            <w:r>
              <w:rPr>
                <w:b w:val="0"/>
                <w:sz w:val="16"/>
              </w:rPr>
              <w:t>Offer Snapshot</w:t>
            </w:r>
          </w:p>
        </w:tc>
        <w:tc>
          <w:tcPr>
            <w:tcW w:type="dxa" w:w="5112"/>
            <w:vAlign w:val="center"/>
          </w:tcPr>
          <w:p>
            <w:r/>
            <w:r>
              <w:rPr>
                <w:b w:val="0"/>
                <w:sz w:val="16"/>
              </w:rPr>
              <w:t>Pre-calculated, time-bound set of amounts available to a subscriber.</w:t>
            </w:r>
          </w:p>
        </w:tc>
      </w:tr>
      <w:tr>
        <w:tc>
          <w:tcPr>
            <w:tcW w:type="dxa" w:w="5112"/>
            <w:vAlign w:val="center"/>
          </w:tcPr>
          <w:p>
            <w:r/>
            <w:r>
              <w:rPr>
                <w:b w:val="0"/>
                <w:sz w:val="16"/>
              </w:rPr>
              <w:t>Exposure</w:t>
            </w:r>
          </w:p>
        </w:tc>
        <w:tc>
          <w:tcPr>
            <w:tcW w:type="dxa" w:w="5112"/>
            <w:vAlign w:val="center"/>
          </w:tcPr>
          <w:p>
            <w:r/>
            <w:r>
              <w:rPr>
                <w:b w:val="0"/>
                <w:sz w:val="16"/>
              </w:rPr>
              <w:t>Outstanding unrecovered obligation.</w:t>
            </w:r>
          </w:p>
        </w:tc>
      </w:tr>
      <w:tr>
        <w:tc>
          <w:tcPr>
            <w:tcW w:type="dxa" w:w="5112"/>
            <w:vAlign w:val="center"/>
          </w:tcPr>
          <w:p>
            <w:r/>
            <w:r>
              <w:rPr>
                <w:b w:val="0"/>
                <w:sz w:val="16"/>
              </w:rPr>
              <w:t>Idempotency</w:t>
            </w:r>
          </w:p>
        </w:tc>
        <w:tc>
          <w:tcPr>
            <w:tcW w:type="dxa" w:w="5112"/>
            <w:vAlign w:val="center"/>
          </w:tcPr>
          <w:p>
            <w:r/>
            <w:r>
              <w:rPr>
                <w:b w:val="0"/>
                <w:sz w:val="16"/>
              </w:rPr>
              <w:t>Repeated processing produces only one financial effect.</w:t>
            </w:r>
          </w:p>
        </w:tc>
      </w:tr>
      <w:tr>
        <w:tc>
          <w:tcPr>
            <w:tcW w:type="dxa" w:w="5112"/>
            <w:vAlign w:val="center"/>
          </w:tcPr>
          <w:p>
            <w:r/>
            <w:r>
              <w:rPr>
                <w:b w:val="0"/>
                <w:sz w:val="16"/>
              </w:rPr>
              <w:t>NIN Verification Flag</w:t>
            </w:r>
          </w:p>
        </w:tc>
        <w:tc>
          <w:tcPr>
            <w:tcW w:type="dxa" w:w="5112"/>
            <w:vAlign w:val="center"/>
          </w:tcPr>
          <w:p>
            <w:r/>
            <w:r>
              <w:rPr>
                <w:b w:val="0"/>
                <w:sz w:val="16"/>
              </w:rPr>
              <w:t>Boolean/status confirmation without necessarily sharing the actual NIN.</w:t>
            </w:r>
          </w:p>
        </w:tc>
      </w:tr>
      <w:tr>
        <w:tc>
          <w:tcPr>
            <w:tcW w:type="dxa" w:w="5112"/>
            <w:vAlign w:val="center"/>
          </w:tcPr>
          <w:p>
            <w:r/>
            <w:r>
              <w:rPr>
                <w:b w:val="0"/>
                <w:sz w:val="16"/>
              </w:rPr>
              <w:t>Reconciliation</w:t>
            </w:r>
          </w:p>
        </w:tc>
        <w:tc>
          <w:tcPr>
            <w:tcW w:type="dxa" w:w="5112"/>
            <w:vAlign w:val="center"/>
          </w:tcPr>
          <w:p>
            <w:r/>
            <w:r>
              <w:rPr>
                <w:b w:val="0"/>
                <w:sz w:val="16"/>
              </w:rPr>
              <w:t>Comparison of records between systems to identify and resolve differences.</w:t>
            </w:r>
          </w:p>
        </w:tc>
      </w:tr>
      <w:tr>
        <w:tc>
          <w:tcPr>
            <w:tcW w:type="dxa" w:w="5112"/>
            <w:vAlign w:val="center"/>
          </w:tcPr>
          <w:p>
            <w:r/>
            <w:r>
              <w:rPr>
                <w:b w:val="0"/>
                <w:sz w:val="16"/>
              </w:rPr>
              <w:t>System of Record</w:t>
            </w:r>
          </w:p>
        </w:tc>
        <w:tc>
          <w:tcPr>
            <w:tcW w:type="dxa" w:w="5112"/>
            <w:vAlign w:val="center"/>
          </w:tcPr>
          <w:p>
            <w:r/>
            <w:r>
              <w:rPr>
                <w:b w:val="0"/>
                <w:sz w:val="16"/>
              </w:rPr>
              <w:t>Authoritative source for a defined data domain.</w:t>
            </w:r>
          </w:p>
        </w:tc>
      </w:tr>
      <w:tr>
        <w:tc>
          <w:tcPr>
            <w:tcW w:type="dxa" w:w="5112"/>
            <w:vAlign w:val="center"/>
          </w:tcPr>
          <w:p>
            <w:r/>
            <w:r>
              <w:rPr>
                <w:b w:val="0"/>
                <w:sz w:val="16"/>
              </w:rPr>
              <w:t>Tier</w:t>
            </w:r>
          </w:p>
        </w:tc>
        <w:tc>
          <w:tcPr>
            <w:tcW w:type="dxa" w:w="5112"/>
            <w:vAlign w:val="center"/>
          </w:tcPr>
          <w:p>
            <w:r/>
            <w:r>
              <w:rPr>
                <w:b w:val="0"/>
                <w:sz w:val="16"/>
              </w:rPr>
              <w:t>Configured credit-limit band used for progressive trust.</w:t>
            </w:r>
          </w:p>
        </w:tc>
      </w:tr>
      <w:tr>
        <w:tc>
          <w:tcPr>
            <w:tcW w:type="dxa" w:w="5112"/>
            <w:vAlign w:val="center"/>
          </w:tcPr>
          <w:p>
            <w:r/>
            <w:r>
              <w:rPr>
                <w:b w:val="0"/>
                <w:sz w:val="16"/>
              </w:rPr>
              <w:t>Outbox/Inbox</w:t>
            </w:r>
          </w:p>
        </w:tc>
        <w:tc>
          <w:tcPr>
            <w:tcW w:type="dxa" w:w="5112"/>
            <w:vAlign w:val="center"/>
          </w:tcPr>
          <w:p>
            <w:r/>
            <w:r>
              <w:rPr>
                <w:b w:val="0"/>
                <w:sz w:val="16"/>
              </w:rPr>
              <w:t>Reliable messaging patterns linking database state and event publication/consumption.</w:t>
            </w:r>
          </w:p>
        </w:tc>
      </w:tr>
    </w:tbl>
    <w:p/>
    <w:p>
      <w:pPr>
        <w:pStyle w:val="Heading1"/>
        <w:pageBreakBefore/>
      </w:pPr>
      <w:r>
        <w:t>Appendix B - Configuration Guardrails</w:t>
      </w:r>
    </w:p>
    <w:p>
      <w:pPr>
        <w:pStyle w:val="ListBullet"/>
      </w:pPr>
      <w:r>
        <w:t>No configuration may bypass ledger balancing, tenant isolation, idempotency or authentication.</w:t>
      </w:r>
    </w:p>
    <w:p>
      <w:pPr>
        <w:pStyle w:val="ListBullet"/>
      </w:pPr>
      <w:r>
        <w:t>High-risk changes require dual approval and may require risk/finance/security approval based on domain.</w:t>
      </w:r>
    </w:p>
    <w:p>
      <w:pPr>
        <w:pStyle w:val="ListBullet"/>
      </w:pPr>
      <w:r>
        <w:t>All values must have allowed ranges and semantic validation.</w:t>
      </w:r>
    </w:p>
    <w:p>
      <w:pPr>
        <w:pStyle w:val="ListBullet"/>
      </w:pPr>
      <w:r>
        <w:t>Changes affecting approval rates or exposure require impact simulation and optional canary rollout.</w:t>
      </w:r>
    </w:p>
    <w:p>
      <w:pPr>
        <w:pStyle w:val="ListBullet"/>
      </w:pPr>
      <w:r>
        <w:t>Rollback must restore the previous version without deleting historical decisions.</w:t>
      </w:r>
    </w:p>
    <w:p>
      <w:pPr>
        <w:pStyle w:val="ListBullet"/>
      </w:pPr>
      <w:r>
        <w:t>Emergency suspension is immediate but reactivation requires normal approval unless an approved incident procedure applies.</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Telco Digital Credit Platform SRS v2.0  |  Confidential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4E79"/>
        <w:sz w:val="16"/>
      </w:rPr>
      <w:t>TELCO DIGITAL CREDIT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Digital Credit Platform SRS Version 2.0</dc:title>
  <dc:subject>Multi-telco digital credit platform requirements</dc:subject>
  <dc:creator>Project Team</dc:creator>
  <cp:keywords>telco, airtime advance, data advance, digital credit, SRS, multi-tenant, scoring, ledger</cp:keywords>
  <dc:description>generated by python-docx</dc:description>
  <cp:lastModifiedBy/>
  <cp:revision>1</cp:revision>
  <dcterms:created xsi:type="dcterms:W3CDTF">2013-12-23T23:15:00Z</dcterms:created>
  <dcterms:modified xsi:type="dcterms:W3CDTF">2013-12-23T23:15:00Z</dcterms:modified>
  <cp:category/>
</cp:coreProperties>
</file>