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5C"/>
          <w:sz w:val="48"/>
        </w:rPr>
        <w:t>Cyber Security Operations Platform</w:t>
      </w:r>
    </w:p>
    <w:p/>
    <w:p/>
    <w:p/>
    <w:p>
      <w:pPr>
        <w:jc w:val="center"/>
      </w:pPr>
      <w:r>
        <w:rPr>
          <w:color w:val="1F2937"/>
          <w:sz w:val="24"/>
        </w:rPr>
        <w:t>Technical Architecture, Data Model and Integration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Document purpose</w:t>
              <w:br/>
              <w:t>This document is part of a build-and-operate pack for a modular Cyber Security Operations Platform capable of SOC-as-a-Service, MDR, Managed XDR, sovereign SOC, enterprise private SOC, and MSSP white-label deployments.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Architecture objectives</w:t>
      </w:r>
    </w:p>
    <w:p>
      <w:r>
        <w:t>The architecture must support multi-tenant SaaS, sovereign deployment, dedicated enterprise deployment and white-label MSSP mode. It must be integration-first, observable, secure by design, AI-enabled, and able to process both low-volume SME telemetry and high-volume enterprise/security log streams.</w:t>
      </w:r>
    </w:p>
    <w:p>
      <w:pPr>
        <w:pStyle w:val="Heading1"/>
      </w:pPr>
      <w:r>
        <w:t>2. Reference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components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Experience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Next.js/React portals, analyst console, customer portal, MSP portal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workflow, reporting, triage, administration.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gateway, REST/GraphQL APIs, webhook endpoints, service-to-service auth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access to platform functions and integration endpoints.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OIDC/SAML SSO, MFA, RBAC/ABAC, tenant boundary service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Authentication, authorization and separation of duties.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Ingestion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Collectors, syslog, API ingestion, connector workers, queues, schema mapper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Reliable receipt of alerts/logs/events from diverse sources.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processing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Stream processor, deduplication, enrichment, normalization, correlation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 raw events into SOC-ready alerts and incidents.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PostgreSQL, object storage, OpenSearch/ClickHouse, vector store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Transactional records, evidence, searchable telemetry and AI retrieval.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Rules engine, Sigma translator, MITRE mapping, coverage engine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Native detections and coverage management.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 engine, approvals, action connectors, runbook executor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Orchestrated response with safety controls.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gateway, prompt templates, retrieval, evaluation, logging, guardrails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copilot, triage and reporting automation.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Dashboards, report templates, scheduled exports, compliance packs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Customer, executive, operational and regulatory reporting.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operations layer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Kubernetes/cloud services, CI/CD, secrets, observability, backup/DR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Secure, reliable and maintainable operations.</w:t>
            </w:r>
          </w:p>
        </w:tc>
      </w:tr>
    </w:tbl>
    <w:p/>
    <w:p>
      <w:pPr>
        <w:pStyle w:val="Heading1"/>
      </w:pPr>
      <w:r>
        <w:t>3. Core 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Domain entity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tenant_id, name, sector, country, residency_mode, service_tier, retention_policy, SLA profile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user_id, tenant_id, role, MFA status, SSO identity, status, permissions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asset_id, tenant_id, hostname, IP, cloud_id, owner, criticality, tags, business service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entity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identity_id, tenant_id, UPN/email, department, privilege level, risk score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integration_id, tenant_id, vendor, type, status, health, permissions, last_success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event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tenant_id, source, timestamp, raw payload pointer, checksum, parse status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event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tenant_id, class, actor, target, action, outcome, severity, OCSF-like fields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alert_id, tenant_id, detection_id, severity, confidence, source, status, entities, enrichment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case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case_id, tenant_id, severity, category, stage, SLA timer, owner, related alerts, affected assets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item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evidence_id, case_id, type, source, hash, chain_of_custody, retention flag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Playbook run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case_id, playbook_id, approval status, steps, action results, audit records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report_id, tenant_id, type, period, approvals, recipients, generated artifacts</w:t>
            </w:r>
          </w:p>
        </w:tc>
      </w:tr>
    </w:tbl>
    <w:p/>
    <w:p>
      <w:pPr>
        <w:pStyle w:val="Heading1"/>
      </w:pPr>
      <w:r>
        <w:t>4. Normalized security event model</w:t>
      </w:r>
    </w:p>
    <w:p>
      <w:r>
        <w:t>The platform should adopt an OCSF-inspired normalized schema while retaining raw evidence. This enables analysts, detections and AI workflows to work across Microsoft, firewall, EDR, cloud and custom API sources with a common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 group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Example fields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tenant_id, event_id, source, connector_id, collected_at, observed_at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and provenance are mandatory.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class_name, category_uid, activity_name, severity, confidence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 with OCSF-like taxonomy where practical.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user, uid, email, IP, process, device, session_id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map from identity, endpoint or cloud source.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resource, host, file, mailbox, account, cloud_resource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may be an asset, identity or data object.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Action/outcome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action, status, outcome, reason, policy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for detection and playbook logic.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context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ioc, tactic, technique, malware_family, threat_actor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Enriched during processing.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raw_pointer, checksum, parser_version, chain_id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event must be recoverable and defensible.</w:t>
            </w:r>
          </w:p>
        </w:tc>
      </w:tr>
    </w:tbl>
    <w:p/>
    <w:p>
      <w:pPr>
        <w:pStyle w:val="Heading1"/>
      </w:pPr>
      <w:r>
        <w:t>5. Integration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Connector type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Pattern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polling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Microsoft Graph, Defender, CrowdStrike, SentinelOne, vulnerability scanners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Scheduled workers with OAuth/token handling, pagination, rate-limit backoff and checkpointing.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Push/webhook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Cloudflare, custom apps, ticketing systems, customer APIs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Authenticated webhook endpoint, payload validation, idempotency key and schema mapper.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Syslog/CEF/LEEF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Firewalls, routers, appliances, Linux servers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Collector accepts UDP/TCP/TLS syslog and forwards to parser pipeline.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Cloud logs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AWS CloudTrail/GuardDuty, Azure Activity/Defender, GCP audit logs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Provider-native collectors or customer-side forwarders.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connectors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 disable user, Defender isolate device, firewall block IP, ticket create/update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SOAR-controlled actions with approval, dry-run and rollback notes.</w:t>
            </w:r>
          </w:p>
        </w:tc>
      </w:tr>
    </w:tbl>
    <w:p/>
    <w:p>
      <w:pPr>
        <w:pStyle w:val="Heading1"/>
      </w:pPr>
      <w:r>
        <w:t>6. Phased integration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Integrations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Microsoft 365, Entra ID, Defender, syslog, webhook/API, email/Teams, Jira/ServiceNow basics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market coverage and enough telemetry for practical SOC monitoring.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AWS, Azure, Google Workspace, Fortinet, Palo Alto, Cisco, Sophos, SentinelOne, CrowdStrike, vulnerability scanners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Enable MDR/XDR and wider enterprise coverage.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Okta, Cloudflare, Zscaler, GCP, email security platforms, Slack, advanced ticketing sync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Broaden identity, edge, cloud and collaboration coverage.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Enterprise/Sovereign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Sector-specific APIs, banking/payment logs, telecom/utility/OT feeds, regulator reporting APIs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high-value regulated and critical infrastructure propositions.</w:t>
            </w:r>
          </w:p>
        </w:tc>
      </w:tr>
    </w:tbl>
    <w:p/>
    <w:p>
      <w:pPr>
        <w:pStyle w:val="Heading1"/>
      </w:pPr>
      <w:r>
        <w:t>7. Security architecture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isolation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Every query, object, file, vector embedding and action must be scoped to tenant. Include isolation tests in CI/CD.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 for all transport; KMS-managed encryption for databases/object stores; encrypted secrets.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Vault/cloud secret manager; no connector credentials in logs; rotation support per tenant.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controls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Break-glass roles, privileged action approval, session logging and just-in-time access where possible.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logs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append-only audit events for login, admin, analyst, AI and SOAR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privacy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Tenant-scoped prompts, no cross-tenant context leakage, prompt/result logging, configurable data minimisation.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retention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 per tenant/tier; legal hold and evidence preservation; deletion workflows.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Backup/DR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RPO/RTO by tier, tested restore, separate backup encryption and disaster recovery runbooks.</w:t>
            </w:r>
          </w:p>
        </w:tc>
      </w:tr>
    </w:tbl>
    <w:p/>
    <w:p>
      <w:pPr>
        <w:pStyle w:val="Heading1"/>
      </w:pPr>
      <w:r>
        <w:t>8. DevSecOps and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 build and unit testing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Synthetic data only, no production secrets.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Integration/UAT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testing and business validation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Masked data, controlled access, test tenants.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Production-like testing before release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scan gates, migrations tested, rollback plan.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SOC service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MFA, least privilege, monitored admin, immutable audit logs.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DR/Backup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 and continuity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Separated credentials, regular restore test, documented runbook.</w:t>
            </w:r>
          </w:p>
        </w:tc>
      </w:tr>
    </w:tbl>
    <w:p/>
    <w:p>
      <w:pPr>
        <w:pStyle w:val="Heading1"/>
      </w:pPr>
      <w:r>
        <w:t>Reference standards and sources</w:t>
      </w:r>
    </w:p>
    <w:p>
      <w:pPr/>
      <w:r>
        <w:rPr>
          <w:b/>
        </w:rPr>
        <w:t xml:space="preserve">NIST Cybersecurity Framework 2.0: </w:t>
      </w:r>
      <w:r>
        <w:t>https://csrc.nist.gov/pubs/cswp/29/the-nist-cybersecurity-framework-csf-20/final</w:t>
      </w:r>
    </w:p>
    <w:p>
      <w:pPr/>
      <w:r>
        <w:rPr>
          <w:b/>
        </w:rPr>
        <w:t xml:space="preserve">NIST SP 800-61 Revision 3 Incident Response Recommendations: </w:t>
      </w:r>
      <w:r>
        <w:t>https://csrc.nist.gov/pubs/sp/800/61/r3/final</w:t>
      </w:r>
    </w:p>
    <w:p>
      <w:pPr/>
      <w:r>
        <w:rPr>
          <w:b/>
        </w:rPr>
        <w:t xml:space="preserve">MITRE ATT&amp;CK Enterprise Matrix: </w:t>
      </w:r>
      <w:r>
        <w:t>https://attack.mitre.org/matrices/enterprise/</w:t>
      </w:r>
    </w:p>
    <w:p>
      <w:pPr/>
      <w:r>
        <w:rPr>
          <w:b/>
        </w:rPr>
        <w:t xml:space="preserve">OCSF Open Cybersecurity Schema Framework: </w:t>
      </w:r>
      <w:r>
        <w:t>https://ocsf.io/</w:t>
      </w:r>
    </w:p>
    <w:p>
      <w:pPr/>
      <w:r>
        <w:rPr>
          <w:b/>
        </w:rPr>
        <w:t xml:space="preserve">Sigma Detection Format: </w:t>
      </w:r>
      <w:r>
        <w:t>https://sigmahq.io/docs/basics/rules.html</w:t>
      </w:r>
    </w:p>
    <w:p>
      <w:pPr/>
      <w:r>
        <w:rPr>
          <w:b/>
        </w:rPr>
        <w:t xml:space="preserve">OASIS STIX/TAXII Cyber Threat Intelligence Standards: </w:t>
      </w:r>
      <w:r>
        <w:t>https://www.oasis-open.org/committees/tc_home.php?wg_abbrev=cti</w:t>
      </w:r>
    </w:p>
    <w:p>
      <w:pPr/>
      <w:r>
        <w:rPr>
          <w:b/>
        </w:rPr>
        <w:t xml:space="preserve">CIS Critical Security Controls v8.1: </w:t>
      </w:r>
      <w:r>
        <w:t>https://www.cisecurity.org/controls/v8-1</w:t>
      </w:r>
    </w:p>
    <w:p>
      <w:pPr/>
      <w:r>
        <w:rPr>
          <w:b/>
        </w:rPr>
        <w:t xml:space="preserve">FIRST Traffic Light Protocol 2.0: </w:t>
      </w:r>
      <w:r>
        <w:t>https://www.first.org/tlp/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Cyber Security Operations Platform |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E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