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b/>
          <w:color w:val="17365D"/>
          <w:sz w:val="50"/>
        </w:rPr>
        <w:t>OpenWA Integration Approach</w:t>
        <w:br/>
        <w:t>and Alignment Findings</w:t>
      </w:r>
    </w:p>
    <w:p>
      <w:pPr>
        <w:jc w:val="center"/>
      </w:pPr>
      <w:r>
        <w:rPr>
          <w:i/>
          <w:sz w:val="28"/>
        </w:rPr>
        <w:t>Internal Audience, Consent and Campaign Operations Platform</w:t>
      </w:r>
    </w:p>
    <w:p>
      <w:pPr>
        <w:jc w:val="center"/>
      </w:pPr>
      <w:r>
        <w:br/>
        <w:t>Version 1.0 | 5 August 2026</w:t>
        <w:br/>
        <w:t>Prepared from the SRS, UI/UX specification, full prior discussion, current campaign-platform repository and supplied OpenWA 0.13.0 source package.</w:t>
      </w:r>
    </w:p>
    <w:p>
      <w:r>
        <w:br w:type="page"/>
      </w:r>
    </w:p>
    <w:p>
      <w:pPr>
        <w:pStyle w:val="Heading1"/>
      </w:pPr>
      <w:r>
        <w:t>1. Executive Summary</w:t>
      </w:r>
    </w:p>
    <w:p>
      <w:r>
        <w:t>The supplied OpenWA source confirms that OpenWA is a suitable initial WhatsApp transport gateway, but it must remain isolated from the authoritative business platform. The Go control plane and PostgreSQL must continue to own organisations, consent, audience eligibility, campaign approvals, commercial entitlement, durable delivery obligations, canonical delivery state, reconciliation, reporting and audit. OpenWA should own only session pairing and persistence, message/media submission, provider identifiers, connection health and WhatsApp event capture.</w:t>
      </w:r>
    </w:p>
    <w:p>
      <w:r>
        <w:t>The most important integration correction is that OpenWA engine selection is process-level in the supplied source. A single OpenWA process is configured for whatsapp-web.js or Baileys; it does not dynamically select an engine per campaign request. Campaign-level engine choice must therefore be implemented by routing to a compatible engine-specific gateway pool. Provider, engine, gateway pool and sender selection must be frozen as immutable campaign release evidence.</w:t>
      </w:r>
    </w:p>
    <w:tbl>
      <w:tblPr>
        <w:tblStyle w:val="TableGrid"/>
        <w:tblW w:type="auto" w:w="0"/>
        <w:tblLook w:firstColumn="1" w:firstRow="1" w:lastColumn="0" w:lastRow="0" w:noHBand="0" w:noVBand="1" w:val="04A0"/>
      </w:tblPr>
      <w:tblGrid>
        <w:gridCol w:w="10080"/>
      </w:tblGrid>
      <w:tr>
        <w:tc>
          <w:tcPr>
            <w:tcW w:type="dxa" w:w="10080"/>
            <w:shd w:fill="E2F0D9"/>
          </w:tcPr>
          <w:p>
            <w:r>
              <w:t>Alignment decision: Build a provider-independent campaign platform with OpenWA as the initial real gateway. Permit explicit OpenWA-only operation, specific engine selection through engine-specific gateway pools, and specific-session or governed sender-pool routing. Disable silent fallback by default.</w:t>
            </w:r>
          </w:p>
        </w:tc>
      </w:tr>
    </w:tbl>
    <w:p>
      <w:pPr>
        <w:pStyle w:val="Heading1"/>
      </w:pPr>
      <w:r>
        <w:t>2. Sources and Review Basis</w:t>
      </w:r>
    </w:p>
    <w:p>
      <w:pPr>
        <w:pStyle w:val="ListBullet"/>
      </w:pPr>
      <w:r>
        <w:t>The authoritative OpenWA Internal Campaign Platform SRS v1.0.</w:t>
      </w:r>
    </w:p>
    <w:p>
      <w:pPr>
        <w:pStyle w:val="ListBullet"/>
      </w:pPr>
      <w:r>
        <w:t>The authoritative UI/UX Design Specification v1.0.</w:t>
      </w:r>
    </w:p>
    <w:p>
      <w:pPr>
        <w:pStyle w:val="ListBullet"/>
      </w:pPr>
      <w:r>
        <w:t>The complete 4,456-line prior OpenWA solution discussion and decision history.</w:t>
      </w:r>
    </w:p>
    <w:p>
      <w:pPr>
        <w:pStyle w:val="ListBullet"/>
      </w:pPr>
      <w:r>
        <w:t>The current campaign-platform Git history and latest available implementation baseline.</w:t>
      </w:r>
    </w:p>
    <w:p>
      <w:pPr>
        <w:pStyle w:val="ListBullet"/>
      </w:pPr>
      <w:r>
        <w:t>The supplied OpenWA source package, package version 0.13.0, including NestJS source, lockfile, Docker configuration, OpenAPI material, security controls and tests.</w:t>
      </w:r>
    </w:p>
    <w:p>
      <w:r>
        <w:t>The supplied ZIP does not contain Git metadata. Its package version can be established, but the exact upstream commit cannot yet be proven and must not be invented. UPSTREAM.md must record the source archive checksum, import date and the fact that the exact commit is unverified until a Git bundle or clone is supplied.</w:t>
      </w:r>
    </w:p>
    <w:p>
      <w:pPr>
        <w:pStyle w:val="Heading1"/>
      </w:pPr>
      <w:r>
        <w:t>3. Target Architecture</w:t>
      </w:r>
    </w:p>
    <w:p>
      <w:r>
        <w:t>The target service boundary is:</w:t>
      </w:r>
    </w:p>
    <w:p>
      <w:pPr>
        <w:pStyle w:val="IntenseQuote"/>
      </w:pPr>
      <w:r>
        <w:t>Internal Next.js Portal</w:t>
        <w:br/>
        <w:t xml:space="preserve">        |</w:t>
        <w:br/>
        <w:t>Go Control Plane and Workers</w:t>
        <w:br/>
        <w:t xml:space="preserve">        |</w:t>
        <w:br/>
        <w:t>Provider Interface and Routing Policy</w:t>
        <w:br/>
        <w:t xml:space="preserve">        |</w:t>
        <w:br/>
        <w:t>Engine-specific OpenWA Gateway Pool</w:t>
        <w:br/>
        <w:t xml:space="preserve">        |</w:t>
        <w:br/>
        <w:t>WhatsApp Sessions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Layer</w:t>
            </w:r>
          </w:p>
        </w:tc>
        <w:tc>
          <w:tcPr>
            <w:tcW w:type="dxa" w:w="5040"/>
            <w:vAlign w:val="center"/>
            <w:shd w:fill="D9EAF7"/>
          </w:tcPr>
          <w:p>
            <w:r>
              <w:rPr>
                <w:b/>
              </w:rPr>
              <w:t>Authoritative responsibilities</w:t>
            </w:r>
          </w:p>
        </w:tc>
      </w:tr>
      <w:tr>
        <w:tc>
          <w:tcPr>
            <w:tcW w:type="dxa" w:w="5040"/>
            <w:vAlign w:val="top"/>
          </w:tcPr>
          <w:p>
            <w:r>
              <w:t>Next.js internal portal</w:t>
            </w:r>
          </w:p>
        </w:tc>
        <w:tc>
          <w:tcPr>
            <w:tcW w:type="dxa" w:w="5040"/>
            <w:vAlign w:val="top"/>
          </w:tcPr>
          <w:p>
            <w:r>
              <w:t>Internal operator workflows, approvals, monitoring, controlled administration and reporting presentation.</w:t>
            </w:r>
          </w:p>
        </w:tc>
      </w:tr>
      <w:tr>
        <w:tc>
          <w:tcPr>
            <w:tcW w:type="dxa" w:w="5040"/>
            <w:vAlign w:val="top"/>
          </w:tcPr>
          <w:p>
            <w:r>
              <w:t>Go platform</w:t>
            </w:r>
          </w:p>
        </w:tc>
        <w:tc>
          <w:tcPr>
            <w:tcW w:type="dxa" w:w="5040"/>
            <w:vAlign w:val="top"/>
          </w:tcPr>
          <w:p>
            <w:r>
              <w:t>Consent and eligibility, audience snapshots, campaign lifecycle, commercial entitlement, durable recipient ledger, dispatch orchestration, capacity admission, canonical state, metrics and audit.</w:t>
            </w:r>
          </w:p>
        </w:tc>
      </w:tr>
      <w:tr>
        <w:tc>
          <w:tcPr>
            <w:tcW w:type="dxa" w:w="5040"/>
            <w:vAlign w:val="top"/>
          </w:tcPr>
          <w:p>
            <w:r>
              <w:t>PostgreSQL</w:t>
            </w:r>
          </w:p>
        </w:tc>
        <w:tc>
          <w:tcPr>
            <w:tcW w:type="dxa" w:w="5040"/>
            <w:vAlign w:val="top"/>
          </w:tcPr>
          <w:p>
            <w:r>
              <w:t>System of record for campaign obligations, recipients, configuration versions, sender governance, provider correlations and reconciliation evidence.</w:t>
            </w:r>
          </w:p>
        </w:tc>
      </w:tr>
      <w:tr>
        <w:tc>
          <w:tcPr>
            <w:tcW w:type="dxa" w:w="5040"/>
            <w:vAlign w:val="top"/>
          </w:tcPr>
          <w:p>
            <w:r>
              <w:t>Redis/queue</w:t>
            </w:r>
          </w:p>
        </w:tc>
        <w:tc>
          <w:tcPr>
            <w:tcW w:type="dxa" w:w="5040"/>
            <w:vAlign w:val="top"/>
          </w:tcPr>
          <w:p>
            <w:r>
              <w:t>Reconstructable execution acceleration and transient coordination; never the only record of work owed.</w:t>
            </w:r>
          </w:p>
        </w:tc>
      </w:tr>
      <w:tr>
        <w:tc>
          <w:tcPr>
            <w:tcW w:type="dxa" w:w="5040"/>
            <w:vAlign w:val="top"/>
          </w:tcPr>
          <w:p>
            <w:r>
              <w:t>OpenWA gateway</w:t>
            </w:r>
          </w:p>
        </w:tc>
        <w:tc>
          <w:tcPr>
            <w:tcW w:type="dxa" w:w="5040"/>
            <w:vAlign w:val="top"/>
          </w:tcPr>
          <w:p>
            <w:r>
              <w:t>Session pairing and state, text/media submission, provider message IDs, WhatsApp events, health and diagnostics.</w:t>
            </w:r>
          </w:p>
        </w:tc>
      </w:tr>
    </w:tbl>
    <w:p>
      <w:pPr>
        <w:pStyle w:val="Heading1"/>
      </w:pPr>
      <w:r>
        <w:t>4. OpenWA Source Findings</w:t>
      </w:r>
    </w:p>
    <w:p>
      <w:pPr>
        <w:pStyle w:val="Heading2"/>
      </w:pPr>
      <w:r>
        <w:t>4.1 Engine selection is process-level</w:t>
      </w:r>
    </w:p>
    <w:p>
      <w:r>
        <w:t>The supplied OpenWA source configures one engine for a deployment using ENGINE_TYPE. The practical result is that whatsapp-web.js and Baileys must run as separate gateway pools or deployments. A campaign can still choose its approved engine, but the Go routing layer must send work to the compatible pool rather than attempting a per-request engine switch inside one OpenWA instance.</w:t>
      </w:r>
    </w:p>
    <w:p>
      <w:pPr>
        <w:pStyle w:val="Heading2"/>
      </w:pPr>
      <w:r>
        <w:t>4.2 Session-scoped APIs support both routing modes</w:t>
      </w:r>
    </w:p>
    <w:p>
      <w:r>
        <w:t>OpenWA exposes session lifecycle and session-scoped send operations. This supports two campaign routing modes:</w:t>
      </w:r>
    </w:p>
    <w:p>
      <w:pPr>
        <w:pStyle w:val="ListBullet"/>
      </w:pPr>
      <w:r>
        <w:t>SPECIFIC_SESSION - the release binds to one approved, ready session.</w:t>
      </w:r>
    </w:p>
    <w:p>
      <w:pPr>
        <w:pStyle w:val="ListBullet"/>
      </w:pPr>
      <w:r>
        <w:t>SENDER_POOL - the release binds to a governed logical pool and the scheduler allocates one compatible healthy session.</w:t>
      </w:r>
    </w:p>
    <w:p>
      <w:r>
        <w:t>The logical sender pool is an internal routing abstraction. The recipient still sees the actual WhatsApp MSISDN used for delivery.</w:t>
      </w:r>
    </w:p>
    <w:p>
      <w:pPr>
        <w:pStyle w:val="Heading2"/>
      </w:pPr>
      <w:r>
        <w:t>4.3 OpenWA bulk is not the campaign executor</w:t>
      </w:r>
    </w:p>
    <w:p>
      <w:r>
        <w:t>OpenWA includes bulk functionality, but its process-level state and restart treatment confirm that it must not own campaign obligations. The campaign platform should submit one authorised recipient delivery through the provider boundary, persist the result in the canonical ledger and independently reconcile later provider events. The OpenWA bulk API may remain for gateway testing or restricted native use, but it is not the production source of truth.</w:t>
      </w:r>
    </w:p>
    <w:p>
      <w:pPr>
        <w:pStyle w:val="Heading2"/>
      </w:pPr>
      <w:r>
        <w:t>4.4 Useful controls to retain</w:t>
      </w:r>
    </w:p>
    <w:p>
      <w:pPr>
        <w:pStyle w:val="ListBullet"/>
      </w:pPr>
      <w:r>
        <w:t>HMAC-signed webhooks and delivery identifiers.</w:t>
      </w:r>
    </w:p>
    <w:p>
      <w:pPr>
        <w:pStyle w:val="ListBullet"/>
      </w:pPr>
      <w:r>
        <w:t>Bounded webhook concurrency and optional BullMQ-backed delivery.</w:t>
      </w:r>
    </w:p>
    <w:p>
      <w:pPr>
        <w:pStyle w:val="ListBullet"/>
      </w:pPr>
      <w:r>
        <w:t>Retry and failure persistence for outbound webhook delivery.</w:t>
      </w:r>
    </w:p>
    <w:p>
      <w:pPr>
        <w:pStyle w:val="ListBullet"/>
      </w:pPr>
      <w:r>
        <w:t>Session validation, media limits, SSRF protections and path-safety controls.</w:t>
      </w:r>
    </w:p>
    <w:p>
      <w:pPr>
        <w:pStyle w:val="ListBullet"/>
      </w:pPr>
      <w:r>
        <w:t>API authentication, rate limiting, security headers and production bootstrap validation.</w:t>
      </w:r>
    </w:p>
    <w:p>
      <w:pPr>
        <w:pStyle w:val="ListBullet"/>
      </w:pPr>
      <w:r>
        <w:t>Local and S3-compatible storage options, structured logging and graceful shutdown.</w:t>
      </w:r>
    </w:p>
    <w:p>
      <w:pPr>
        <w:pStyle w:val="Heading2"/>
      </w:pPr>
      <w:r>
        <w:t>4.5 Capability parity cannot be assumed</w:t>
      </w:r>
    </w:p>
    <w:p>
      <w:r>
        <w:t>The two OpenWA engines do not expose identical feature sets. The platform must maintain a versioned provider/engine capability catalogue and pre-flight every approved message and required event type against the selected route. The UI and reports must not imply capabilities that a selected engine cannot provide reliably.</w:t>
      </w:r>
    </w:p>
    <w:p>
      <w:pPr>
        <w:pStyle w:val="Heading1"/>
      </w:pPr>
      <w:r>
        <w:t>5. Immutable Campaign Transport Selection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Field</w:t>
            </w:r>
          </w:p>
        </w:tc>
        <w:tc>
          <w:tcPr>
            <w:tcW w:type="dxa" w:w="5040"/>
            <w:vAlign w:val="center"/>
            <w:shd w:fill="D9EAF7"/>
          </w:tcPr>
          <w:p>
            <w:r>
              <w:rPr>
                <w:b/>
              </w:rPr>
              <w:t>Requirement</w:t>
            </w:r>
          </w:p>
        </w:tc>
      </w:tr>
      <w:tr>
        <w:tc>
          <w:tcPr>
            <w:tcW w:type="dxa" w:w="5040"/>
            <w:vAlign w:val="top"/>
          </w:tcPr>
          <w:p>
            <w:r>
              <w:t>channel</w:t>
            </w:r>
          </w:p>
        </w:tc>
        <w:tc>
          <w:tcPr>
            <w:tcW w:type="dxa" w:w="5040"/>
            <w:vAlign w:val="top"/>
          </w:tcPr>
          <w:p>
            <w:r>
              <w:t>WHATSAPP for the initial OpenWA route.</w:t>
            </w:r>
          </w:p>
        </w:tc>
      </w:tr>
      <w:tr>
        <w:tc>
          <w:tcPr>
            <w:tcW w:type="dxa" w:w="5040"/>
            <w:vAlign w:val="top"/>
          </w:tcPr>
          <w:p>
            <w:r>
              <w:t>provider</w:t>
            </w:r>
          </w:p>
        </w:tc>
        <w:tc>
          <w:tcPr>
            <w:tcW w:type="dxa" w:w="5040"/>
            <w:vAlign w:val="top"/>
          </w:tcPr>
          <w:p>
            <w:r>
              <w:t>OPENWA, with future providers registered separately.</w:t>
            </w:r>
          </w:p>
        </w:tc>
      </w:tr>
      <w:tr>
        <w:tc>
          <w:tcPr>
            <w:tcW w:type="dxa" w:w="5040"/>
            <w:vAlign w:val="top"/>
          </w:tcPr>
          <w:p>
            <w:r>
              <w:t>engine</w:t>
            </w:r>
          </w:p>
        </w:tc>
        <w:tc>
          <w:tcPr>
            <w:tcW w:type="dxa" w:w="5040"/>
            <w:vAlign w:val="top"/>
          </w:tcPr>
          <w:p>
            <w:r>
              <w:t>WHATSAPP_WEB_JS or BAILEYS.</w:t>
            </w:r>
          </w:p>
        </w:tc>
      </w:tr>
      <w:tr>
        <w:tc>
          <w:tcPr>
            <w:tcW w:type="dxa" w:w="5040"/>
            <w:vAlign w:val="top"/>
          </w:tcPr>
          <w:p>
            <w:r>
              <w:t>routing mode</w:t>
            </w:r>
          </w:p>
        </w:tc>
        <w:tc>
          <w:tcPr>
            <w:tcW w:type="dxa" w:w="5040"/>
            <w:vAlign w:val="top"/>
          </w:tcPr>
          <w:p>
            <w:r>
              <w:t>SPECIFIC_SESSION or SENDER_POOL.</w:t>
            </w:r>
          </w:p>
        </w:tc>
      </w:tr>
      <w:tr>
        <w:tc>
          <w:tcPr>
            <w:tcW w:type="dxa" w:w="5040"/>
            <w:vAlign w:val="top"/>
          </w:tcPr>
          <w:p>
            <w:r>
              <w:t>gateway pool</w:t>
            </w:r>
          </w:p>
        </w:tc>
        <w:tc>
          <w:tcPr>
            <w:tcW w:type="dxa" w:w="5040"/>
            <w:vAlign w:val="top"/>
          </w:tcPr>
          <w:p>
            <w:r>
              <w:t>Engine-compatible, healthy gateway deployment group.</w:t>
            </w:r>
          </w:p>
        </w:tc>
      </w:tr>
      <w:tr>
        <w:tc>
          <w:tcPr>
            <w:tcW w:type="dxa" w:w="5040"/>
            <w:vAlign w:val="top"/>
          </w:tcPr>
          <w:p>
            <w:r>
              <w:t>specific session / sender pool</w:t>
            </w:r>
          </w:p>
        </w:tc>
        <w:tc>
          <w:tcPr>
            <w:tcW w:type="dxa" w:w="5040"/>
            <w:vAlign w:val="top"/>
          </w:tcPr>
          <w:p>
            <w:r>
              <w:t>Exactly one is required according to routing mode.</w:t>
            </w:r>
          </w:p>
        </w:tc>
      </w:tr>
      <w:tr>
        <w:tc>
          <w:tcPr>
            <w:tcW w:type="dxa" w:w="5040"/>
            <w:vAlign w:val="top"/>
          </w:tcPr>
          <w:p>
            <w:r>
              <w:t>adapter version</w:t>
            </w:r>
          </w:p>
        </w:tc>
        <w:tc>
          <w:tcPr>
            <w:tcW w:type="dxa" w:w="5040"/>
            <w:vAlign w:val="top"/>
          </w:tcPr>
          <w:p>
            <w:r>
              <w:t>Frozen provider adapter/build version.</w:t>
            </w:r>
          </w:p>
        </w:tc>
      </w:tr>
      <w:tr>
        <w:tc>
          <w:tcPr>
            <w:tcW w:type="dxa" w:w="5040"/>
            <w:vAlign w:val="top"/>
          </w:tcPr>
          <w:p>
            <w:r>
              <w:t>required capabilities</w:t>
            </w:r>
          </w:p>
        </w:tc>
        <w:tc>
          <w:tcPr>
            <w:tcW w:type="dxa" w:w="5040"/>
            <w:vAlign w:val="top"/>
          </w:tcPr>
          <w:p>
            <w:r>
              <w:t>Message type, media, inbound, sent/delivered/read events as applicable.</w:t>
            </w:r>
          </w:p>
        </w:tc>
      </w:tr>
      <w:tr>
        <w:tc>
          <w:tcPr>
            <w:tcW w:type="dxa" w:w="5040"/>
            <w:vAlign w:val="top"/>
          </w:tcPr>
          <w:p>
            <w:r>
              <w:t>fallback mode</w:t>
            </w:r>
          </w:p>
        </w:tc>
        <w:tc>
          <w:tcPr>
            <w:tcW w:type="dxa" w:w="5040"/>
            <w:vAlign w:val="top"/>
          </w:tcPr>
          <w:p>
            <w:r>
              <w:t>NONE by default; any alternative policy is explicit, versioned and approved.</w:t>
            </w:r>
          </w:p>
        </w:tc>
      </w:tr>
      <w:tr>
        <w:tc>
          <w:tcPr>
            <w:tcW w:type="dxa" w:w="5040"/>
            <w:vAlign w:val="top"/>
          </w:tcPr>
          <w:p>
            <w:r>
              <w:t>capacity evidence</w:t>
            </w:r>
          </w:p>
        </w:tc>
        <w:tc>
          <w:tcPr>
            <w:tcW w:type="dxa" w:w="5040"/>
            <w:vAlign w:val="top"/>
          </w:tcPr>
          <w:p>
            <w:r>
              <w:t>Version of measured capacity and forecast used at approval.</w:t>
            </w:r>
          </w:p>
        </w:tc>
      </w:tr>
    </w:tbl>
    <w:p>
      <w:r>
        <w:t>Changing provider, engine, gateway pool, sender pool, specific session, capabilities, fallback behaviour or routing policy after approval invalidates the release and requires a new approval cycle.</w:t>
      </w:r>
    </w:p>
    <w:p>
      <w:pPr>
        <w:pStyle w:val="Heading1"/>
      </w:pPr>
      <w:r>
        <w:t>6. Routing and Failure Rules</w:t>
      </w:r>
    </w:p>
    <w:p>
      <w:pPr>
        <w:pStyle w:val="ListNumber"/>
      </w:pPr>
      <w:r>
        <w:t>Validate the selected provider and engine against the approved message type and required reporting capabilities.</w:t>
      </w:r>
    </w:p>
    <w:p>
      <w:pPr>
        <w:pStyle w:val="ListNumber"/>
      </w:pPr>
      <w:r>
        <w:t>Validate that the selected specific session or sender pool belongs to the selected provider and engine.</w:t>
      </w:r>
    </w:p>
    <w:p>
      <w:pPr>
        <w:pStyle w:val="ListNumber"/>
      </w:pPr>
      <w:r>
        <w:t>Validate session ownership, heartbeat freshness, authentication state, throughput limits and capacity evidence.</w:t>
      </w:r>
    </w:p>
    <w:p>
      <w:pPr>
        <w:pStyle w:val="ListNumber"/>
      </w:pPr>
      <w:r>
        <w:t>Freeze the transport selection as part of release evidence.</w:t>
      </w:r>
    </w:p>
    <w:p>
      <w:pPr>
        <w:pStyle w:val="ListNumber"/>
      </w:pPr>
      <w:r>
        <w:t>Create authoritative recipient obligations and outbox events atomically in PostgreSQL.</w:t>
      </w:r>
    </w:p>
    <w:p>
      <w:pPr>
        <w:pStyle w:val="ListNumber"/>
      </w:pPr>
      <w:r>
        <w:t>Route each delivery only to the owner node of the selected compatible session.</w:t>
      </w:r>
    </w:p>
    <w:p>
      <w:pPr>
        <w:pStyle w:val="ListNumber"/>
      </w:pPr>
      <w:r>
        <w:t>Record the provider request correlation before submission and the provider message identifier immediately after acceptance.</w:t>
      </w:r>
    </w:p>
    <w:p>
      <w:pPr>
        <w:pStyle w:val="ListNumber"/>
      </w:pPr>
      <w:r>
        <w:t>If submission may have occurred but the outcome is unknown, mark UNKNOWN and reconcile. Do not automatically resend through another session, engine or provider.</w:t>
      </w:r>
    </w:p>
    <w:p>
      <w:pPr>
        <w:pStyle w:val="ListNumber"/>
      </w:pPr>
      <w:r>
        <w:t>Do not silently fall back. OpenWA-only campaigns remain held, paused or rejected when the approved OpenWA route cannot meet the requirement.</w:t>
      </w:r>
    </w:p>
    <w:p>
      <w:pPr>
        <w:pStyle w:val="Heading1"/>
      </w:pPr>
      <w:r>
        <w:t>7. Session Ownership and Lifecycle</w:t>
      </w:r>
    </w:p>
    <w:p>
      <w:pPr>
        <w:pStyle w:val="ListBullet"/>
      </w:pPr>
      <w:r>
        <w:t>One live WhatsApp session has exactly one active gateway owner.</w:t>
      </w:r>
    </w:p>
    <w:p>
      <w:pPr>
        <w:pStyle w:val="ListBullet"/>
      </w:pPr>
      <w:r>
        <w:t>Authentication state is local to the relevant engine and must remain bound to the correct node or be moved only through an authorised recovery process.</w:t>
      </w:r>
    </w:p>
    <w:p>
      <w:pPr>
        <w:pStyle w:val="ListBullet"/>
      </w:pPr>
      <w:r>
        <w:t>Session lifecycle includes create, pair, start, ready, drain, pause, stop, logout, delete, restricted and retired states.</w:t>
      </w:r>
    </w:p>
    <w:p>
      <w:pPr>
        <w:pStyle w:val="ListBullet"/>
      </w:pPr>
      <w:r>
        <w:t>Engine switching is a governed technical change: drain first, ensure no active campaign ownership, record the target engine, validate state compatibility, start in the target gateway pool, verify health and create immutable audit evidence.</w:t>
      </w:r>
    </w:p>
    <w:p>
      <w:pPr>
        <w:pStyle w:val="ListBullet"/>
      </w:pPr>
      <w:r>
        <w:t>A campaign approved against one engine must never continue silently through another engine.</w:t>
      </w:r>
    </w:p>
    <w:p>
      <w:pPr>
        <w:pStyle w:val="Heading1"/>
      </w:pPr>
      <w:r>
        <w:t>8. Security and Network Boundary</w:t>
      </w:r>
    </w:p>
    <w:p>
      <w:pPr>
        <w:pStyle w:val="ListBullet"/>
      </w:pPr>
      <w:r>
        <w:t>Expose the OpenWA gateway only to trusted control-plane services or a private network; do not publish the OpenWA dashboard.</w:t>
      </w:r>
    </w:p>
    <w:p>
      <w:pPr>
        <w:pStyle w:val="ListBullet"/>
      </w:pPr>
      <w:r>
        <w:t>Restrict the gateway API to the minimum session, send, health and event capabilities required by the campaign platform.</w:t>
      </w:r>
    </w:p>
    <w:p>
      <w:pPr>
        <w:pStyle w:val="ListBullet"/>
      </w:pPr>
      <w:r>
        <w:t>Use distinct service credentials, signed requests and preferably mutual TLS for service-to-service communication.</w:t>
      </w:r>
    </w:p>
    <w:p>
      <w:pPr>
        <w:pStyle w:val="ListBullet"/>
      </w:pPr>
      <w:r>
        <w:t>Require idempotency and correlation identifiers on every send request.</w:t>
      </w:r>
    </w:p>
    <w:p>
      <w:pPr>
        <w:pStyle w:val="ListBullet"/>
      </w:pPr>
      <w:r>
        <w:t>Verify webhook signatures over exact raw bytes, deduplicate events and enforce replay controls.</w:t>
      </w:r>
    </w:p>
    <w:p>
      <w:pPr>
        <w:pStyle w:val="ListBullet"/>
      </w:pPr>
      <w:r>
        <w:t>Exclude raw MSISDNs and message content from ordinary logs, metrics labels, queue names, URLs and error traces.</w:t>
      </w:r>
    </w:p>
    <w:p>
      <w:pPr>
        <w:pStyle w:val="ListBullet"/>
      </w:pPr>
      <w:r>
        <w:t>Pin package and image versions, scan dependencies and containers, retain lockfiles and generate an SBOM.</w:t>
      </w:r>
    </w:p>
    <w:p>
      <w:pPr>
        <w:pStyle w:val="ListBullet"/>
      </w:pPr>
      <w:r>
        <w:t>Treat public upstream changes as untrusted input; never auto-merge or auto-deploy them.</w:t>
      </w:r>
    </w:p>
    <w:p>
      <w:pPr>
        <w:pStyle w:val="Heading1"/>
      </w:pPr>
      <w:r>
        <w:t>9. Private Repository and Upstream Provenance</w:t>
      </w:r>
    </w:p>
    <w:p>
      <w:r>
        <w:t>OpenWA should be imported into the private campaign-platform repository without creating a public GitHub fork relationship. Preserve the MIT licence and copyright notices. Maintain a read-only upstream review process, with selected fixes entering only after architectural review, security review, automated tests, approved pull request and staging validation.</w:t>
      </w:r>
    </w:p>
    <w:p>
      <w:pPr>
        <w:pStyle w:val="IntenseQuote"/>
      </w:pPr>
      <w:r>
        <w:t>services/openwa-gateway/</w:t>
        <w:br/>
        <w:t xml:space="preserve">  upstream/        retained upstream source</w:t>
        <w:br/>
        <w:t xml:space="preserve">  integration/     platform authentication, restricted API, signed events and ownership enforcement</w:t>
        <w:br/>
        <w:t xml:space="preserve">  patches/         reviewable local changes</w:t>
        <w:br/>
        <w:t xml:space="preserve">  UPSTREAM.md      provenance and update policy</w:t>
        <w:br/>
        <w:t xml:space="preserve">  NOTICE           retained notices</w:t>
        <w:br/>
        <w:t xml:space="preserve">  tests/            contract and gateway integration tests</w:t>
      </w:r>
    </w:p>
    <w:p>
      <w:pPr>
        <w:pStyle w:val="Heading1"/>
      </w:pPr>
      <w:r>
        <w:t>10. Implementation Work Packages</w:t>
      </w:r>
    </w:p>
    <w:p>
      <w:pPr>
        <w:pStyle w:val="ListNumber"/>
      </w:pPr>
      <w:r>
        <w:t>Import and provenance: archive checksum, licence/notice retention, UPSTREAM.md and restricted build surface.</w:t>
      </w:r>
    </w:p>
    <w:p>
      <w:pPr>
        <w:pStyle w:val="ListNumber"/>
      </w:pPr>
      <w:r>
        <w:t>Transport governance: campaign transport selection, gateway pools, capability catalogue, sender compatibility and immutable approval evidence.</w:t>
      </w:r>
    </w:p>
    <w:p>
      <w:pPr>
        <w:pStyle w:val="ListNumber"/>
      </w:pPr>
      <w:r>
        <w:t>Gateway contract: signed idempotent send commands, capability/health response, canonical event envelope and raw-provider metadata controls.</w:t>
      </w:r>
    </w:p>
    <w:p>
      <w:pPr>
        <w:pStyle w:val="ListNumber"/>
      </w:pPr>
      <w:r>
        <w:t>Session lifecycle: pairing, ownership leases, heartbeats, drain/recovery, engine-specific state and operational APIs.</w:t>
      </w:r>
    </w:p>
    <w:p>
      <w:pPr>
        <w:pStyle w:val="ListNumber"/>
      </w:pPr>
      <w:r>
        <w:t>Dispatch engine: one ordered pipeline per session, bounded in-flight limit, measured rate control, retries before submission and UNKNOWN handling after uncertain submission.</w:t>
      </w:r>
    </w:p>
    <w:p>
      <w:pPr>
        <w:pStyle w:val="ListNumber"/>
      </w:pPr>
      <w:r>
        <w:t>Event ingestion and reconciliation: signature verification, deduplication, canonical mapping, provider correlation and contradiction handling.</w:t>
      </w:r>
    </w:p>
    <w:p>
      <w:pPr>
        <w:pStyle w:val="ListNumber"/>
      </w:pPr>
      <w:r>
        <w:t>Capacity and admission: measured sustainable throughput, pool availability, reservation, safety margin and deadline forecasting.</w:t>
      </w:r>
    </w:p>
    <w:p>
      <w:pPr>
        <w:pStyle w:val="ListNumber"/>
      </w:pPr>
      <w:r>
        <w:t>Live validation: genuine WhatsApp sessions, text/media sends, delivery/read events, disconnect/reconnect, node loss and recovery on VPS infrastructure.</w:t>
      </w:r>
    </w:p>
    <w:p>
      <w:pPr>
        <w:pStyle w:val="Heading1"/>
      </w:pPr>
      <w:r>
        <w:t>11. Validation Boundary and Release Gate</w:t>
      </w:r>
    </w:p>
    <w:p>
      <w:r>
        <w:t>Automated contract, unit, migration and integration tests can validate the platform boundary, routing policy, idempotency, ownership and canonical state handling. The following cannot be truthfully declared complete until live infrastructure and genuine accounts are available:</w:t>
      </w:r>
    </w:p>
    <w:p>
      <w:pPr>
        <w:pStyle w:val="ListBullet"/>
      </w:pPr>
      <w:r>
        <w:t>QR/pairing and authentication persistence on both engines.</w:t>
      </w:r>
    </w:p>
    <w:p>
      <w:pPr>
        <w:pStyle w:val="ListBullet"/>
      </w:pPr>
      <w:r>
        <w:t>Real text and media submission.</w:t>
      </w:r>
    </w:p>
    <w:p>
      <w:pPr>
        <w:pStyle w:val="ListBullet"/>
      </w:pPr>
      <w:r>
        <w:t>Sent, delivered, read and inbound-event behaviour.</w:t>
      </w:r>
    </w:p>
    <w:p>
      <w:pPr>
        <w:pStyle w:val="ListBullet"/>
      </w:pPr>
      <w:r>
        <w:t>Reconnect and state recovery after node restart or loss.</w:t>
      </w:r>
    </w:p>
    <w:p>
      <w:pPr>
        <w:pStyle w:val="ListBullet"/>
      </w:pPr>
      <w:r>
        <w:t>Measured sustainable capacity and safe session density.</w:t>
      </w:r>
    </w:p>
    <w:p>
      <w:pPr>
        <w:pStyle w:val="ListBullet"/>
      </w:pPr>
      <w:r>
        <w:t>Hostinger networking, storage, backup and operational recovery.</w:t>
      </w:r>
    </w:p>
    <w:p>
      <w:r>
        <w:t>The 0.6.0 Production Messaging Engine milestone should not be called production-validated until these live gates are completed. Source-level and simulated validation must remain clearly distinguished from live WhatsApp evidence.</w:t>
      </w:r>
    </w:p>
    <w:p>
      <w:pPr>
        <w:pStyle w:val="Heading1"/>
      </w:pPr>
      <w:r>
        <w:t>12. Final Aligned Decision</w:t>
      </w:r>
    </w:p>
    <w:p>
      <w:r>
        <w:t>Proceed with a modular internal campaign platform in which OpenWA is the initial real WhatsApp gateway, isolated behind a versioned provider interface. Support explicit OpenWA-only operation and explicit engine choice through engine-specific gateway pools. Permit either a specific session or a governed sender pool. Freeze the complete route at approval. Disable silent fallback and cross-route resend. Keep PostgreSQL and the Go platform authoritative for every business obligation and delivery state. Preserve OpenWA provenance and reduce its exposed surface to the transport capabilities the platform actually requires.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 Engineering Alignment Baseline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OpenWA Internal Campaign Platform | Integration Approach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