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b/>
          <w:bCs/>
          <w:color w:val="2E5B8A"/>
          <w:spacing w:val="40"/>
          <w:sz w:val="22"/>
          <w:szCs w:val="22"/>
        </w:rPr>
        <w:t xml:space="preserve">DESIGN JOURNEY</w:t>
      </w:r>
    </w:p>
    <w:p>
      <w:pPr>
        <w:spacing w:after="100"/>
      </w:pPr>
      <w:r>
        <w:rPr>
          <w:b/>
          <w:bCs/>
          <w:color w:val="1A1A1A"/>
          <w:sz w:val="52"/>
          <w:szCs w:val="52"/>
        </w:rPr>
        <w:t xml:space="preserve">v5 Systolic Array Controller</w:t>
      </w:r>
    </w:p>
    <w:p>
      <w:pPr>
        <w:spacing w:after="500"/>
      </w:pPr>
      <w:r>
        <w:rPr>
          <w:i/>
          <w:iCs/>
          <w:color w:val="5A5A5A"/>
          <w:sz w:val="24"/>
          <w:szCs w:val="24"/>
        </w:rPr>
        <w:t xml:space="preserve">FSM-based operand scheduler for a 2×2 systolic array — from a broken first assumption to a verified, timing-correct controller.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W w:type="dxa" w:w="3117"/>
            <w:shd w:fill="EAF1F8" w:val="clear"/>
            <w:tcMar>
              <w:top w:type="dxa" w:w="150"/>
              <w:left w:type="dxa" w:w="150"/>
              <w:bottom w:type="dxa" w:w="150"/>
              <w:right w:type="dxa" w:w="150"/>
            </w:tcMar>
          </w:tcPr>
          <w:p>
            <w:r>
              <w:rPr>
                <w:b/>
                <w:bCs/>
                <w:color w:val="5A5A5A"/>
                <w:spacing w:val="20"/>
                <w:sz w:val="16"/>
                <w:szCs w:val="16"/>
              </w:rPr>
              <w:t xml:space="preserve">REVISION</w:t>
            </w:r>
          </w:p>
          <w:p>
            <w:pPr>
              <w:spacing w:before="60"/>
            </w:pPr>
            <w:r>
              <w:rPr>
                <w:b/>
                <w:bCs/>
                <w:color w:val="2E5B8A"/>
                <w:sz w:val="24"/>
                <w:szCs w:val="24"/>
              </w:rPr>
              <w:t xml:space="preserve">v5</w:t>
            </w:r>
          </w:p>
        </w:tc>
        <w:tc>
          <w:tcPr>
            <w:tcW w:type="dxa" w:w="3117"/>
            <w:shd w:fill="EAF1F8" w:val="clear"/>
            <w:tcMar>
              <w:top w:type="dxa" w:w="150"/>
              <w:left w:type="dxa" w:w="150"/>
              <w:bottom w:type="dxa" w:w="150"/>
              <w:right w:type="dxa" w:w="150"/>
            </w:tcMar>
          </w:tcPr>
          <w:p>
            <w:r>
              <w:rPr>
                <w:b/>
                <w:bCs/>
                <w:color w:val="5A5A5A"/>
                <w:spacing w:val="20"/>
                <w:sz w:val="16"/>
                <w:szCs w:val="16"/>
              </w:rPr>
              <w:t xml:space="preserve">ARRAY SIZE</w:t>
            </w:r>
          </w:p>
          <w:p>
            <w:pPr>
              <w:spacing w:before="60"/>
            </w:pPr>
            <w:r>
              <w:rPr>
                <w:b/>
                <w:bCs/>
                <w:color w:val="2E5B8A"/>
                <w:sz w:val="24"/>
                <w:szCs w:val="24"/>
              </w:rPr>
              <w:t xml:space="preserve">2 × 2</w:t>
            </w:r>
          </w:p>
        </w:tc>
        <w:tc>
          <w:tcPr>
            <w:tcW w:type="dxa" w:w="3116"/>
            <w:shd w:fill="EAF1F8" w:val="clear"/>
            <w:tcMar>
              <w:top w:type="dxa" w:w="150"/>
              <w:left w:type="dxa" w:w="150"/>
              <w:bottom w:type="dxa" w:w="150"/>
              <w:right w:type="dxa" w:w="150"/>
            </w:tcMar>
          </w:tcPr>
          <w:p>
            <w:r>
              <w:rPr>
                <w:b/>
                <w:bCs/>
                <w:color w:val="5A5A5A"/>
                <w:spacing w:val="20"/>
                <w:sz w:val="16"/>
                <w:szCs w:val="16"/>
              </w:rPr>
              <w:t xml:space="preserve">STATUS</w:t>
            </w:r>
          </w:p>
          <w:p>
            <w:pPr>
              <w:spacing w:before="60"/>
            </w:pPr>
            <w:r>
              <w:rPr>
                <w:b/>
                <w:bCs/>
                <w:color w:val="2F6B4F"/>
                <w:sz w:val="24"/>
                <w:szCs w:val="24"/>
              </w:rPr>
              <w:t xml:space="preserve">Verified</w:t>
            </w:r>
          </w:p>
        </w:tc>
      </w:tr>
    </w:tbl>
    <w:p>
      <w:r>
        <w:br w:type="page"/>
      </w:r>
    </w:p>
    <w:p>
      <w:pPr>
        <w:pStyle w:val="Heading1"/>
        <w:pBdr>
          <w:bottom w:val="single" w:color="CCCCCC" w:sz="6" w:space="6"/>
        </w:pBdr>
        <w:spacing w:after="200" w:before="420"/>
      </w:pPr>
      <w:r>
        <w:rPr>
          <w:b/>
          <w:bCs/>
          <w:color w:val="2E5B8A"/>
          <w:sz w:val="30"/>
          <w:szCs w:val="30"/>
        </w:rPr>
        <w:t xml:space="preserve">1. Objective</w:t>
      </w:r>
    </w:p>
    <w:p>
      <w:pPr>
        <w:spacing w:after="160" w:line="300"/>
      </w:pPr>
      <w:r>
        <w:rPr>
          <w:sz w:val="22"/>
          <w:szCs w:val="22"/>
        </w:rPr>
        <w:t xml:space="preserve">Build an FSM-based controller that feeds a 2×2 systolic array with the correct operand schedule for matrix multiplication — driving the PE grid's inputs, tracking completion, and flushing the pipeline cleanly.</w:t>
      </w:r>
    </w:p>
    <w:p>
      <w:pPr>
        <w:pStyle w:val="Heading1"/>
        <w:pBdr>
          <w:bottom w:val="single" w:color="CCCCCC" w:sz="6" w:space="6"/>
        </w:pBdr>
        <w:spacing w:after="200" w:before="420"/>
      </w:pPr>
      <w:r>
        <w:rPr>
          <w:b/>
          <w:bCs/>
          <w:color w:val="2E5B8A"/>
          <w:sz w:val="30"/>
          <w:szCs w:val="30"/>
        </w:rPr>
        <w:t xml:space="preserve">2. The Journey</w:t>
      </w:r>
    </w:p>
    <w:p>
      <w:pPr>
        <w:spacing w:after="160" w:line="300"/>
      </w:pPr>
      <w:r>
        <w:rPr>
          <w:sz w:val="22"/>
          <w:szCs w:val="22"/>
        </w:rPr>
        <w:t xml:space="preserve">This design went through two real attempts. The first one looked reasonable, passed a basic sanity check, and was wrong for a reason that only became clear under a waveform viewer. The second one is what's running today.</w:t>
      </w:r>
    </w:p>
    <w:p>
      <w:pPr>
        <w:pStyle w:val="Heading2"/>
        <w:spacing w:after="140" w:before="260"/>
      </w:pPr>
      <w:r>
        <w:rPr>
          <w:b/>
          <w:bCs/>
          <w:color w:val="9C4221"/>
          <w:sz w:val="24"/>
          <w:szCs w:val="24"/>
        </w:rPr>
        <w:t xml:space="preserve">Attempt 1 — The Timing-First Assumption</w:t>
      </w:r>
    </w:p>
    <w:p>
      <w:pPr>
        <w:spacing w:after="160" w:line="300"/>
      </w:pPr>
      <w:r>
        <w:rPr>
          <w:sz w:val="22"/>
          <w:szCs w:val="22"/>
        </w:rPr>
        <w:t xml:space="preserve">The initial design used the sequence below, on the assumption that the bug — whatever it turned out to be — was a timing problem: not enough cycles for data to propagate through the array.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35"/>
        <w:gridCol w:w="1335"/>
        <w:gridCol w:w="1335"/>
        <w:gridCol w:w="1335"/>
        <w:gridCol w:w="1335"/>
        <w:gridCol w:w="1335"/>
        <w:gridCol w:w="1335"/>
      </w:tblGrid>
      <w:tr>
        <w:trPr>
          <w:tblHeader/>
        </w:trPr>
        <w:tc>
          <w:tcPr>
            <w:tcW w:type="dxa" w:w="1335"/>
            <w:shd w:fill="FBEFE9" w:val="clear"/>
            <w:tcMar>
              <w:top w:type="dxa" w:w="120"/>
              <w:left w:type="dxa" w:w="80"/>
              <w:bottom w:type="dxa" w:w="120"/>
              <w:right w:type="dxa" w:w="80"/>
            </w:tcMar>
            <w:vAlign w:val="center"/>
          </w:tcPr>
          <w:p>
            <w:pPr>
              <w:jc w:val="center"/>
            </w:pPr>
            <w:r>
              <w:rPr>
                <w:b/>
                <w:bCs/>
                <w:color w:val="9C4221"/>
                <w:sz w:val="19"/>
                <w:szCs w:val="19"/>
              </w:rPr>
              <w:t xml:space="preserve">IDLE</w:t>
            </w:r>
          </w:p>
        </w:tc>
        <w:tc>
          <w:tcPr>
            <w:tcW w:type="dxa" w:w="1335"/>
            <w:shd w:fill="FBEFE9" w:val="clear"/>
            <w:tcMar>
              <w:top w:type="dxa" w:w="120"/>
              <w:left w:type="dxa" w:w="80"/>
              <w:bottom w:type="dxa" w:w="120"/>
              <w:right w:type="dxa" w:w="80"/>
            </w:tcMar>
            <w:vAlign w:val="center"/>
          </w:tcPr>
          <w:p>
            <w:pPr>
              <w:jc w:val="center"/>
            </w:pPr>
            <w:r>
              <w:rPr>
                <w:b/>
                <w:bCs/>
                <w:color w:val="9C4221"/>
                <w:sz w:val="19"/>
                <w:szCs w:val="19"/>
              </w:rPr>
              <w:t xml:space="preserve">CLEAR</w:t>
            </w:r>
          </w:p>
        </w:tc>
        <w:tc>
          <w:tcPr>
            <w:tcW w:type="dxa" w:w="1335"/>
            <w:shd w:fill="FBEFE9" w:val="clear"/>
            <w:tcMar>
              <w:top w:type="dxa" w:w="120"/>
              <w:left w:type="dxa" w:w="80"/>
              <w:bottom w:type="dxa" w:w="120"/>
              <w:right w:type="dxa" w:w="80"/>
            </w:tcMar>
            <w:vAlign w:val="center"/>
          </w:tcPr>
          <w:p>
            <w:pPr>
              <w:jc w:val="center"/>
            </w:pPr>
            <w:r>
              <w:rPr>
                <w:b/>
                <w:bCs/>
                <w:color w:val="9C4221"/>
                <w:sz w:val="19"/>
                <w:szCs w:val="19"/>
              </w:rPr>
              <w:t xml:space="preserve">STREAM0</w:t>
            </w:r>
          </w:p>
        </w:tc>
        <w:tc>
          <w:tcPr>
            <w:tcW w:type="dxa" w:w="1335"/>
            <w:shd w:fill="FBEFE9" w:val="clear"/>
            <w:tcMar>
              <w:top w:type="dxa" w:w="120"/>
              <w:left w:type="dxa" w:w="80"/>
              <w:bottom w:type="dxa" w:w="120"/>
              <w:right w:type="dxa" w:w="80"/>
            </w:tcMar>
            <w:vAlign w:val="center"/>
          </w:tcPr>
          <w:p>
            <w:pPr>
              <w:jc w:val="center"/>
            </w:pPr>
            <w:r>
              <w:rPr>
                <w:b/>
                <w:bCs/>
                <w:color w:val="9C4221"/>
                <w:sz w:val="19"/>
                <w:szCs w:val="19"/>
              </w:rPr>
              <w:t xml:space="preserve">WAIT0</w:t>
            </w:r>
          </w:p>
        </w:tc>
        <w:tc>
          <w:tcPr>
            <w:tcW w:type="dxa" w:w="1335"/>
            <w:shd w:fill="FBEFE9" w:val="clear"/>
            <w:tcMar>
              <w:top w:type="dxa" w:w="120"/>
              <w:left w:type="dxa" w:w="80"/>
              <w:bottom w:type="dxa" w:w="120"/>
              <w:right w:type="dxa" w:w="80"/>
            </w:tcMar>
            <w:vAlign w:val="center"/>
          </w:tcPr>
          <w:p>
            <w:pPr>
              <w:jc w:val="center"/>
            </w:pPr>
            <w:r>
              <w:rPr>
                <w:b/>
                <w:bCs/>
                <w:color w:val="9C4221"/>
                <w:sz w:val="19"/>
                <w:szCs w:val="19"/>
              </w:rPr>
              <w:t xml:space="preserve">STREAM1</w:t>
            </w:r>
          </w:p>
        </w:tc>
        <w:tc>
          <w:tcPr>
            <w:tcW w:type="dxa" w:w="1335"/>
            <w:shd w:fill="FBEFE9" w:val="clear"/>
            <w:tcMar>
              <w:top w:type="dxa" w:w="120"/>
              <w:left w:type="dxa" w:w="80"/>
              <w:bottom w:type="dxa" w:w="120"/>
              <w:right w:type="dxa" w:w="80"/>
            </w:tcMar>
            <w:vAlign w:val="center"/>
          </w:tcPr>
          <w:p>
            <w:pPr>
              <w:jc w:val="center"/>
            </w:pPr>
            <w:r>
              <w:rPr>
                <w:b/>
                <w:bCs/>
                <w:color w:val="9C4221"/>
                <w:sz w:val="19"/>
                <w:szCs w:val="19"/>
              </w:rPr>
              <w:t xml:space="preserve">WAIT1</w:t>
            </w:r>
          </w:p>
        </w:tc>
        <w:tc>
          <w:tcPr>
            <w:tcW w:type="dxa" w:w="1335"/>
            <w:shd w:fill="FBEFE9" w:val="clear"/>
            <w:tcMar>
              <w:top w:type="dxa" w:w="120"/>
              <w:left w:type="dxa" w:w="80"/>
              <w:bottom w:type="dxa" w:w="120"/>
              <w:right w:type="dxa" w:w="80"/>
            </w:tcMar>
            <w:vAlign w:val="center"/>
          </w:tcPr>
          <w:p>
            <w:pPr>
              <w:jc w:val="center"/>
            </w:pPr>
            <w:r>
              <w:rPr>
                <w:b/>
                <w:bCs/>
                <w:color w:val="9C4221"/>
                <w:sz w:val="19"/>
                <w:szCs w:val="19"/>
              </w:rPr>
              <w:t xml:space="preserve">DONE</w:t>
            </w:r>
          </w:p>
        </w:tc>
      </w:tr>
    </w:tbl>
    <w:p>
      <w:pPr>
        <w:spacing w:after="0"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C4221" w:sz="4"/>
              <w:left w:val="single" w:color="9C4221" w:sz="24"/>
              <w:bottom w:val="single" w:color="9C4221" w:sz="4"/>
              <w:right w:val="single" w:color="9C4221" w:sz="4"/>
            </w:tcBorders>
            <w:shd w:fill="FBEFE9" w:val="clear"/>
            <w:tcMar>
              <w:top w:type="dxa" w:w="200"/>
              <w:left w:type="dxa" w:w="260"/>
              <w:bottom w:type="dxa" w:w="200"/>
              <w:right w:type="dxa" w:w="260"/>
            </w:tcMar>
          </w:tcPr>
          <w:p>
            <w:pPr>
              <w:spacing w:after="100"/>
            </w:pPr>
            <w:r>
              <w:rPr>
                <w:b/>
                <w:bCs/>
                <w:color w:val="9C4221"/>
                <w:sz w:val="21"/>
                <w:szCs w:val="21"/>
              </w:rPr>
              <w:t xml:space="preserve">Why it was wrong</w:t>
            </w:r>
          </w:p>
          <w:p>
            <w:pPr>
              <w:spacing w:after="40"/>
            </w:pPr>
            <w:r>
              <w:rPr>
                <w:color w:val="333333"/>
                <w:sz w:val="21"/>
                <w:szCs w:val="21"/>
              </w:rPr>
              <w:t xml:space="preserve">The bug was not insufficient waiting time — it was incorrect operand scheduling.</w:t>
            </w:r>
          </w:p>
          <w:p>
            <w:pPr>
              <w:spacing w:after="40"/>
            </w:pPr>
            <w:r>
              <w:rPr>
                <w:color w:val="333333"/>
                <w:sz w:val="21"/>
                <w:szCs w:val="21"/>
              </w:rPr>
              <w:t xml:space="preserve">PE01 and PE10 need operands arriving from different directions in the same cycle. No amount of extra WAIT states can fix operands that are misaligned to begin with.</w:t>
            </w:r>
          </w:p>
        </w:tc>
      </w:tr>
    </w:tbl>
    <w:p>
      <w:pPr>
        <w:pStyle w:val="Heading2"/>
        <w:spacing w:after="140" w:before="260"/>
      </w:pPr>
      <w:r>
        <w:rPr>
          <w:b/>
          <w:bCs/>
          <w:color w:val="2E5B8A"/>
          <w:sz w:val="24"/>
          <w:szCs w:val="24"/>
        </w:rPr>
        <w:t xml:space="preserve">The Turning Point</w:t>
      </w:r>
    </w:p>
    <w:p>
      <w:pPr>
        <w:spacing w:after="160" w:line="300"/>
      </w:pPr>
      <w:r>
        <w:rPr>
          <w:sz w:val="22"/>
          <w:szCs w:val="22"/>
        </w:rPr>
        <w:t xml:space="preserve">Adding WAIT states treated the symptom, not the cause. Systolic arrays are timing-driven architectures in a stricter sense than “wait longer” implies — every PE needs the right operand on the right cycle, from the right direction, or the array computes garbage regardless of how long it's given to settle. That reframing is what led to rebuilding the schedule itself instead of the wait logic around it.</w:t>
      </w:r>
    </w:p>
    <w:p>
      <w:pPr>
        <w:pStyle w:val="Heading2"/>
        <w:spacing w:after="140" w:before="260"/>
      </w:pPr>
      <w:r>
        <w:rPr>
          <w:b/>
          <w:bCs/>
          <w:color w:val="2F6B4F"/>
          <w:sz w:val="24"/>
          <w:szCs w:val="24"/>
        </w:rPr>
        <w:t xml:space="preserve">Attempt 2 — Fixing the Schedule, Not the Delay</w:t>
      </w:r>
    </w:p>
    <w:p>
      <w:pPr>
        <w:spacing w:after="160" w:line="300"/>
      </w:pPr>
      <w:r>
        <w:rPr>
          <w:sz w:val="22"/>
          <w:szCs w:val="22"/>
        </w:rPr>
        <w:t xml:space="preserve">The corrected design replaces the WAIT/STREAM alternation with an explicit, cycle-accurate stream of operand pairs. Each cycle below is (a-row-input, a-col-input, b-row-input, b-col-input) feeding the array's edges: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F6B4F" w:val="clear"/>
            <w:tcMar>
              <w:top w:type="dxa" w:w="100"/>
              <w:left w:type="dxa" w:w="120"/>
              <w:bottom w:type="dxa" w:w="100"/>
              <w:right w:type="dxa" w:w="120"/>
            </w:tcMar>
            <w:vAlign w:val="center"/>
          </w:tcPr>
          <w:p>
            <w:pPr>
              <w:jc w:val="center"/>
            </w:pPr>
            <w:r>
              <w:rPr>
                <w:b/>
                <w:bCs/>
                <w:color w:val="FFFFFF"/>
                <w:sz w:val="19"/>
                <w:szCs w:val="19"/>
              </w:rPr>
              <w:t xml:space="preserve">Cycle</w:t>
            </w:r>
          </w:p>
        </w:tc>
        <w:tc>
          <w:tcPr>
            <w:tcW w:type="dxa" w:w="4675"/>
            <w:shd w:fill="2F6B4F" w:val="clear"/>
            <w:tcMar>
              <w:top w:type="dxa" w:w="100"/>
              <w:left w:type="dxa" w:w="120"/>
              <w:bottom w:type="dxa" w:w="100"/>
              <w:right w:type="dxa" w:w="120"/>
            </w:tcMar>
            <w:vAlign w:val="center"/>
          </w:tcPr>
          <w:p>
            <w:pPr>
              <w:jc w:val="center"/>
            </w:pPr>
            <w:r>
              <w:rPr>
                <w:b/>
                <w:bCs/>
                <w:color w:val="FFFFFF"/>
                <w:sz w:val="19"/>
                <w:szCs w:val="19"/>
              </w:rPr>
              <w:t xml:space="preserve">PE(row,col) inputs — a / b</w:t>
            </w:r>
          </w:p>
        </w:tc>
      </w:tr>
      <w:tr>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0</w:t>
            </w:r>
          </w:p>
        </w:tc>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(a00, 0, b00, 0)</w:t>
            </w:r>
          </w:p>
        </w:tc>
      </w:tr>
      <w:tr>
        <w:tc>
          <w:tcPr>
            <w:tcW w:type="dxa" w:w="4675"/>
            <w:shd w:fill="EAF4EE"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1</w:t>
            </w:r>
          </w:p>
        </w:tc>
        <w:tc>
          <w:tcPr>
            <w:tcW w:type="dxa" w:w="4675"/>
            <w:shd w:fill="EAF4EE"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(a01, a10, b10, b01)</w:t>
            </w:r>
          </w:p>
        </w:tc>
      </w:tr>
      <w:tr>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2</w:t>
            </w:r>
          </w:p>
        </w:tc>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(0, a11, 0, b11)</w:t>
            </w:r>
          </w:p>
        </w:tc>
      </w:tr>
      <w:tr>
        <w:tc>
          <w:tcPr>
            <w:tcW w:type="dxa" w:w="4675"/>
            <w:shd w:fill="EAF4EE"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3</w:t>
            </w:r>
          </w:p>
        </w:tc>
        <w:tc>
          <w:tcPr>
            <w:tcW w:type="dxa" w:w="4675"/>
            <w:shd w:fill="EAF4EE"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(0, 0, 0, 0)</w:t>
            </w:r>
          </w:p>
        </w:tc>
      </w:tr>
    </w:tbl>
    <w:p>
      <w:pPr>
        <w:spacing w:after="0" w:before="260"/>
      </w:pPr>
    </w:p>
    <w:p>
      <w:pPr>
        <w:spacing w:after="160" w:line="300"/>
      </w:pPr>
      <w:r>
        <w:rPr>
          <w:sz w:val="22"/>
          <w:szCs w:val="22"/>
        </w:rPr>
        <w:t xml:space="preserve">The final FSM reflects this directly — one state per cycle of the schedule, rather than generic stream/wait pairs: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68"/>
        <w:gridCol w:w="1168"/>
        <w:gridCol w:w="1168"/>
        <w:gridCol w:w="1168"/>
        <w:gridCol w:w="1168"/>
        <w:gridCol w:w="1168"/>
        <w:gridCol w:w="1168"/>
        <w:gridCol w:w="1168"/>
      </w:tblGrid>
      <w:tr>
        <w:trPr>
          <w:tblHeader/>
        </w:trPr>
        <w:tc>
          <w:tcPr>
            <w:tcW w:type="dxa" w:w="1168"/>
            <w:shd w:fill="EAF4EE" w:val="clear"/>
            <w:tcMar>
              <w:top w:type="dxa" w:w="120"/>
              <w:left w:type="dxa" w:w="80"/>
              <w:bottom w:type="dxa" w:w="120"/>
              <w:right w:type="dxa" w:w="80"/>
            </w:tcMar>
            <w:vAlign w:val="center"/>
          </w:tcPr>
          <w:p>
            <w:pPr>
              <w:jc w:val="center"/>
            </w:pPr>
            <w:r>
              <w:rPr>
                <w:b/>
                <w:bCs/>
                <w:color w:val="2F6B4F"/>
                <w:sz w:val="19"/>
                <w:szCs w:val="19"/>
              </w:rPr>
              <w:t xml:space="preserve">IDLE</w:t>
            </w:r>
          </w:p>
        </w:tc>
        <w:tc>
          <w:tcPr>
            <w:tcW w:type="dxa" w:w="1168"/>
            <w:shd w:fill="EAF4EE" w:val="clear"/>
            <w:tcMar>
              <w:top w:type="dxa" w:w="120"/>
              <w:left w:type="dxa" w:w="80"/>
              <w:bottom w:type="dxa" w:w="120"/>
              <w:right w:type="dxa" w:w="80"/>
            </w:tcMar>
            <w:vAlign w:val="center"/>
          </w:tcPr>
          <w:p>
            <w:pPr>
              <w:jc w:val="center"/>
            </w:pPr>
            <w:r>
              <w:rPr>
                <w:b/>
                <w:bCs/>
                <w:color w:val="2F6B4F"/>
                <w:sz w:val="19"/>
                <w:szCs w:val="19"/>
              </w:rPr>
              <w:t xml:space="preserve">CLEAR</w:t>
            </w:r>
          </w:p>
        </w:tc>
        <w:tc>
          <w:tcPr>
            <w:tcW w:type="dxa" w:w="1168"/>
            <w:shd w:fill="EAF4EE" w:val="clear"/>
            <w:tcMar>
              <w:top w:type="dxa" w:w="120"/>
              <w:left w:type="dxa" w:w="80"/>
              <w:bottom w:type="dxa" w:w="120"/>
              <w:right w:type="dxa" w:w="80"/>
            </w:tcMar>
            <w:vAlign w:val="center"/>
          </w:tcPr>
          <w:p>
            <w:pPr>
              <w:jc w:val="center"/>
            </w:pPr>
            <w:r>
              <w:rPr>
                <w:b/>
                <w:bCs/>
                <w:color w:val="2F6B4F"/>
                <w:sz w:val="19"/>
                <w:szCs w:val="19"/>
              </w:rPr>
              <w:t xml:space="preserve">STREAM0</w:t>
            </w:r>
          </w:p>
        </w:tc>
        <w:tc>
          <w:tcPr>
            <w:tcW w:type="dxa" w:w="1168"/>
            <w:shd w:fill="EAF4EE" w:val="clear"/>
            <w:tcMar>
              <w:top w:type="dxa" w:w="120"/>
              <w:left w:type="dxa" w:w="80"/>
              <w:bottom w:type="dxa" w:w="120"/>
              <w:right w:type="dxa" w:w="80"/>
            </w:tcMar>
            <w:vAlign w:val="center"/>
          </w:tcPr>
          <w:p>
            <w:pPr>
              <w:jc w:val="center"/>
            </w:pPr>
            <w:r>
              <w:rPr>
                <w:b/>
                <w:bCs/>
                <w:color w:val="2F6B4F"/>
                <w:sz w:val="19"/>
                <w:szCs w:val="19"/>
              </w:rPr>
              <w:t xml:space="preserve">STREAM1</w:t>
            </w:r>
          </w:p>
        </w:tc>
        <w:tc>
          <w:tcPr>
            <w:tcW w:type="dxa" w:w="1168"/>
            <w:shd w:fill="EAF4EE" w:val="clear"/>
            <w:tcMar>
              <w:top w:type="dxa" w:w="120"/>
              <w:left w:type="dxa" w:w="80"/>
              <w:bottom w:type="dxa" w:w="120"/>
              <w:right w:type="dxa" w:w="80"/>
            </w:tcMar>
            <w:vAlign w:val="center"/>
          </w:tcPr>
          <w:p>
            <w:pPr>
              <w:jc w:val="center"/>
            </w:pPr>
            <w:r>
              <w:rPr>
                <w:b/>
                <w:bCs/>
                <w:color w:val="2F6B4F"/>
                <w:sz w:val="19"/>
                <w:szCs w:val="19"/>
              </w:rPr>
              <w:t xml:space="preserve">STREAM2</w:t>
            </w:r>
          </w:p>
        </w:tc>
        <w:tc>
          <w:tcPr>
            <w:tcW w:type="dxa" w:w="1168"/>
            <w:shd w:fill="EAF4EE" w:val="clear"/>
            <w:tcMar>
              <w:top w:type="dxa" w:w="120"/>
              <w:left w:type="dxa" w:w="80"/>
              <w:bottom w:type="dxa" w:w="120"/>
              <w:right w:type="dxa" w:w="80"/>
            </w:tcMar>
            <w:vAlign w:val="center"/>
          </w:tcPr>
          <w:p>
            <w:pPr>
              <w:jc w:val="center"/>
            </w:pPr>
            <w:r>
              <w:rPr>
                <w:b/>
                <w:bCs/>
                <w:color w:val="2F6B4F"/>
                <w:sz w:val="19"/>
                <w:szCs w:val="19"/>
              </w:rPr>
              <w:t xml:space="preserve">STREAM3</w:t>
            </w:r>
          </w:p>
        </w:tc>
        <w:tc>
          <w:tcPr>
            <w:tcW w:type="dxa" w:w="1168"/>
            <w:shd w:fill="EAF4EE" w:val="clear"/>
            <w:tcMar>
              <w:top w:type="dxa" w:w="120"/>
              <w:left w:type="dxa" w:w="80"/>
              <w:bottom w:type="dxa" w:w="120"/>
              <w:right w:type="dxa" w:w="80"/>
            </w:tcMar>
            <w:vAlign w:val="center"/>
          </w:tcPr>
          <w:p>
            <w:pPr>
              <w:jc w:val="center"/>
            </w:pPr>
            <w:r>
              <w:rPr>
                <w:b/>
                <w:bCs/>
                <w:color w:val="2F6B4F"/>
                <w:sz w:val="19"/>
                <w:szCs w:val="19"/>
              </w:rPr>
              <w:t xml:space="preserve">WAIT</w:t>
            </w:r>
          </w:p>
        </w:tc>
        <w:tc>
          <w:tcPr>
            <w:tcW w:type="dxa" w:w="1168"/>
            <w:shd w:fill="EAF4EE" w:val="clear"/>
            <w:tcMar>
              <w:top w:type="dxa" w:w="120"/>
              <w:left w:type="dxa" w:w="80"/>
              <w:bottom w:type="dxa" w:w="120"/>
              <w:right w:type="dxa" w:w="80"/>
            </w:tcMar>
            <w:vAlign w:val="center"/>
          </w:tcPr>
          <w:p>
            <w:pPr>
              <w:jc w:val="center"/>
            </w:pPr>
            <w:r>
              <w:rPr>
                <w:b/>
                <w:bCs/>
                <w:color w:val="2F6B4F"/>
                <w:sz w:val="19"/>
                <w:szCs w:val="19"/>
              </w:rPr>
              <w:t xml:space="preserve">DONE</w:t>
            </w:r>
          </w:p>
        </w:tc>
      </w:tr>
    </w:tbl>
    <w:p>
      <w:pPr>
        <w:pStyle w:val="Heading1"/>
        <w:pBdr>
          <w:bottom w:val="single" w:color="CCCCCC" w:sz="6" w:space="6"/>
        </w:pBdr>
        <w:spacing w:after="200" w:before="420"/>
      </w:pPr>
      <w:r>
        <w:rPr>
          <w:b/>
          <w:bCs/>
          <w:color w:val="2E5B8A"/>
          <w:sz w:val="30"/>
          <w:szCs w:val="30"/>
        </w:rPr>
        <w:t xml:space="preserve">3. Controller Responsibilities</w:t>
      </w:r>
    </w:p>
    <w:p>
      <w:pPr>
        <w:pStyle w:val="ListParagraph"/>
        <w:numPr>
          <w:ilvl w:val="0"/>
          <w:numId w:val="2"/>
        </w:numPr>
        <w:spacing w:after="90" w:line="280"/>
      </w:pPr>
      <w:r>
        <w:rPr>
          <w:sz w:val="22"/>
          <w:szCs w:val="22"/>
        </w:rPr>
        <w:t xml:space="preserve">Clear accumulators before a new matrix multiply begins</w:t>
      </w:r>
    </w:p>
    <w:p>
      <w:pPr>
        <w:pStyle w:val="ListParagraph"/>
        <w:numPr>
          <w:ilvl w:val="0"/>
          <w:numId w:val="2"/>
        </w:numPr>
        <w:spacing w:after="90" w:line="280"/>
      </w:pPr>
      <w:r>
        <w:rPr>
          <w:sz w:val="22"/>
          <w:szCs w:val="22"/>
        </w:rPr>
        <w:t xml:space="preserve">Generate the cycle-accurate operand stream shown above</w:t>
      </w:r>
    </w:p>
    <w:p>
      <w:pPr>
        <w:pStyle w:val="ListParagraph"/>
        <w:numPr>
          <w:ilvl w:val="0"/>
          <w:numId w:val="2"/>
        </w:numPr>
        <w:spacing w:after="90" w:line="280"/>
      </w:pPr>
      <w:r>
        <w:rPr>
          <w:sz w:val="22"/>
          <w:szCs w:val="22"/>
        </w:rPr>
        <w:t xml:space="preserve">Drive enable, busy, and done handshake signals</w:t>
      </w:r>
    </w:p>
    <w:p>
      <w:pPr>
        <w:pStyle w:val="ListParagraph"/>
        <w:numPr>
          <w:ilvl w:val="0"/>
          <w:numId w:val="2"/>
        </w:numPr>
        <w:spacing w:after="90" w:line="280"/>
      </w:pPr>
      <w:r>
        <w:rPr>
          <w:sz w:val="22"/>
          <w:szCs w:val="22"/>
        </w:rPr>
        <w:t xml:space="preserve">Flush the pipeline fully before signaling completion</w:t>
      </w:r>
    </w:p>
    <w:p>
      <w:pPr>
        <w:pStyle w:val="Heading1"/>
        <w:pBdr>
          <w:bottom w:val="single" w:color="CCCCCC" w:sz="6" w:space="6"/>
        </w:pBdr>
        <w:spacing w:after="200" w:before="420"/>
      </w:pPr>
      <w:r>
        <w:rPr>
          <w:b/>
          <w:bCs/>
          <w:color w:val="2E5B8A"/>
          <w:sz w:val="30"/>
          <w:szCs w:val="30"/>
        </w:rPr>
        <w:t xml:space="preserve">4. Verification</w:t>
      </w:r>
    </w:p>
    <w:p>
      <w:pPr>
        <w:spacing w:after="160" w:line="300"/>
      </w:pPr>
      <w:r>
        <w:rPr>
          <w:sz w:val="22"/>
          <w:szCs w:val="22"/>
        </w:rPr>
        <w:t xml:space="preserve">Once the schedule was fixed, verification focused on proving it held across the cases that would expose alignment errors, not just “does it produce roughly the right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2E5B8A" w:val="clear"/>
            <w:tcMar>
              <w:top w:type="dxa" w:w="100"/>
              <w:left w:type="dxa" w:w="120"/>
              <w:bottom w:type="dxa" w:w="100"/>
              <w:right w:type="dxa" w:w="120"/>
            </w:tcMar>
            <w:vAlign w:val="center"/>
          </w:tcPr>
          <w:p>
            <w:pPr>
              <w:jc w:val="center"/>
            </w:pPr>
            <w:r>
              <w:rPr>
                <w:b/>
                <w:bCs/>
                <w:color w:val="FFFFFF"/>
                <w:sz w:val="19"/>
                <w:szCs w:val="19"/>
              </w:rPr>
              <w:t xml:space="preserve">Test case</w:t>
            </w:r>
          </w:p>
        </w:tc>
        <w:tc>
          <w:tcPr>
            <w:tcW w:type="dxa" w:w="4675"/>
            <w:shd w:fill="2E5B8A" w:val="clear"/>
            <w:tcMar>
              <w:top w:type="dxa" w:w="100"/>
              <w:left w:type="dxa" w:w="120"/>
              <w:bottom w:type="dxa" w:w="100"/>
              <w:right w:type="dxa" w:w="120"/>
            </w:tcMar>
            <w:vAlign w:val="center"/>
          </w:tcPr>
          <w:p>
            <w:pPr>
              <w:jc w:val="center"/>
            </w:pPr>
            <w:r>
              <w:rPr>
                <w:b/>
                <w:bCs/>
                <w:color w:val="FFFFFF"/>
                <w:sz w:val="19"/>
                <w:szCs w:val="19"/>
              </w:rPr>
              <w:t xml:space="preserve">Purpose</w:t>
            </w:r>
          </w:p>
        </w:tc>
      </w:tr>
      <w:tr>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Positive matrix multiplication</w:t>
            </w:r>
          </w:p>
        </w:tc>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Baseline correctness</w:t>
            </w:r>
          </w:p>
        </w:tc>
      </w:tr>
      <w:tr>
        <w:tc>
          <w:tcPr>
            <w:tcW w:type="dxa" w:w="4675"/>
            <w:shd w:fill="EAF1F8"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Zero matrix</w:t>
            </w:r>
          </w:p>
        </w:tc>
        <w:tc>
          <w:tcPr>
            <w:tcW w:type="dxa" w:w="4675"/>
            <w:shd w:fill="EAF1F8"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Confirms clean accumulator clear</w:t>
            </w:r>
          </w:p>
        </w:tc>
      </w:tr>
      <w:tr>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Identity matrix</w:t>
            </w:r>
          </w:p>
        </w:tc>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Isolates pass-through operand routing</w:t>
            </w:r>
          </w:p>
        </w:tc>
      </w:tr>
      <w:tr>
        <w:tc>
          <w:tcPr>
            <w:tcW w:type="dxa" w:w="4675"/>
            <w:shd w:fill="EAF1F8"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Signed arithmetic</w:t>
            </w:r>
          </w:p>
        </w:tc>
        <w:tc>
          <w:tcPr>
            <w:tcW w:type="dxa" w:w="4675"/>
            <w:shd w:fill="EAF1F8"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Checks sign handling through the PEs</w:t>
            </w:r>
          </w:p>
        </w:tc>
      </w:tr>
      <w:tr>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Boundary values (+127 / −127)</w:t>
            </w:r>
          </w:p>
        </w:tc>
        <w:tc>
          <w:tcPr>
            <w:tcW w:type="dxa" w:w="4675"/>
            <w:shd w:fill="FFFFFF" w:val="clear"/>
            <w:tcMar>
              <w:top w:type="dxa" w:w="90"/>
              <w:left w:type="dxa" w:w="120"/>
              <w:bottom w:type="dxa" w:w="90"/>
              <w:right w:type="dxa" w:w="120"/>
            </w:tcMar>
            <w:vAlign w:val="center"/>
          </w:tcPr>
          <w:p>
            <w:pPr>
              <w:jc w:val="center"/>
            </w:pPr>
            <w:r>
              <w:rPr>
                <w:rFonts w:ascii="Consolas" w:cs="Consolas" w:eastAsia="Consolas" w:hAnsi="Consolas"/>
                <w:sz w:val="20"/>
                <w:szCs w:val="20"/>
              </w:rPr>
              <w:t xml:space="preserve">Checks saturation / overflow behavior at range edges</w:t>
            </w:r>
          </w:p>
        </w:tc>
      </w:tr>
    </w:tbl>
    <w:p>
      <w:pPr>
        <w:spacing w:after="0" w:before="260"/>
      </w:pPr>
    </w:p>
    <w:p>
      <w:pPr>
        <w:pStyle w:val="ListParagraph"/>
        <w:numPr>
          <w:ilvl w:val="0"/>
          <w:numId w:val="2"/>
        </w:numPr>
        <w:spacing w:after="90" w:line="280"/>
      </w:pPr>
      <w:r>
        <w:rPr>
          <w:sz w:val="22"/>
          <w:szCs w:val="22"/>
        </w:rPr>
        <w:t xml:space="preserve">Used GTKWave to step through operand propagation cycle-by-cycle and confirm alignment</w:t>
      </w:r>
    </w:p>
    <w:p>
      <w:pPr>
        <w:pStyle w:val="ListParagraph"/>
        <w:numPr>
          <w:ilvl w:val="0"/>
          <w:numId w:val="2"/>
        </w:numPr>
        <w:spacing w:after="90" w:line="280"/>
      </w:pPr>
      <w:r>
        <w:rPr>
          <w:sz w:val="22"/>
          <w:szCs w:val="22"/>
        </w:rPr>
        <w:t xml:space="preserve">Deliberately separated controller bugs from datapath bugs before debugging either</w:t>
      </w:r>
    </w:p>
    <w:p>
      <w:pPr>
        <w:pStyle w:val="ListParagraph"/>
        <w:numPr>
          <w:ilvl w:val="0"/>
          <w:numId w:val="2"/>
        </w:numPr>
        <w:spacing w:after="90" w:line="280"/>
      </w:pPr>
      <w:r>
        <w:rPr>
          <w:sz w:val="22"/>
          <w:szCs w:val="22"/>
        </w:rPr>
        <w:t xml:space="preserve">Built a self-checking testbench using tasks, verified against all cases above</w:t>
      </w:r>
    </w:p>
    <w:p>
      <w:pPr>
        <w:pStyle w:val="Heading1"/>
        <w:pBdr>
          <w:bottom w:val="single" w:color="CCCCCC" w:sz="6" w:space="6"/>
        </w:pBdr>
        <w:spacing w:after="200" w:before="420"/>
      </w:pPr>
      <w:r>
        <w:rPr>
          <w:b/>
          <w:bCs/>
          <w:color w:val="2E5B8A"/>
          <w:sz w:val="30"/>
          <w:szCs w:val="30"/>
        </w:rPr>
        <w:t xml:space="preserve">5. Mistakes and Learnings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B8A" w:sz="4"/>
              <w:left w:val="single" w:color="2E5B8A" w:sz="24"/>
              <w:bottom w:val="single" w:color="2E5B8A" w:sz="4"/>
              <w:right w:val="single" w:color="2E5B8A" w:sz="4"/>
            </w:tcBorders>
            <w:shd w:fill="EAF1F8" w:val="clear"/>
            <w:tcMar>
              <w:top w:type="dxa" w:w="200"/>
              <w:left w:type="dxa" w:w="260"/>
              <w:bottom w:type="dxa" w:w="200"/>
              <w:right w:type="dxa" w:w="260"/>
            </w:tcMar>
          </w:tcPr>
          <w:p>
            <w:pPr>
              <w:spacing w:after="100"/>
            </w:pPr>
            <w:r>
              <w:rPr>
                <w:b/>
                <w:bCs/>
                <w:color w:val="2E5B8A"/>
                <w:sz w:val="21"/>
                <w:szCs w:val="21"/>
              </w:rPr>
              <w:t xml:space="preserve">What I'd tell myself at the start</w:t>
            </w:r>
          </w:p>
          <w:p>
            <w:pPr>
              <w:spacing w:after="40"/>
            </w:pPr>
            <w:r>
              <w:rPr>
                <w:color w:val="333333"/>
                <w:sz w:val="21"/>
                <w:szCs w:val="21"/>
              </w:rPr>
              <w:t xml:space="preserve">“It's not working” is not the same as “it needs more time.” Adding WAIT states was the fastest lever to pull, but it was solving the wrong problem — the real fix required re-deriving the schedule.</w:t>
            </w:r>
          </w:p>
          <w:p>
            <w:pPr>
              <w:spacing w:after="40"/>
            </w:pPr>
            <w:r>
              <w:rPr>
                <w:color w:val="333333"/>
                <w:sz w:val="21"/>
                <w:szCs w:val="21"/>
              </w:rPr>
              <w:t xml:space="preserve">Systolic arrays are timing-driven architectures: correctness lives in per-cycle operand alignment, not in total elapsed cycles.</w:t>
            </w:r>
          </w:p>
          <w:p>
            <w:pPr>
              <w:spacing w:after="40"/>
            </w:pPr>
            <w:r>
              <w:rPr>
                <w:color w:val="333333"/>
                <w:sz w:val="21"/>
                <w:szCs w:val="21"/>
              </w:rPr>
              <w:t xml:space="preserve">Separating controller bugs from datapath bugs early made root-causing far faster once I stopped assuming it was one or the other.</w:t>
            </w:r>
          </w:p>
          <w:p>
            <w:pPr>
              <w:spacing w:after="40"/>
            </w:pPr>
            <w:r>
              <w:rPr>
                <w:color w:val="333333"/>
                <w:sz w:val="21"/>
                <w:szCs w:val="21"/>
              </w:rPr>
              <w:t xml:space="preserve">A self-checking testbench across varied cases (zero, identity, signed, boundary) caught issues a single “happy path” test would have missed.</w:t>
            </w:r>
          </w:p>
        </w:tc>
      </w:tr>
    </w:tbl>
    <w:p>
      <w:pPr>
        <w:pStyle w:val="Heading1"/>
        <w:pBdr>
          <w:bottom w:val="single" w:color="CCCCCC" w:sz="6" w:space="6"/>
        </w:pBdr>
        <w:spacing w:after="200" w:before="420"/>
      </w:pPr>
      <w:r>
        <w:rPr>
          <w:b/>
          <w:bCs/>
          <w:color w:val="2E5B8A"/>
          <w:sz w:val="30"/>
          <w:szCs w:val="30"/>
        </w:rPr>
        <w:t xml:space="preserve">6. Future Work</w:t>
      </w:r>
    </w:p>
    <w:p>
      <w:pPr>
        <w:pStyle w:val="ListParagraph"/>
        <w:numPr>
          <w:ilvl w:val="0"/>
          <w:numId w:val="2"/>
        </w:numPr>
        <w:spacing w:after="90" w:line="280"/>
      </w:pPr>
      <w:r>
        <w:rPr>
          <w:sz w:val="22"/>
          <w:szCs w:val="22"/>
        </w:rPr>
        <w:t xml:space="preserve">Parameterize array size to N×N instead of fixed 2×2</w:t>
      </w:r>
    </w:p>
    <w:p>
      <w:pPr>
        <w:pStyle w:val="ListParagraph"/>
        <w:numPr>
          <w:ilvl w:val="0"/>
          <w:numId w:val="2"/>
        </w:numPr>
        <w:spacing w:after="90" w:line="280"/>
      </w:pPr>
      <w:r>
        <w:rPr>
          <w:sz w:val="22"/>
          <w:szCs w:val="22"/>
        </w:rPr>
        <w:t xml:space="preserve">Add a memory / AXI interface for streaming operands from external memory</w:t>
      </w:r>
    </w:p>
    <w:p>
      <w:pPr>
        <w:pStyle w:val="ListParagraph"/>
        <w:numPr>
          <w:ilvl w:val="0"/>
          <w:numId w:val="2"/>
        </w:numPr>
        <w:spacing w:after="90" w:line="280"/>
      </w:pPr>
      <w:r>
        <w:rPr>
          <w:sz w:val="22"/>
          <w:szCs w:val="22"/>
        </w:rPr>
        <w:t xml:space="preserve">Support continuous streaming (back-to-back matrix multiplies without a full drain)</w:t>
      </w:r>
    </w:p>
    <w:p>
      <w:pPr>
        <w:pStyle w:val="ListParagraph"/>
        <w:numPr>
          <w:ilvl w:val="0"/>
          <w:numId w:val="2"/>
        </w:numPr>
        <w:spacing w:after="90" w:line="280"/>
      </w:pPr>
      <w:r>
        <w:rPr>
          <w:sz w:val="22"/>
          <w:szCs w:val="22"/>
        </w:rPr>
        <w:t xml:space="preserve">Add configurable data width</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2026-07-15T20:44:02.126Z</dcterms:created>
  <dcterms:modified xsi:type="dcterms:W3CDTF">2026-07-15T20:44:02.145Z</dcterms:modified>
</cp:coreProperties>
</file>

<file path=docProps/custom.xml><?xml version="1.0" encoding="utf-8"?>
<Properties xmlns="http://schemas.openxmlformats.org/officeDocument/2006/custom-properties" xmlns:vt="http://schemas.openxmlformats.org/officeDocument/2006/docPropsVTypes"/>
</file>