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AD9917" w14:textId="04CE8718" w:rsidR="00A60C90" w:rsidRPr="00B31228" w:rsidRDefault="00B73854" w:rsidP="00B31228">
      <w:pPr>
        <w:pStyle w:val="ListParagraph"/>
        <w:numPr>
          <w:ilvl w:val="0"/>
          <w:numId w:val="2"/>
        </w:numPr>
        <w:rPr>
          <w:b/>
        </w:rPr>
      </w:pPr>
      <w:r w:rsidRPr="00B31228">
        <w:rPr>
          <w:b/>
        </w:rPr>
        <w:t xml:space="preserve"> Health Expenditure</w:t>
      </w:r>
    </w:p>
    <w:p w14:paraId="6E5D16A3" w14:textId="3ED12D9F" w:rsidR="00B73854" w:rsidRDefault="00B73854" w:rsidP="00A60C90"/>
    <w:tbl>
      <w:tblPr>
        <w:tblStyle w:val="TableGrid"/>
        <w:tblW w:w="9777" w:type="dxa"/>
        <w:tblLook w:val="04A0" w:firstRow="1" w:lastRow="0" w:firstColumn="1" w:lastColumn="0" w:noHBand="0" w:noVBand="1"/>
      </w:tblPr>
      <w:tblGrid>
        <w:gridCol w:w="3055"/>
        <w:gridCol w:w="1530"/>
        <w:gridCol w:w="5192"/>
      </w:tblGrid>
      <w:tr w:rsidR="00B73854" w14:paraId="5576650A" w14:textId="77777777" w:rsidTr="00257ADF">
        <w:trPr>
          <w:trHeight w:val="1079"/>
        </w:trPr>
        <w:tc>
          <w:tcPr>
            <w:tcW w:w="3055" w:type="dxa"/>
            <w:vAlign w:val="center"/>
          </w:tcPr>
          <w:p w14:paraId="2ECC0BFD" w14:textId="7BF00652" w:rsidR="00B73854" w:rsidRPr="000117D1" w:rsidRDefault="00B73854" w:rsidP="00B73854">
            <w:pPr>
              <w:rPr>
                <w:rFonts w:eastAsia="Times New Roman" w:cs="Times New Roman"/>
                <w:b/>
                <w:bCs/>
                <w:color w:val="1F1F1F"/>
                <w:szCs w:val="24"/>
                <w:bdr w:val="none" w:sz="0" w:space="0" w:color="auto" w:frame="1"/>
              </w:rPr>
            </w:pPr>
            <w:r w:rsidRPr="00B73854">
              <w:rPr>
                <w:rFonts w:eastAsia="Times New Roman" w:cs="Times New Roman"/>
                <w:b/>
                <w:bCs/>
                <w:color w:val="1F1F1F"/>
                <w:szCs w:val="24"/>
                <w:bdr w:val="none" w:sz="0" w:space="0" w:color="auto" w:frame="1"/>
              </w:rPr>
              <w:t xml:space="preserve">Threshold (Share of </w:t>
            </w:r>
            <w:r w:rsidR="000117D1">
              <w:rPr>
                <w:rFonts w:eastAsia="Times New Roman" w:cs="Times New Roman"/>
                <w:b/>
                <w:bCs/>
                <w:color w:val="1F1F1F"/>
                <w:szCs w:val="24"/>
                <w:bdr w:val="none" w:sz="0" w:space="0" w:color="auto" w:frame="1"/>
              </w:rPr>
              <w:t>Total Consumption</w:t>
            </w:r>
            <w:r w:rsidRPr="00B73854">
              <w:rPr>
                <w:rFonts w:eastAsia="Times New Roman" w:cs="Times New Roman"/>
                <w:b/>
                <w:bCs/>
                <w:color w:val="1F1F1F"/>
                <w:szCs w:val="24"/>
                <w:bdr w:val="none" w:sz="0" w:space="0" w:color="auto" w:frame="1"/>
              </w:rPr>
              <w:t>)</w:t>
            </w:r>
          </w:p>
        </w:tc>
        <w:tc>
          <w:tcPr>
            <w:tcW w:w="1530" w:type="dxa"/>
            <w:vAlign w:val="center"/>
          </w:tcPr>
          <w:p w14:paraId="3B0064A1" w14:textId="5B85E344" w:rsidR="00B73854" w:rsidRDefault="00B73854" w:rsidP="00B73854">
            <w:r w:rsidRPr="00B73854">
              <w:rPr>
                <w:rFonts w:eastAsia="Times New Roman" w:cs="Times New Roman"/>
                <w:b/>
                <w:bCs/>
                <w:color w:val="1F1F1F"/>
                <w:szCs w:val="24"/>
                <w:bdr w:val="none" w:sz="0" w:space="0" w:color="auto" w:frame="1"/>
              </w:rPr>
              <w:t>Percentage of Households</w:t>
            </w:r>
          </w:p>
        </w:tc>
        <w:tc>
          <w:tcPr>
            <w:tcW w:w="5192" w:type="dxa"/>
            <w:vAlign w:val="center"/>
          </w:tcPr>
          <w:p w14:paraId="2C1289F1" w14:textId="02F1DBEC" w:rsidR="00B73854" w:rsidRDefault="00B73854" w:rsidP="00B73854">
            <w:r w:rsidRPr="00B73854">
              <w:rPr>
                <w:rFonts w:eastAsia="Times New Roman" w:cs="Times New Roman"/>
                <w:b/>
                <w:bCs/>
                <w:color w:val="1F1F1F"/>
                <w:szCs w:val="24"/>
                <w:bdr w:val="none" w:sz="0" w:space="0" w:color="auto" w:frame="1"/>
              </w:rPr>
              <w:t>Interpretation</w:t>
            </w:r>
          </w:p>
        </w:tc>
      </w:tr>
      <w:tr w:rsidR="00B73854" w14:paraId="77500F6D" w14:textId="77777777" w:rsidTr="00257ADF">
        <w:trPr>
          <w:trHeight w:val="1060"/>
        </w:trPr>
        <w:tc>
          <w:tcPr>
            <w:tcW w:w="3055" w:type="dxa"/>
            <w:vAlign w:val="center"/>
          </w:tcPr>
          <w:p w14:paraId="1CC91275" w14:textId="1F9F99CF" w:rsidR="00B73854" w:rsidRDefault="00B73854" w:rsidP="00B73854">
            <w:r>
              <w:rPr>
                <w:rFonts w:eastAsia="Times New Roman" w:cs="Times New Roman"/>
                <w:b/>
                <w:bCs/>
                <w:color w:val="1F1F1F"/>
                <w:szCs w:val="24"/>
                <w:bdr w:val="none" w:sz="0" w:space="0" w:color="auto" w:frame="1"/>
              </w:rPr>
              <w:t>Greater than</w:t>
            </w:r>
            <w:r w:rsidRPr="00B73854">
              <w:rPr>
                <w:rFonts w:eastAsia="Times New Roman" w:cs="Times New Roman"/>
                <w:b/>
                <w:bCs/>
                <w:color w:val="1F1F1F"/>
                <w:szCs w:val="24"/>
                <w:bdr w:val="none" w:sz="0" w:space="0" w:color="auto" w:frame="1"/>
              </w:rPr>
              <w:t xml:space="preserve"> 10%</w:t>
            </w:r>
            <w:r>
              <w:rPr>
                <w:rFonts w:eastAsia="Times New Roman" w:cs="Times New Roman"/>
                <w:b/>
                <w:bCs/>
                <w:color w:val="1F1F1F"/>
                <w:szCs w:val="24"/>
                <w:bdr w:val="none" w:sz="0" w:space="0" w:color="auto" w:frame="1"/>
              </w:rPr>
              <w:t xml:space="preserve"> of real consumption expenditure</w:t>
            </w:r>
          </w:p>
        </w:tc>
        <w:tc>
          <w:tcPr>
            <w:tcW w:w="1530" w:type="dxa"/>
            <w:vAlign w:val="center"/>
          </w:tcPr>
          <w:p w14:paraId="2F78E1AA" w14:textId="1EAC6168" w:rsidR="00B73854" w:rsidRDefault="00257ADF" w:rsidP="00B73854">
            <w:r>
              <w:rPr>
                <w:rFonts w:eastAsia="Times New Roman" w:cs="Times New Roman"/>
                <w:b/>
                <w:bCs/>
                <w:color w:val="1F1F1F"/>
                <w:szCs w:val="24"/>
                <w:bdr w:val="none" w:sz="0" w:space="0" w:color="auto" w:frame="1"/>
              </w:rPr>
              <w:t>8.9</w:t>
            </w:r>
            <w:r w:rsidR="00B73854" w:rsidRPr="00B73854">
              <w:rPr>
                <w:rFonts w:eastAsia="Times New Roman" w:cs="Times New Roman"/>
                <w:b/>
                <w:bCs/>
                <w:color w:val="1F1F1F"/>
                <w:szCs w:val="24"/>
                <w:bdr w:val="none" w:sz="0" w:space="0" w:color="auto" w:frame="1"/>
              </w:rPr>
              <w:t>%</w:t>
            </w:r>
          </w:p>
        </w:tc>
        <w:tc>
          <w:tcPr>
            <w:tcW w:w="5192" w:type="dxa"/>
            <w:vAlign w:val="center"/>
          </w:tcPr>
          <w:p w14:paraId="3A0F0168" w14:textId="60B31832" w:rsidR="00B73854" w:rsidRDefault="00257ADF" w:rsidP="00B73854">
            <w:r>
              <w:t>Nearly 1 in 11 households spend more than a tenth of their total consumption on health, indicating a noticeable financial burden.</w:t>
            </w:r>
          </w:p>
        </w:tc>
      </w:tr>
      <w:tr w:rsidR="00B73854" w14:paraId="410B786B" w14:textId="77777777" w:rsidTr="00257ADF">
        <w:trPr>
          <w:trHeight w:val="795"/>
        </w:trPr>
        <w:tc>
          <w:tcPr>
            <w:tcW w:w="3055" w:type="dxa"/>
            <w:vAlign w:val="center"/>
          </w:tcPr>
          <w:p w14:paraId="70F887BA" w14:textId="50E8B01A" w:rsidR="00B73854" w:rsidRDefault="00B73854" w:rsidP="00B73854">
            <w:r>
              <w:rPr>
                <w:rFonts w:eastAsia="Times New Roman" w:cs="Times New Roman"/>
                <w:b/>
                <w:bCs/>
                <w:color w:val="1F1F1F"/>
                <w:szCs w:val="24"/>
                <w:bdr w:val="none" w:sz="0" w:space="0" w:color="auto" w:frame="1"/>
              </w:rPr>
              <w:t>Greater than</w:t>
            </w:r>
            <w:r w:rsidRPr="00B73854">
              <w:rPr>
                <w:rFonts w:eastAsia="Times New Roman" w:cs="Times New Roman"/>
                <w:b/>
                <w:bCs/>
                <w:color w:val="1F1F1F"/>
                <w:szCs w:val="24"/>
                <w:bdr w:val="none" w:sz="0" w:space="0" w:color="auto" w:frame="1"/>
              </w:rPr>
              <w:t xml:space="preserve"> 1</w:t>
            </w:r>
            <w:r>
              <w:rPr>
                <w:rFonts w:eastAsia="Times New Roman" w:cs="Times New Roman"/>
                <w:b/>
                <w:bCs/>
                <w:color w:val="1F1F1F"/>
                <w:szCs w:val="24"/>
                <w:bdr w:val="none" w:sz="0" w:space="0" w:color="auto" w:frame="1"/>
              </w:rPr>
              <w:t>5</w:t>
            </w:r>
            <w:r w:rsidRPr="00B73854">
              <w:rPr>
                <w:rFonts w:eastAsia="Times New Roman" w:cs="Times New Roman"/>
                <w:b/>
                <w:bCs/>
                <w:color w:val="1F1F1F"/>
                <w:szCs w:val="24"/>
                <w:bdr w:val="none" w:sz="0" w:space="0" w:color="auto" w:frame="1"/>
              </w:rPr>
              <w:t>%</w:t>
            </w:r>
            <w:r>
              <w:rPr>
                <w:rFonts w:eastAsia="Times New Roman" w:cs="Times New Roman"/>
                <w:b/>
                <w:bCs/>
                <w:color w:val="1F1F1F"/>
                <w:szCs w:val="24"/>
                <w:bdr w:val="none" w:sz="0" w:space="0" w:color="auto" w:frame="1"/>
              </w:rPr>
              <w:t xml:space="preserve"> of real consumption expenditure</w:t>
            </w:r>
          </w:p>
        </w:tc>
        <w:tc>
          <w:tcPr>
            <w:tcW w:w="1530" w:type="dxa"/>
            <w:vAlign w:val="center"/>
          </w:tcPr>
          <w:p w14:paraId="08B5AE4C" w14:textId="79B9363E" w:rsidR="00B73854" w:rsidRDefault="00257ADF" w:rsidP="00B73854">
            <w:r>
              <w:rPr>
                <w:rFonts w:eastAsia="Times New Roman" w:cs="Times New Roman"/>
                <w:b/>
                <w:bCs/>
                <w:color w:val="1F1F1F"/>
                <w:szCs w:val="24"/>
                <w:bdr w:val="none" w:sz="0" w:space="0" w:color="auto" w:frame="1"/>
              </w:rPr>
              <w:t>5.6</w:t>
            </w:r>
            <w:r w:rsidR="00B73854" w:rsidRPr="00B73854">
              <w:rPr>
                <w:rFonts w:eastAsia="Times New Roman" w:cs="Times New Roman"/>
                <w:b/>
                <w:bCs/>
                <w:color w:val="1F1F1F"/>
                <w:szCs w:val="24"/>
                <w:bdr w:val="none" w:sz="0" w:space="0" w:color="auto" w:frame="1"/>
              </w:rPr>
              <w:t>%</w:t>
            </w:r>
          </w:p>
        </w:tc>
        <w:tc>
          <w:tcPr>
            <w:tcW w:w="5192" w:type="dxa"/>
            <w:vAlign w:val="center"/>
          </w:tcPr>
          <w:p w14:paraId="556CBED5" w14:textId="77FEDF50" w:rsidR="00B73854" w:rsidRDefault="00257ADF" w:rsidP="00B73854">
            <w:r>
              <w:t xml:space="preserve">About 1 in 18 households face a high health spending burden relative to their total </w:t>
            </w:r>
            <w:r w:rsidR="000117D1">
              <w:t>consumption</w:t>
            </w:r>
            <w:r>
              <w:t>.</w:t>
            </w:r>
          </w:p>
        </w:tc>
      </w:tr>
      <w:tr w:rsidR="00B73854" w14:paraId="205B72A2" w14:textId="77777777" w:rsidTr="00257ADF">
        <w:trPr>
          <w:trHeight w:val="1079"/>
        </w:trPr>
        <w:tc>
          <w:tcPr>
            <w:tcW w:w="3055" w:type="dxa"/>
            <w:vAlign w:val="center"/>
          </w:tcPr>
          <w:p w14:paraId="6E472993" w14:textId="624794AE" w:rsidR="00B73854" w:rsidRDefault="00B73854" w:rsidP="00B73854">
            <w:r>
              <w:rPr>
                <w:rFonts w:eastAsia="Times New Roman" w:cs="Times New Roman"/>
                <w:b/>
                <w:bCs/>
                <w:color w:val="1F1F1F"/>
                <w:szCs w:val="24"/>
                <w:bdr w:val="none" w:sz="0" w:space="0" w:color="auto" w:frame="1"/>
              </w:rPr>
              <w:t>Greater than</w:t>
            </w:r>
            <w:r w:rsidRPr="00B73854">
              <w:rPr>
                <w:rFonts w:eastAsia="Times New Roman" w:cs="Times New Roman"/>
                <w:b/>
                <w:bCs/>
                <w:color w:val="1F1F1F"/>
                <w:szCs w:val="24"/>
                <w:bdr w:val="none" w:sz="0" w:space="0" w:color="auto" w:frame="1"/>
              </w:rPr>
              <w:t xml:space="preserve"> </w:t>
            </w:r>
            <w:r>
              <w:rPr>
                <w:rFonts w:eastAsia="Times New Roman" w:cs="Times New Roman"/>
                <w:b/>
                <w:bCs/>
                <w:color w:val="1F1F1F"/>
                <w:szCs w:val="24"/>
                <w:bdr w:val="none" w:sz="0" w:space="0" w:color="auto" w:frame="1"/>
              </w:rPr>
              <w:t>25</w:t>
            </w:r>
            <w:r w:rsidRPr="00B73854">
              <w:rPr>
                <w:rFonts w:eastAsia="Times New Roman" w:cs="Times New Roman"/>
                <w:b/>
                <w:bCs/>
                <w:color w:val="1F1F1F"/>
                <w:szCs w:val="24"/>
                <w:bdr w:val="none" w:sz="0" w:space="0" w:color="auto" w:frame="1"/>
              </w:rPr>
              <w:t>%</w:t>
            </w:r>
            <w:r>
              <w:rPr>
                <w:rFonts w:eastAsia="Times New Roman" w:cs="Times New Roman"/>
                <w:b/>
                <w:bCs/>
                <w:color w:val="1F1F1F"/>
                <w:szCs w:val="24"/>
                <w:bdr w:val="none" w:sz="0" w:space="0" w:color="auto" w:frame="1"/>
              </w:rPr>
              <w:t xml:space="preserve"> of real consumption expenditure</w:t>
            </w:r>
          </w:p>
        </w:tc>
        <w:tc>
          <w:tcPr>
            <w:tcW w:w="1530" w:type="dxa"/>
            <w:vAlign w:val="center"/>
          </w:tcPr>
          <w:p w14:paraId="4F02E5ED" w14:textId="328E86BC" w:rsidR="00B73854" w:rsidRDefault="00257ADF" w:rsidP="00B73854">
            <w:r>
              <w:rPr>
                <w:rFonts w:eastAsia="Times New Roman" w:cs="Times New Roman"/>
                <w:b/>
                <w:bCs/>
                <w:color w:val="1F1F1F"/>
                <w:szCs w:val="24"/>
                <w:bdr w:val="none" w:sz="0" w:space="0" w:color="auto" w:frame="1"/>
              </w:rPr>
              <w:t>3.0</w:t>
            </w:r>
            <w:r w:rsidR="00B73854" w:rsidRPr="00B73854">
              <w:rPr>
                <w:rFonts w:eastAsia="Times New Roman" w:cs="Times New Roman"/>
                <w:b/>
                <w:bCs/>
                <w:color w:val="1F1F1F"/>
                <w:szCs w:val="24"/>
                <w:bdr w:val="none" w:sz="0" w:space="0" w:color="auto" w:frame="1"/>
              </w:rPr>
              <w:t>%</w:t>
            </w:r>
          </w:p>
        </w:tc>
        <w:tc>
          <w:tcPr>
            <w:tcW w:w="5192" w:type="dxa"/>
            <w:vAlign w:val="center"/>
          </w:tcPr>
          <w:p w14:paraId="70177563" w14:textId="7203C929" w:rsidR="00B73854" w:rsidRDefault="00257ADF" w:rsidP="00B73854">
            <w:r>
              <w:t>A smaller but significant share of households devote a quarter or more of their consumption to health, suggesting serious financial strain.</w:t>
            </w:r>
          </w:p>
        </w:tc>
      </w:tr>
      <w:tr w:rsidR="00B73854" w14:paraId="42C8B5C7" w14:textId="77777777" w:rsidTr="00257ADF">
        <w:trPr>
          <w:trHeight w:val="1610"/>
        </w:trPr>
        <w:tc>
          <w:tcPr>
            <w:tcW w:w="3055" w:type="dxa"/>
            <w:vAlign w:val="center"/>
          </w:tcPr>
          <w:p w14:paraId="5FE669CF" w14:textId="437EA7B7" w:rsidR="00B73854" w:rsidRDefault="00B73854" w:rsidP="00B73854">
            <w:r>
              <w:rPr>
                <w:rFonts w:eastAsia="Times New Roman" w:cs="Times New Roman"/>
                <w:b/>
                <w:bCs/>
                <w:color w:val="1F1F1F"/>
                <w:szCs w:val="24"/>
                <w:bdr w:val="none" w:sz="0" w:space="0" w:color="auto" w:frame="1"/>
              </w:rPr>
              <w:t>Greater than</w:t>
            </w:r>
            <w:r w:rsidRPr="00B73854">
              <w:rPr>
                <w:rFonts w:eastAsia="Times New Roman" w:cs="Times New Roman"/>
                <w:b/>
                <w:bCs/>
                <w:color w:val="1F1F1F"/>
                <w:szCs w:val="24"/>
                <w:bdr w:val="none" w:sz="0" w:space="0" w:color="auto" w:frame="1"/>
              </w:rPr>
              <w:t xml:space="preserve"> </w:t>
            </w:r>
            <w:r>
              <w:rPr>
                <w:rFonts w:eastAsia="Times New Roman" w:cs="Times New Roman"/>
                <w:b/>
                <w:bCs/>
                <w:color w:val="1F1F1F"/>
                <w:szCs w:val="24"/>
                <w:bdr w:val="none" w:sz="0" w:space="0" w:color="auto" w:frame="1"/>
              </w:rPr>
              <w:t>4</w:t>
            </w:r>
            <w:r w:rsidRPr="00B73854">
              <w:rPr>
                <w:rFonts w:eastAsia="Times New Roman" w:cs="Times New Roman"/>
                <w:b/>
                <w:bCs/>
                <w:color w:val="1F1F1F"/>
                <w:szCs w:val="24"/>
                <w:bdr w:val="none" w:sz="0" w:space="0" w:color="auto" w:frame="1"/>
              </w:rPr>
              <w:t>0%</w:t>
            </w:r>
            <w:r>
              <w:rPr>
                <w:rFonts w:eastAsia="Times New Roman" w:cs="Times New Roman"/>
                <w:b/>
                <w:bCs/>
                <w:color w:val="1F1F1F"/>
                <w:szCs w:val="24"/>
                <w:bdr w:val="none" w:sz="0" w:space="0" w:color="auto" w:frame="1"/>
              </w:rPr>
              <w:t xml:space="preserve"> of real disposable consumption expenditure</w:t>
            </w:r>
          </w:p>
        </w:tc>
        <w:tc>
          <w:tcPr>
            <w:tcW w:w="1530" w:type="dxa"/>
            <w:vAlign w:val="center"/>
          </w:tcPr>
          <w:p w14:paraId="2EF8F51B" w14:textId="61DCB913" w:rsidR="00B73854" w:rsidRDefault="00257ADF" w:rsidP="00B73854">
            <w:r>
              <w:rPr>
                <w:rFonts w:eastAsia="Times New Roman" w:cs="Times New Roman"/>
                <w:b/>
                <w:bCs/>
                <w:color w:val="1F1F1F"/>
                <w:szCs w:val="24"/>
                <w:bdr w:val="none" w:sz="0" w:space="0" w:color="auto" w:frame="1"/>
              </w:rPr>
              <w:t>4.6</w:t>
            </w:r>
            <w:r w:rsidR="00B73854" w:rsidRPr="00B73854">
              <w:rPr>
                <w:rFonts w:eastAsia="Times New Roman" w:cs="Times New Roman"/>
                <w:b/>
                <w:bCs/>
                <w:color w:val="1F1F1F"/>
                <w:szCs w:val="24"/>
                <w:bdr w:val="none" w:sz="0" w:space="0" w:color="auto" w:frame="1"/>
              </w:rPr>
              <w:t>%</w:t>
            </w:r>
          </w:p>
        </w:tc>
        <w:tc>
          <w:tcPr>
            <w:tcW w:w="5192" w:type="dxa"/>
          </w:tcPr>
          <w:p w14:paraId="6F4965F9" w14:textId="2CD5A50F" w:rsidR="00B73854" w:rsidRDefault="00257ADF" w:rsidP="00B73854">
            <w:r>
              <w:t>Almost 1 in 22 households experience catastrophic health expenditure when measured against non-food (capacity-to-pay) consumption, indicating substantial financial vulnerability.</w:t>
            </w:r>
          </w:p>
        </w:tc>
      </w:tr>
    </w:tbl>
    <w:p w14:paraId="4E54CF58" w14:textId="1FCDD437" w:rsidR="00B73854" w:rsidRDefault="00B73854" w:rsidP="00A60C90"/>
    <w:p w14:paraId="22C27EF1" w14:textId="239036B6" w:rsidR="00B72C64" w:rsidRDefault="00257ADF">
      <w:pPr>
        <w:spacing w:before="0" w:after="160"/>
      </w:pPr>
      <w:r>
        <w:rPr>
          <w:noProof/>
          <w:lang w:bidi="ne-NP"/>
        </w:rPr>
        <w:drawing>
          <wp:inline distT="0" distB="0" distL="0" distR="0" wp14:anchorId="6E8FB9FC" wp14:editId="29889E83">
            <wp:extent cx="5943600"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graph_economist_sty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1F9532FC" w14:textId="77777777" w:rsidR="00257ADF" w:rsidRDefault="00257ADF" w:rsidP="00A60C90"/>
    <w:p w14:paraId="05D6B823" w14:textId="7935CA0C" w:rsidR="00A60C90" w:rsidRDefault="00A60C90" w:rsidP="00A60C90">
      <w:r>
        <w:t>This table shows the average percentage of total household consumption spent on health services.</w:t>
      </w:r>
    </w:p>
    <w:tbl>
      <w:tblPr>
        <w:tblStyle w:val="TableGrid"/>
        <w:tblW w:w="9550" w:type="dxa"/>
        <w:tblLook w:val="04A0" w:firstRow="1" w:lastRow="0" w:firstColumn="1" w:lastColumn="0" w:noHBand="0" w:noVBand="1"/>
      </w:tblPr>
      <w:tblGrid>
        <w:gridCol w:w="4775"/>
        <w:gridCol w:w="4775"/>
      </w:tblGrid>
      <w:tr w:rsidR="00901DAA" w14:paraId="38290276" w14:textId="77777777" w:rsidTr="00901DAA">
        <w:trPr>
          <w:trHeight w:val="569"/>
        </w:trPr>
        <w:tc>
          <w:tcPr>
            <w:tcW w:w="4775" w:type="dxa"/>
            <w:vAlign w:val="center"/>
          </w:tcPr>
          <w:p w14:paraId="1962D3B6" w14:textId="77777777" w:rsidR="00901DAA" w:rsidRPr="00A60C90" w:rsidRDefault="00901DAA" w:rsidP="00901DAA">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Expenditure Quintile</w:t>
            </w:r>
          </w:p>
        </w:tc>
        <w:tc>
          <w:tcPr>
            <w:tcW w:w="4775" w:type="dxa"/>
            <w:vAlign w:val="center"/>
          </w:tcPr>
          <w:p w14:paraId="7F609B0B" w14:textId="54F4D085" w:rsidR="00901DAA" w:rsidRPr="00A60C90" w:rsidRDefault="00901DAA" w:rsidP="00901DAA">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Mean Share of Health Spending (%)</w:t>
            </w:r>
          </w:p>
        </w:tc>
      </w:tr>
      <w:tr w:rsidR="00901DAA" w14:paraId="3356517D" w14:textId="77777777" w:rsidTr="00901DAA">
        <w:trPr>
          <w:trHeight w:val="569"/>
        </w:trPr>
        <w:tc>
          <w:tcPr>
            <w:tcW w:w="4775" w:type="dxa"/>
            <w:vAlign w:val="center"/>
          </w:tcPr>
          <w:p w14:paraId="18504050" w14:textId="77777777" w:rsidR="00901DAA" w:rsidRPr="00A60C90" w:rsidRDefault="00901DAA" w:rsidP="00901DAA">
            <w:pPr>
              <w:spacing w:before="0" w:after="0"/>
              <w:rPr>
                <w:rFonts w:eastAsia="Times New Roman" w:cs="Times New Roman"/>
                <w:color w:val="1F1F1F"/>
                <w:szCs w:val="24"/>
              </w:rPr>
            </w:pPr>
            <w:r w:rsidRPr="00A60C90">
              <w:rPr>
                <w:rFonts w:eastAsia="Times New Roman" w:cs="Times New Roman"/>
                <w:bCs/>
                <w:color w:val="1F1F1F"/>
                <w:szCs w:val="24"/>
                <w:bdr w:val="none" w:sz="0" w:space="0" w:color="auto" w:frame="1"/>
              </w:rPr>
              <w:t>1 (Poorest)</w:t>
            </w:r>
          </w:p>
        </w:tc>
        <w:tc>
          <w:tcPr>
            <w:tcW w:w="4775" w:type="dxa"/>
            <w:vAlign w:val="center"/>
          </w:tcPr>
          <w:p w14:paraId="59BFEF90" w14:textId="6619E35D" w:rsidR="00901DAA" w:rsidRPr="00A60C90" w:rsidRDefault="000F07AA" w:rsidP="00901DAA">
            <w:pPr>
              <w:spacing w:before="0" w:after="0"/>
              <w:rPr>
                <w:rFonts w:eastAsia="Times New Roman" w:cs="Times New Roman"/>
                <w:color w:val="1F1F1F"/>
                <w:szCs w:val="24"/>
              </w:rPr>
            </w:pPr>
            <w:r>
              <w:rPr>
                <w:rFonts w:eastAsia="Times New Roman" w:cs="Times New Roman"/>
                <w:color w:val="1F1F1F"/>
                <w:szCs w:val="24"/>
              </w:rPr>
              <w:t>5.1%</w:t>
            </w:r>
          </w:p>
        </w:tc>
      </w:tr>
      <w:tr w:rsidR="00901DAA" w14:paraId="0FE44591" w14:textId="77777777" w:rsidTr="00901DAA">
        <w:trPr>
          <w:trHeight w:val="569"/>
        </w:trPr>
        <w:tc>
          <w:tcPr>
            <w:tcW w:w="4775" w:type="dxa"/>
            <w:vAlign w:val="center"/>
          </w:tcPr>
          <w:p w14:paraId="1180EAA6" w14:textId="77777777" w:rsidR="00901DAA" w:rsidRPr="00A60C90" w:rsidRDefault="00901DAA" w:rsidP="00901DAA">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2</w:t>
            </w:r>
          </w:p>
        </w:tc>
        <w:tc>
          <w:tcPr>
            <w:tcW w:w="4775" w:type="dxa"/>
            <w:vAlign w:val="center"/>
          </w:tcPr>
          <w:p w14:paraId="19B6ABAA" w14:textId="62867BEA" w:rsidR="00901DAA" w:rsidRPr="00A60C90" w:rsidRDefault="000F07AA" w:rsidP="00901DAA">
            <w:pPr>
              <w:spacing w:before="0" w:after="0"/>
              <w:rPr>
                <w:rFonts w:eastAsia="Times New Roman" w:cs="Times New Roman"/>
                <w:color w:val="1F1F1F"/>
                <w:szCs w:val="24"/>
              </w:rPr>
            </w:pPr>
            <w:r>
              <w:rPr>
                <w:rFonts w:eastAsia="Times New Roman" w:cs="Times New Roman"/>
                <w:color w:val="1F1F1F"/>
                <w:szCs w:val="24"/>
              </w:rPr>
              <w:t>4.2%</w:t>
            </w:r>
          </w:p>
        </w:tc>
      </w:tr>
      <w:tr w:rsidR="00901DAA" w14:paraId="011DB6BB" w14:textId="77777777" w:rsidTr="00901DAA">
        <w:trPr>
          <w:trHeight w:val="569"/>
        </w:trPr>
        <w:tc>
          <w:tcPr>
            <w:tcW w:w="4775" w:type="dxa"/>
            <w:vAlign w:val="center"/>
          </w:tcPr>
          <w:p w14:paraId="434D96FB" w14:textId="77777777" w:rsidR="00901DAA" w:rsidRPr="00A60C90" w:rsidRDefault="00901DAA" w:rsidP="00901DAA">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3</w:t>
            </w:r>
          </w:p>
        </w:tc>
        <w:tc>
          <w:tcPr>
            <w:tcW w:w="4775" w:type="dxa"/>
            <w:vAlign w:val="center"/>
          </w:tcPr>
          <w:p w14:paraId="12A5E3B8" w14:textId="0F2B15D7" w:rsidR="00901DAA" w:rsidRPr="00A60C90" w:rsidRDefault="000F07AA" w:rsidP="00901DAA">
            <w:pPr>
              <w:spacing w:before="0" w:after="0"/>
              <w:rPr>
                <w:rFonts w:eastAsia="Times New Roman" w:cs="Times New Roman"/>
                <w:color w:val="1F1F1F"/>
                <w:szCs w:val="24"/>
              </w:rPr>
            </w:pPr>
            <w:r>
              <w:rPr>
                <w:rFonts w:eastAsia="Times New Roman" w:cs="Times New Roman"/>
                <w:color w:val="1F1F1F"/>
                <w:szCs w:val="24"/>
              </w:rPr>
              <w:t>3.9%</w:t>
            </w:r>
          </w:p>
        </w:tc>
      </w:tr>
      <w:tr w:rsidR="00901DAA" w14:paraId="580477F9" w14:textId="77777777" w:rsidTr="00901DAA">
        <w:trPr>
          <w:trHeight w:val="569"/>
        </w:trPr>
        <w:tc>
          <w:tcPr>
            <w:tcW w:w="4775" w:type="dxa"/>
            <w:vAlign w:val="center"/>
          </w:tcPr>
          <w:p w14:paraId="6BF7CFD7" w14:textId="77777777" w:rsidR="00901DAA" w:rsidRPr="00A60C90" w:rsidRDefault="00901DAA" w:rsidP="00901DAA">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4</w:t>
            </w:r>
          </w:p>
        </w:tc>
        <w:tc>
          <w:tcPr>
            <w:tcW w:w="4775" w:type="dxa"/>
            <w:vAlign w:val="center"/>
          </w:tcPr>
          <w:p w14:paraId="1CED55E2" w14:textId="674394C1" w:rsidR="00901DAA" w:rsidRPr="00A60C90" w:rsidRDefault="000F07AA" w:rsidP="00901DAA">
            <w:pPr>
              <w:spacing w:before="0" w:after="0"/>
              <w:rPr>
                <w:rFonts w:eastAsia="Times New Roman" w:cs="Times New Roman"/>
                <w:color w:val="1F1F1F"/>
                <w:szCs w:val="24"/>
              </w:rPr>
            </w:pPr>
            <w:r>
              <w:rPr>
                <w:rFonts w:eastAsia="Times New Roman" w:cs="Times New Roman"/>
                <w:color w:val="1F1F1F"/>
                <w:szCs w:val="24"/>
              </w:rPr>
              <w:t>3.9%</w:t>
            </w:r>
          </w:p>
        </w:tc>
      </w:tr>
      <w:tr w:rsidR="00901DAA" w14:paraId="5539A717" w14:textId="77777777" w:rsidTr="00901DAA">
        <w:trPr>
          <w:trHeight w:val="569"/>
        </w:trPr>
        <w:tc>
          <w:tcPr>
            <w:tcW w:w="4775" w:type="dxa"/>
            <w:vAlign w:val="center"/>
          </w:tcPr>
          <w:p w14:paraId="3E7B6020" w14:textId="77777777" w:rsidR="00901DAA" w:rsidRPr="00A60C90" w:rsidRDefault="00901DAA" w:rsidP="00901DAA">
            <w:pPr>
              <w:spacing w:before="0" w:after="0"/>
              <w:rPr>
                <w:rFonts w:eastAsia="Times New Roman" w:cs="Times New Roman"/>
                <w:color w:val="1F1F1F"/>
                <w:szCs w:val="24"/>
              </w:rPr>
            </w:pPr>
            <w:r w:rsidRPr="00A60C90">
              <w:rPr>
                <w:rFonts w:eastAsia="Times New Roman" w:cs="Times New Roman"/>
                <w:bCs/>
                <w:color w:val="1F1F1F"/>
                <w:szCs w:val="24"/>
                <w:bdr w:val="none" w:sz="0" w:space="0" w:color="auto" w:frame="1"/>
              </w:rPr>
              <w:t>5 (Richest)</w:t>
            </w:r>
          </w:p>
        </w:tc>
        <w:tc>
          <w:tcPr>
            <w:tcW w:w="4775" w:type="dxa"/>
            <w:vAlign w:val="center"/>
          </w:tcPr>
          <w:p w14:paraId="1E238F35" w14:textId="07A857A3" w:rsidR="00901DAA" w:rsidRPr="00A60C90" w:rsidRDefault="000F07AA" w:rsidP="00901DAA">
            <w:pPr>
              <w:spacing w:before="0" w:after="0"/>
              <w:rPr>
                <w:rFonts w:eastAsia="Times New Roman" w:cs="Times New Roman"/>
                <w:color w:val="1F1F1F"/>
                <w:szCs w:val="24"/>
              </w:rPr>
            </w:pPr>
            <w:r>
              <w:rPr>
                <w:rFonts w:eastAsia="Times New Roman" w:cs="Times New Roman"/>
                <w:color w:val="1F1F1F"/>
                <w:szCs w:val="24"/>
              </w:rPr>
              <w:t>3.3%</w:t>
            </w:r>
          </w:p>
        </w:tc>
      </w:tr>
      <w:tr w:rsidR="00901DAA" w14:paraId="761483D1" w14:textId="77777777" w:rsidTr="00901DAA">
        <w:trPr>
          <w:trHeight w:val="569"/>
        </w:trPr>
        <w:tc>
          <w:tcPr>
            <w:tcW w:w="4775" w:type="dxa"/>
            <w:vAlign w:val="center"/>
          </w:tcPr>
          <w:p w14:paraId="1FCBF819" w14:textId="77777777" w:rsidR="00901DAA" w:rsidRPr="00A60C90" w:rsidRDefault="00901DAA" w:rsidP="00901DAA">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National Average</w:t>
            </w:r>
          </w:p>
        </w:tc>
        <w:tc>
          <w:tcPr>
            <w:tcW w:w="4775" w:type="dxa"/>
            <w:vAlign w:val="center"/>
          </w:tcPr>
          <w:p w14:paraId="6EF98948" w14:textId="2E03F13C" w:rsidR="00901DAA" w:rsidRPr="00A60C90" w:rsidRDefault="000F07AA" w:rsidP="00901DAA">
            <w:pPr>
              <w:spacing w:before="0" w:after="0"/>
              <w:rPr>
                <w:rFonts w:eastAsia="Times New Roman" w:cs="Times New Roman"/>
                <w:color w:val="1F1F1F"/>
                <w:szCs w:val="24"/>
              </w:rPr>
            </w:pPr>
            <w:r>
              <w:rPr>
                <w:rFonts w:eastAsia="Times New Roman" w:cs="Times New Roman"/>
                <w:color w:val="1F1F1F"/>
                <w:szCs w:val="24"/>
              </w:rPr>
              <w:t>4.1%</w:t>
            </w:r>
          </w:p>
        </w:tc>
      </w:tr>
    </w:tbl>
    <w:p w14:paraId="251B34E5" w14:textId="558062AC" w:rsidR="00A60C90" w:rsidRDefault="000117D1" w:rsidP="00A60C90">
      <w:pPr>
        <w:rPr>
          <w:b/>
        </w:rPr>
      </w:pPr>
      <w:r>
        <w:t xml:space="preserve">Health expenditure as a </w:t>
      </w:r>
      <w:r>
        <w:rPr>
          <w:b/>
          <w:bCs/>
        </w:rPr>
        <w:t>share</w:t>
      </w:r>
      <w:r>
        <w:t xml:space="preserve"> of household consumption is highest for the poorest quintile at </w:t>
      </w:r>
      <w:r>
        <w:rPr>
          <w:b/>
          <w:bCs/>
        </w:rPr>
        <w:t>5.1%</w:t>
      </w:r>
      <w:r>
        <w:t xml:space="preserve">, compared to the national average of </w:t>
      </w:r>
      <w:r>
        <w:rPr>
          <w:b/>
          <w:bCs/>
        </w:rPr>
        <w:t>4.1%</w:t>
      </w:r>
      <w:r>
        <w:t xml:space="preserve">. The richest quintile spends the smallest share at </w:t>
      </w:r>
      <w:r>
        <w:rPr>
          <w:b/>
          <w:bCs/>
        </w:rPr>
        <w:t>3.3%</w:t>
      </w:r>
      <w:r>
        <w:t>. This inverse relationship demonstrates that the relative financial burden of healthcare is significantly heavier for lower-income households</w:t>
      </w:r>
      <w:r w:rsidR="000F07AA">
        <w:t>.</w:t>
      </w:r>
      <w:r w:rsidR="00E3112B">
        <w:rPr>
          <w:b/>
          <w:noProof/>
          <w:lang w:bidi="ne-NP"/>
        </w:rPr>
        <w:drawing>
          <wp:inline distT="0" distB="0" distL="0" distR="0" wp14:anchorId="322EA423" wp14:editId="1A4C13E6">
            <wp:extent cx="5943600" cy="346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graphhealth_budget_quintile_economis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4913B0A6" w14:textId="77777777" w:rsidR="00B31228" w:rsidRDefault="00B31228">
      <w:pPr>
        <w:spacing w:before="0" w:after="160"/>
        <w:rPr>
          <w:b/>
        </w:rPr>
      </w:pPr>
      <w:r>
        <w:rPr>
          <w:b/>
        </w:rPr>
        <w:br w:type="page"/>
      </w:r>
    </w:p>
    <w:p w14:paraId="1FC8F2EF" w14:textId="4AA8CED5" w:rsidR="00A60C90" w:rsidRPr="00A60C90" w:rsidRDefault="00A60C90" w:rsidP="00A60C90">
      <w:pPr>
        <w:rPr>
          <w:b/>
        </w:rPr>
      </w:pPr>
      <w:r w:rsidRPr="00A60C90">
        <w:rPr>
          <w:b/>
        </w:rPr>
        <w:lastRenderedPageBreak/>
        <w:t xml:space="preserve">2. Incidence of Catastrophic Health Expenditure </w:t>
      </w:r>
      <w:r w:rsidR="00B10AF8">
        <w:rPr>
          <w:b/>
        </w:rPr>
        <w:t>at different thresholds</w:t>
      </w:r>
    </w:p>
    <w:p w14:paraId="7B1C8812" w14:textId="2491F571" w:rsidR="00A60C90" w:rsidRDefault="00A60C90" w:rsidP="00A60C90"/>
    <w:tbl>
      <w:tblPr>
        <w:tblStyle w:val="TableGrid"/>
        <w:tblW w:w="0" w:type="auto"/>
        <w:tblLook w:val="04A0" w:firstRow="1" w:lastRow="0" w:firstColumn="1" w:lastColumn="0" w:noHBand="0" w:noVBand="1"/>
      </w:tblPr>
      <w:tblGrid>
        <w:gridCol w:w="2112"/>
        <w:gridCol w:w="1906"/>
        <w:gridCol w:w="1853"/>
        <w:gridCol w:w="1550"/>
        <w:gridCol w:w="1929"/>
      </w:tblGrid>
      <w:tr w:rsidR="00BE3A0F" w14:paraId="7FB9916C" w14:textId="63112C3C" w:rsidTr="00B31228">
        <w:tc>
          <w:tcPr>
            <w:tcW w:w="2112" w:type="dxa"/>
            <w:vAlign w:val="center"/>
          </w:tcPr>
          <w:p w14:paraId="109D2529" w14:textId="77777777" w:rsidR="00BE3A0F" w:rsidRPr="00A60C90" w:rsidRDefault="00BE3A0F" w:rsidP="00BE3A0F">
            <w:pPr>
              <w:spacing w:before="0" w:after="0"/>
              <w:rPr>
                <w:rFonts w:eastAsia="Times New Roman" w:cs="Times New Roman"/>
                <w:b/>
                <w:color w:val="1F1F1F"/>
                <w:szCs w:val="24"/>
              </w:rPr>
            </w:pPr>
            <w:r w:rsidRPr="00A60C90">
              <w:rPr>
                <w:rFonts w:eastAsia="Times New Roman" w:cs="Times New Roman"/>
                <w:b/>
                <w:bCs/>
                <w:color w:val="1F1F1F"/>
                <w:szCs w:val="24"/>
                <w:bdr w:val="none" w:sz="0" w:space="0" w:color="auto" w:frame="1"/>
              </w:rPr>
              <w:t>Expenditure Quintile</w:t>
            </w:r>
          </w:p>
        </w:tc>
        <w:tc>
          <w:tcPr>
            <w:tcW w:w="1906" w:type="dxa"/>
            <w:vAlign w:val="center"/>
          </w:tcPr>
          <w:p w14:paraId="77A74ADE" w14:textId="77777777" w:rsidR="00BE3A0F" w:rsidRPr="00A60C90" w:rsidRDefault="00BE3A0F" w:rsidP="00BE3A0F">
            <w:pPr>
              <w:spacing w:before="0" w:after="0"/>
              <w:rPr>
                <w:rFonts w:eastAsia="Times New Roman" w:cs="Times New Roman"/>
                <w:b/>
                <w:color w:val="1F1F1F"/>
                <w:szCs w:val="24"/>
              </w:rPr>
            </w:pPr>
            <w:r w:rsidRPr="00A60C90">
              <w:rPr>
                <w:b/>
              </w:rPr>
              <w:t>Catastrophic Incidence at 10% (Headcount %)</w:t>
            </w:r>
          </w:p>
        </w:tc>
        <w:tc>
          <w:tcPr>
            <w:tcW w:w="1853" w:type="dxa"/>
          </w:tcPr>
          <w:p w14:paraId="67F01098" w14:textId="4C43804D" w:rsidR="00BE3A0F" w:rsidRPr="00A60C90" w:rsidRDefault="00BE3A0F" w:rsidP="00BE3A0F">
            <w:pPr>
              <w:spacing w:before="0" w:after="0"/>
              <w:rPr>
                <w:b/>
              </w:rPr>
            </w:pPr>
            <w:r w:rsidRPr="00A60C90">
              <w:rPr>
                <w:b/>
              </w:rPr>
              <w:t xml:space="preserve">Catastrophic Incidence at </w:t>
            </w:r>
            <w:r>
              <w:rPr>
                <w:b/>
              </w:rPr>
              <w:t>15</w:t>
            </w:r>
            <w:r w:rsidRPr="00A60C90">
              <w:rPr>
                <w:b/>
              </w:rPr>
              <w:t>% (Headcount %)</w:t>
            </w:r>
          </w:p>
        </w:tc>
        <w:tc>
          <w:tcPr>
            <w:tcW w:w="1550" w:type="dxa"/>
          </w:tcPr>
          <w:p w14:paraId="7400257B" w14:textId="3798BE27" w:rsidR="00BE3A0F" w:rsidRPr="00A60C90" w:rsidRDefault="00BE3A0F" w:rsidP="00BE3A0F">
            <w:pPr>
              <w:spacing w:before="0" w:after="0"/>
              <w:rPr>
                <w:b/>
              </w:rPr>
            </w:pPr>
            <w:r w:rsidRPr="00A60C90">
              <w:rPr>
                <w:b/>
              </w:rPr>
              <w:t xml:space="preserve">Catastrophic Incidence at </w:t>
            </w:r>
            <w:r>
              <w:rPr>
                <w:b/>
              </w:rPr>
              <w:t>25</w:t>
            </w:r>
            <w:r w:rsidRPr="00A60C90">
              <w:rPr>
                <w:b/>
              </w:rPr>
              <w:t>% (Headcount %)</w:t>
            </w:r>
          </w:p>
        </w:tc>
        <w:tc>
          <w:tcPr>
            <w:tcW w:w="1929" w:type="dxa"/>
          </w:tcPr>
          <w:p w14:paraId="24DAD716" w14:textId="7858F858" w:rsidR="00BE3A0F" w:rsidRPr="00A60C90" w:rsidRDefault="00BE3A0F" w:rsidP="00BE3A0F">
            <w:pPr>
              <w:spacing w:before="0" w:after="0"/>
              <w:rPr>
                <w:b/>
              </w:rPr>
            </w:pPr>
            <w:r w:rsidRPr="00A60C90">
              <w:rPr>
                <w:b/>
              </w:rPr>
              <w:t xml:space="preserve">Catastrophic Incidence at </w:t>
            </w:r>
            <w:r w:rsidR="000F6466">
              <w:rPr>
                <w:b/>
              </w:rPr>
              <w:t>40</w:t>
            </w:r>
            <w:r w:rsidRPr="00A60C90">
              <w:rPr>
                <w:b/>
              </w:rPr>
              <w:t xml:space="preserve">% </w:t>
            </w:r>
            <w:r>
              <w:rPr>
                <w:b/>
              </w:rPr>
              <w:t xml:space="preserve">of non-food consumption share </w:t>
            </w:r>
            <w:r w:rsidRPr="00A60C90">
              <w:rPr>
                <w:b/>
              </w:rPr>
              <w:t>(Headcount %)</w:t>
            </w:r>
          </w:p>
        </w:tc>
      </w:tr>
      <w:tr w:rsidR="00BE3A0F" w14:paraId="208EE822" w14:textId="7A7A1FEF" w:rsidTr="00B31228">
        <w:tc>
          <w:tcPr>
            <w:tcW w:w="2112" w:type="dxa"/>
            <w:vAlign w:val="center"/>
          </w:tcPr>
          <w:p w14:paraId="0D0CE641" w14:textId="77777777" w:rsidR="00BE3A0F" w:rsidRPr="00A60C90" w:rsidRDefault="00BE3A0F" w:rsidP="00BE3A0F">
            <w:pPr>
              <w:spacing w:before="0" w:after="0"/>
              <w:rPr>
                <w:rFonts w:eastAsia="Times New Roman" w:cs="Times New Roman"/>
                <w:color w:val="1F1F1F"/>
                <w:szCs w:val="24"/>
              </w:rPr>
            </w:pPr>
            <w:r w:rsidRPr="00A60C90">
              <w:rPr>
                <w:rFonts w:eastAsia="Times New Roman" w:cs="Times New Roman"/>
                <w:bCs/>
                <w:color w:val="1F1F1F"/>
                <w:szCs w:val="24"/>
                <w:bdr w:val="none" w:sz="0" w:space="0" w:color="auto" w:frame="1"/>
              </w:rPr>
              <w:t>1 (Poorest)</w:t>
            </w:r>
          </w:p>
        </w:tc>
        <w:tc>
          <w:tcPr>
            <w:tcW w:w="1906" w:type="dxa"/>
          </w:tcPr>
          <w:p w14:paraId="42EA1591" w14:textId="1C8D121D" w:rsidR="00BE3A0F" w:rsidRDefault="00257ADF" w:rsidP="00BE3A0F">
            <w:r>
              <w:t>11.5</w:t>
            </w:r>
          </w:p>
        </w:tc>
        <w:tc>
          <w:tcPr>
            <w:tcW w:w="1853" w:type="dxa"/>
          </w:tcPr>
          <w:p w14:paraId="294A403B" w14:textId="4ACF04D0" w:rsidR="00BE3A0F" w:rsidRDefault="00257ADF" w:rsidP="00BE3A0F">
            <w:r>
              <w:t>7.7</w:t>
            </w:r>
          </w:p>
        </w:tc>
        <w:tc>
          <w:tcPr>
            <w:tcW w:w="1550" w:type="dxa"/>
          </w:tcPr>
          <w:p w14:paraId="691707E6" w14:textId="22A11893" w:rsidR="00BE3A0F" w:rsidRDefault="00257ADF" w:rsidP="00BE3A0F">
            <w:r>
              <w:t>5.0</w:t>
            </w:r>
          </w:p>
        </w:tc>
        <w:tc>
          <w:tcPr>
            <w:tcW w:w="1929" w:type="dxa"/>
          </w:tcPr>
          <w:p w14:paraId="3A2815D3" w14:textId="77B696C6" w:rsidR="00BE3A0F" w:rsidRDefault="00257ADF" w:rsidP="00BE3A0F">
            <w:r>
              <w:t>7.2</w:t>
            </w:r>
          </w:p>
        </w:tc>
      </w:tr>
      <w:tr w:rsidR="00BE3A0F" w14:paraId="6B33CFD4" w14:textId="2EDA1F30" w:rsidTr="00B31228">
        <w:tc>
          <w:tcPr>
            <w:tcW w:w="2112" w:type="dxa"/>
            <w:vAlign w:val="center"/>
          </w:tcPr>
          <w:p w14:paraId="256C2BE2" w14:textId="77777777" w:rsidR="00BE3A0F" w:rsidRPr="00A60C90" w:rsidRDefault="00BE3A0F" w:rsidP="00BE3A0F">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2</w:t>
            </w:r>
          </w:p>
        </w:tc>
        <w:tc>
          <w:tcPr>
            <w:tcW w:w="1906" w:type="dxa"/>
          </w:tcPr>
          <w:p w14:paraId="41DC342D" w14:textId="6D9217EB" w:rsidR="00BE3A0F" w:rsidRDefault="00257ADF" w:rsidP="00BE3A0F">
            <w:r>
              <w:t>9.1</w:t>
            </w:r>
          </w:p>
        </w:tc>
        <w:tc>
          <w:tcPr>
            <w:tcW w:w="1853" w:type="dxa"/>
          </w:tcPr>
          <w:p w14:paraId="37CA693B" w14:textId="73F8C995" w:rsidR="00BE3A0F" w:rsidRDefault="00257ADF" w:rsidP="00BE3A0F">
            <w:r>
              <w:t>6.2</w:t>
            </w:r>
          </w:p>
        </w:tc>
        <w:tc>
          <w:tcPr>
            <w:tcW w:w="1550" w:type="dxa"/>
          </w:tcPr>
          <w:p w14:paraId="40635FE7" w14:textId="7C134870" w:rsidR="00BE3A0F" w:rsidRDefault="00257ADF" w:rsidP="00BE3A0F">
            <w:r>
              <w:t>3.3</w:t>
            </w:r>
          </w:p>
        </w:tc>
        <w:tc>
          <w:tcPr>
            <w:tcW w:w="1929" w:type="dxa"/>
          </w:tcPr>
          <w:p w14:paraId="00EB3E9F" w14:textId="32C30EDC" w:rsidR="00BE3A0F" w:rsidRDefault="00BE3A0F" w:rsidP="00BE3A0F">
            <w:r>
              <w:t>4.7</w:t>
            </w:r>
          </w:p>
        </w:tc>
      </w:tr>
      <w:tr w:rsidR="00BE3A0F" w14:paraId="42940E43" w14:textId="5BCE067E" w:rsidTr="00B31228">
        <w:tc>
          <w:tcPr>
            <w:tcW w:w="2112" w:type="dxa"/>
            <w:vAlign w:val="center"/>
          </w:tcPr>
          <w:p w14:paraId="3DB8D839" w14:textId="77777777" w:rsidR="00BE3A0F" w:rsidRPr="00A60C90" w:rsidRDefault="00BE3A0F" w:rsidP="00BE3A0F">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3</w:t>
            </w:r>
          </w:p>
        </w:tc>
        <w:tc>
          <w:tcPr>
            <w:tcW w:w="1906" w:type="dxa"/>
          </w:tcPr>
          <w:p w14:paraId="774BE53C" w14:textId="0E1DCDBA" w:rsidR="00BE3A0F" w:rsidRDefault="00257ADF" w:rsidP="00BE3A0F">
            <w:r>
              <w:t>8.6</w:t>
            </w:r>
          </w:p>
        </w:tc>
        <w:tc>
          <w:tcPr>
            <w:tcW w:w="1853" w:type="dxa"/>
          </w:tcPr>
          <w:p w14:paraId="35A62988" w14:textId="7D02059F" w:rsidR="00BE3A0F" w:rsidRDefault="00257ADF" w:rsidP="00BE3A0F">
            <w:r>
              <w:t>5.1</w:t>
            </w:r>
          </w:p>
        </w:tc>
        <w:tc>
          <w:tcPr>
            <w:tcW w:w="1550" w:type="dxa"/>
          </w:tcPr>
          <w:p w14:paraId="53601477" w14:textId="42897DFC" w:rsidR="00BE3A0F" w:rsidRDefault="00257ADF" w:rsidP="00BE3A0F">
            <w:r>
              <w:t>2.5</w:t>
            </w:r>
          </w:p>
        </w:tc>
        <w:tc>
          <w:tcPr>
            <w:tcW w:w="1929" w:type="dxa"/>
          </w:tcPr>
          <w:p w14:paraId="09DBFA7A" w14:textId="75B8ADB1" w:rsidR="00BE3A0F" w:rsidRDefault="00257ADF" w:rsidP="00BE3A0F">
            <w:r>
              <w:t>4.5</w:t>
            </w:r>
          </w:p>
        </w:tc>
      </w:tr>
      <w:tr w:rsidR="00BE3A0F" w14:paraId="6CD21292" w14:textId="5724CC12" w:rsidTr="00B31228">
        <w:tc>
          <w:tcPr>
            <w:tcW w:w="2112" w:type="dxa"/>
            <w:vAlign w:val="center"/>
          </w:tcPr>
          <w:p w14:paraId="44F40199" w14:textId="77777777" w:rsidR="00BE3A0F" w:rsidRPr="00A60C90" w:rsidRDefault="00BE3A0F" w:rsidP="00BE3A0F">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4</w:t>
            </w:r>
          </w:p>
        </w:tc>
        <w:tc>
          <w:tcPr>
            <w:tcW w:w="1906" w:type="dxa"/>
          </w:tcPr>
          <w:p w14:paraId="5FEE1B94" w14:textId="251D9D45" w:rsidR="00BE3A0F" w:rsidRDefault="00257ADF" w:rsidP="00BE3A0F">
            <w:r>
              <w:t>9.1</w:t>
            </w:r>
          </w:p>
        </w:tc>
        <w:tc>
          <w:tcPr>
            <w:tcW w:w="1853" w:type="dxa"/>
          </w:tcPr>
          <w:p w14:paraId="4CA4E42B" w14:textId="1FF0951D" w:rsidR="00BE3A0F" w:rsidRDefault="00257ADF" w:rsidP="00BE3A0F">
            <w:r>
              <w:t>5.5</w:t>
            </w:r>
          </w:p>
        </w:tc>
        <w:tc>
          <w:tcPr>
            <w:tcW w:w="1550" w:type="dxa"/>
          </w:tcPr>
          <w:p w14:paraId="57C9C406" w14:textId="60FF76F1" w:rsidR="00BE3A0F" w:rsidRDefault="00257ADF" w:rsidP="00BE3A0F">
            <w:r>
              <w:t>2.4</w:t>
            </w:r>
          </w:p>
        </w:tc>
        <w:tc>
          <w:tcPr>
            <w:tcW w:w="1929" w:type="dxa"/>
          </w:tcPr>
          <w:p w14:paraId="39B5BFC2" w14:textId="3AD87CC2" w:rsidR="00BE3A0F" w:rsidRDefault="00257ADF" w:rsidP="00BE3A0F">
            <w:r>
              <w:t>4.1</w:t>
            </w:r>
          </w:p>
        </w:tc>
      </w:tr>
      <w:tr w:rsidR="00BE3A0F" w14:paraId="24C4985A" w14:textId="0C8A3A90" w:rsidTr="00B31228">
        <w:tc>
          <w:tcPr>
            <w:tcW w:w="2112" w:type="dxa"/>
            <w:vAlign w:val="center"/>
          </w:tcPr>
          <w:p w14:paraId="521F59C8" w14:textId="77777777" w:rsidR="00BE3A0F" w:rsidRPr="00A60C90" w:rsidRDefault="00BE3A0F" w:rsidP="00BE3A0F">
            <w:pPr>
              <w:spacing w:before="0" w:after="0"/>
              <w:rPr>
                <w:rFonts w:eastAsia="Times New Roman" w:cs="Times New Roman"/>
                <w:color w:val="1F1F1F"/>
                <w:szCs w:val="24"/>
              </w:rPr>
            </w:pPr>
            <w:r w:rsidRPr="00A60C90">
              <w:rPr>
                <w:rFonts w:eastAsia="Times New Roman" w:cs="Times New Roman"/>
                <w:bCs/>
                <w:color w:val="1F1F1F"/>
                <w:szCs w:val="24"/>
                <w:bdr w:val="none" w:sz="0" w:space="0" w:color="auto" w:frame="1"/>
              </w:rPr>
              <w:t>5 (Richest)</w:t>
            </w:r>
          </w:p>
        </w:tc>
        <w:tc>
          <w:tcPr>
            <w:tcW w:w="1906" w:type="dxa"/>
          </w:tcPr>
          <w:p w14:paraId="17C4397B" w14:textId="20C31B41" w:rsidR="00BE3A0F" w:rsidRDefault="00257ADF" w:rsidP="00BE3A0F">
            <w:r>
              <w:t>5.9</w:t>
            </w:r>
          </w:p>
        </w:tc>
        <w:tc>
          <w:tcPr>
            <w:tcW w:w="1853" w:type="dxa"/>
          </w:tcPr>
          <w:p w14:paraId="5DDDE5C5" w14:textId="5B379437" w:rsidR="00BE3A0F" w:rsidRDefault="00257ADF" w:rsidP="00BE3A0F">
            <w:r>
              <w:t>3.7</w:t>
            </w:r>
          </w:p>
        </w:tc>
        <w:tc>
          <w:tcPr>
            <w:tcW w:w="1550" w:type="dxa"/>
          </w:tcPr>
          <w:p w14:paraId="1B31F864" w14:textId="07FCC52D" w:rsidR="00BE3A0F" w:rsidRDefault="00257ADF" w:rsidP="00BE3A0F">
            <w:r>
              <w:t>1.9</w:t>
            </w:r>
          </w:p>
        </w:tc>
        <w:tc>
          <w:tcPr>
            <w:tcW w:w="1929" w:type="dxa"/>
          </w:tcPr>
          <w:p w14:paraId="2DF56BEC" w14:textId="5FCE4FA2" w:rsidR="00BE3A0F" w:rsidRDefault="00257ADF" w:rsidP="00BE3A0F">
            <w:r>
              <w:t>2.5</w:t>
            </w:r>
          </w:p>
        </w:tc>
      </w:tr>
      <w:tr w:rsidR="00BE3A0F" w14:paraId="7A8138B7" w14:textId="3B3A0CC2" w:rsidTr="00B31228">
        <w:tc>
          <w:tcPr>
            <w:tcW w:w="2112" w:type="dxa"/>
            <w:vAlign w:val="center"/>
          </w:tcPr>
          <w:p w14:paraId="251569BF" w14:textId="77777777" w:rsidR="00BE3A0F" w:rsidRPr="00A60C90" w:rsidRDefault="00BE3A0F" w:rsidP="00BE3A0F">
            <w:pPr>
              <w:spacing w:before="0" w:after="0"/>
              <w:rPr>
                <w:rFonts w:eastAsia="Times New Roman" w:cs="Times New Roman"/>
                <w:color w:val="1F1F1F"/>
                <w:szCs w:val="24"/>
              </w:rPr>
            </w:pPr>
            <w:r w:rsidRPr="00A60C90">
              <w:rPr>
                <w:rFonts w:eastAsia="Times New Roman" w:cs="Times New Roman"/>
                <w:b/>
                <w:bCs/>
                <w:color w:val="1F1F1F"/>
                <w:szCs w:val="24"/>
                <w:bdr w:val="none" w:sz="0" w:space="0" w:color="auto" w:frame="1"/>
              </w:rPr>
              <w:t>National Average</w:t>
            </w:r>
          </w:p>
        </w:tc>
        <w:tc>
          <w:tcPr>
            <w:tcW w:w="1906" w:type="dxa"/>
          </w:tcPr>
          <w:p w14:paraId="41868EF1" w14:textId="3A689C85" w:rsidR="00BE3A0F" w:rsidRDefault="00257ADF" w:rsidP="00BE3A0F">
            <w:r>
              <w:t>8.9</w:t>
            </w:r>
          </w:p>
        </w:tc>
        <w:tc>
          <w:tcPr>
            <w:tcW w:w="1853" w:type="dxa"/>
          </w:tcPr>
          <w:p w14:paraId="6226831F" w14:textId="17B6ECC5" w:rsidR="00BE3A0F" w:rsidRDefault="00257ADF" w:rsidP="00BE3A0F">
            <w:r>
              <w:t>5.6</w:t>
            </w:r>
          </w:p>
        </w:tc>
        <w:tc>
          <w:tcPr>
            <w:tcW w:w="1550" w:type="dxa"/>
          </w:tcPr>
          <w:p w14:paraId="5B3F4531" w14:textId="25FB6C49" w:rsidR="00BE3A0F" w:rsidRDefault="00257ADF" w:rsidP="00BE3A0F">
            <w:r>
              <w:t>3.0</w:t>
            </w:r>
          </w:p>
        </w:tc>
        <w:tc>
          <w:tcPr>
            <w:tcW w:w="1929" w:type="dxa"/>
          </w:tcPr>
          <w:p w14:paraId="3D084804" w14:textId="2C89239D" w:rsidR="00BE3A0F" w:rsidRDefault="00257ADF" w:rsidP="00BE3A0F">
            <w:r>
              <w:t>4.6</w:t>
            </w:r>
          </w:p>
        </w:tc>
      </w:tr>
    </w:tbl>
    <w:p w14:paraId="3DE54D41" w14:textId="77777777" w:rsidR="00257ADF" w:rsidRDefault="00257ADF">
      <w:pPr>
        <w:spacing w:before="0" w:after="160"/>
        <w:rPr>
          <w:b/>
        </w:rPr>
      </w:pPr>
    </w:p>
    <w:p w14:paraId="48DFCBA9" w14:textId="77777777" w:rsidR="00257ADF" w:rsidRDefault="00257ADF">
      <w:pPr>
        <w:spacing w:before="0" w:after="160"/>
      </w:pPr>
      <w:r>
        <w:t xml:space="preserve">Health financing in Nepal is fundamentally unfair. The poorest households (Quintile 1) are nearly </w:t>
      </w:r>
      <w:r>
        <w:rPr>
          <w:b/>
          <w:bCs/>
        </w:rPr>
        <w:t>twice as likely</w:t>
      </w:r>
      <w:r>
        <w:t xml:space="preserve"> (11.5%) to face catastrophic health costs compared to the richest households (5.9%) at the 10% threshold. This confirms that the financial risk of illness is not shared equally but falls disproportionately on those with the least resources.</w:t>
      </w:r>
    </w:p>
    <w:p w14:paraId="250568E6" w14:textId="77777777" w:rsidR="00257ADF" w:rsidRDefault="00257ADF">
      <w:pPr>
        <w:spacing w:before="0" w:after="160"/>
      </w:pPr>
      <w:r>
        <w:t xml:space="preserve">The inequality is even sharper when looking at "Capacity to Pay" (excluding food expenses). The poorest are nearly </w:t>
      </w:r>
      <w:r>
        <w:rPr>
          <w:b/>
          <w:bCs/>
        </w:rPr>
        <w:t>three times more likely</w:t>
      </w:r>
      <w:r>
        <w:t xml:space="preserve"> (7.2% vs. 2.5%) to spend a catastrophic share of their disposable income on health compared to the rich. This suggests that low-income families are frequently forcing a trade-off between healthcare and other survival essentials like rent or education.</w:t>
      </w:r>
    </w:p>
    <w:p w14:paraId="643E58D6" w14:textId="77777777" w:rsidR="00E3112B" w:rsidRDefault="00257ADF">
      <w:pPr>
        <w:spacing w:before="0" w:after="160"/>
      </w:pPr>
      <w:r>
        <w:t xml:space="preserve">Financial insecurity extends far beyond the absolute poor. Surprisingly, the second-richest group (Quintile 4) faces the exact same rate of catastrophic expenditure (9.1%) as the second-poorest (Quintile 2). This indicates that meaningful financial protection against health shocks is weak for the </w:t>
      </w:r>
      <w:r>
        <w:rPr>
          <w:b/>
          <w:bCs/>
        </w:rPr>
        <w:t>bottom 80%</w:t>
      </w:r>
      <w:r>
        <w:t xml:space="preserve"> of the population, with true safety reserved only for the wealthiest top 20%.</w:t>
      </w:r>
    </w:p>
    <w:p w14:paraId="0D1B9072" w14:textId="7CC7FC92" w:rsidR="00E3112B" w:rsidRDefault="00E3112B">
      <w:pPr>
        <w:spacing w:before="0" w:after="160"/>
        <w:rPr>
          <w:b/>
        </w:rPr>
      </w:pPr>
    </w:p>
    <w:p w14:paraId="1F31618E" w14:textId="44784972" w:rsidR="00E3112B" w:rsidRDefault="00E3112B">
      <w:pPr>
        <w:spacing w:before="0" w:after="160"/>
        <w:rPr>
          <w:b/>
        </w:rPr>
      </w:pPr>
    </w:p>
    <w:p w14:paraId="55A6717B" w14:textId="6D5C5811" w:rsidR="00E3112B" w:rsidRDefault="00E3112B">
      <w:pPr>
        <w:spacing w:before="0" w:after="160"/>
        <w:rPr>
          <w:b/>
        </w:rPr>
      </w:pPr>
    </w:p>
    <w:p w14:paraId="0AAB82F5" w14:textId="77777777" w:rsidR="00E3112B" w:rsidRDefault="00E3112B">
      <w:pPr>
        <w:spacing w:before="0" w:after="160"/>
        <w:rPr>
          <w:b/>
        </w:rPr>
      </w:pPr>
    </w:p>
    <w:tbl>
      <w:tblPr>
        <w:tblStyle w:val="TableGrid"/>
        <w:tblW w:w="9355" w:type="dxa"/>
        <w:tblLook w:val="04A0" w:firstRow="1" w:lastRow="0" w:firstColumn="1" w:lastColumn="0" w:noHBand="0" w:noVBand="1"/>
      </w:tblPr>
      <w:tblGrid>
        <w:gridCol w:w="2065"/>
        <w:gridCol w:w="1980"/>
        <w:gridCol w:w="1800"/>
        <w:gridCol w:w="1620"/>
        <w:gridCol w:w="1890"/>
      </w:tblGrid>
      <w:tr w:rsidR="00E3112B" w14:paraId="0ED0C939" w14:textId="7FFEE465" w:rsidTr="00E3112B">
        <w:tc>
          <w:tcPr>
            <w:tcW w:w="2065" w:type="dxa"/>
          </w:tcPr>
          <w:p w14:paraId="2980D34E" w14:textId="46276CF1" w:rsidR="00E3112B" w:rsidRDefault="00E3112B" w:rsidP="00E3112B">
            <w:pPr>
              <w:spacing w:before="0" w:after="160"/>
              <w:rPr>
                <w:b/>
              </w:rPr>
            </w:pPr>
            <w:r>
              <w:rPr>
                <w:b/>
              </w:rPr>
              <w:lastRenderedPageBreak/>
              <w:t>Poverty Status (based on NLSS IV)</w:t>
            </w:r>
          </w:p>
        </w:tc>
        <w:tc>
          <w:tcPr>
            <w:tcW w:w="1980" w:type="dxa"/>
            <w:vAlign w:val="center"/>
          </w:tcPr>
          <w:p w14:paraId="4E371F57" w14:textId="68871C5A" w:rsidR="00E3112B" w:rsidRDefault="00E3112B" w:rsidP="00E3112B">
            <w:pPr>
              <w:spacing w:before="0" w:after="160"/>
              <w:rPr>
                <w:b/>
              </w:rPr>
            </w:pPr>
            <w:r w:rsidRPr="00A60C90">
              <w:rPr>
                <w:b/>
              </w:rPr>
              <w:t>Catastrophic Incidence at 10% (Headcount %)</w:t>
            </w:r>
          </w:p>
        </w:tc>
        <w:tc>
          <w:tcPr>
            <w:tcW w:w="1800" w:type="dxa"/>
          </w:tcPr>
          <w:p w14:paraId="33BA3BCD" w14:textId="2257A6CD" w:rsidR="00E3112B" w:rsidRDefault="00E3112B" w:rsidP="00E3112B">
            <w:pPr>
              <w:spacing w:before="0" w:after="160"/>
              <w:rPr>
                <w:b/>
              </w:rPr>
            </w:pPr>
            <w:r w:rsidRPr="00A60C90">
              <w:rPr>
                <w:b/>
              </w:rPr>
              <w:t xml:space="preserve">Catastrophic Incidence at </w:t>
            </w:r>
            <w:r>
              <w:rPr>
                <w:b/>
              </w:rPr>
              <w:t>15</w:t>
            </w:r>
            <w:r w:rsidRPr="00A60C90">
              <w:rPr>
                <w:b/>
              </w:rPr>
              <w:t>% (Headcount %)</w:t>
            </w:r>
          </w:p>
        </w:tc>
        <w:tc>
          <w:tcPr>
            <w:tcW w:w="1620" w:type="dxa"/>
          </w:tcPr>
          <w:p w14:paraId="0A94F03B" w14:textId="17A6D4DA" w:rsidR="00E3112B" w:rsidRDefault="00E3112B" w:rsidP="00E3112B">
            <w:pPr>
              <w:spacing w:before="0" w:after="160"/>
              <w:rPr>
                <w:b/>
              </w:rPr>
            </w:pPr>
            <w:r w:rsidRPr="00A60C90">
              <w:rPr>
                <w:b/>
              </w:rPr>
              <w:t xml:space="preserve">Catastrophic Incidence at </w:t>
            </w:r>
            <w:r>
              <w:rPr>
                <w:b/>
              </w:rPr>
              <w:t>25</w:t>
            </w:r>
            <w:r w:rsidRPr="00A60C90">
              <w:rPr>
                <w:b/>
              </w:rPr>
              <w:t>% (Headcount %)</w:t>
            </w:r>
          </w:p>
        </w:tc>
        <w:tc>
          <w:tcPr>
            <w:tcW w:w="1890" w:type="dxa"/>
          </w:tcPr>
          <w:p w14:paraId="708CE702" w14:textId="1E5F0D4A" w:rsidR="00E3112B" w:rsidRDefault="00E3112B" w:rsidP="00E3112B">
            <w:pPr>
              <w:spacing w:before="0" w:after="160"/>
              <w:rPr>
                <w:b/>
              </w:rPr>
            </w:pPr>
            <w:r w:rsidRPr="00A60C90">
              <w:rPr>
                <w:b/>
              </w:rPr>
              <w:t xml:space="preserve">Catastrophic Incidence at </w:t>
            </w:r>
            <w:r w:rsidR="000F6466">
              <w:rPr>
                <w:b/>
              </w:rPr>
              <w:t>40</w:t>
            </w:r>
            <w:r w:rsidRPr="00A60C90">
              <w:rPr>
                <w:b/>
              </w:rPr>
              <w:t xml:space="preserve">% </w:t>
            </w:r>
            <w:r>
              <w:rPr>
                <w:b/>
              </w:rPr>
              <w:t xml:space="preserve">of non-food consumption </w:t>
            </w:r>
          </w:p>
        </w:tc>
      </w:tr>
      <w:tr w:rsidR="00E3112B" w14:paraId="131094ED" w14:textId="77777777" w:rsidTr="00E3112B">
        <w:tc>
          <w:tcPr>
            <w:tcW w:w="2065" w:type="dxa"/>
          </w:tcPr>
          <w:p w14:paraId="22E8998A" w14:textId="420528DD" w:rsidR="00E3112B" w:rsidRDefault="00E3112B" w:rsidP="00E3112B">
            <w:pPr>
              <w:spacing w:before="0" w:after="160"/>
              <w:rPr>
                <w:b/>
              </w:rPr>
            </w:pPr>
            <w:r>
              <w:rPr>
                <w:b/>
              </w:rPr>
              <w:t>Non-Poor</w:t>
            </w:r>
          </w:p>
        </w:tc>
        <w:tc>
          <w:tcPr>
            <w:tcW w:w="1980" w:type="dxa"/>
            <w:vAlign w:val="center"/>
          </w:tcPr>
          <w:p w14:paraId="5056F9D4" w14:textId="3976C67F" w:rsidR="00E3112B" w:rsidRPr="00A60C90" w:rsidRDefault="00E3112B" w:rsidP="00E3112B">
            <w:pPr>
              <w:spacing w:before="0" w:after="160"/>
              <w:rPr>
                <w:b/>
              </w:rPr>
            </w:pPr>
            <w:r>
              <w:rPr>
                <w:b/>
              </w:rPr>
              <w:t>8.2</w:t>
            </w:r>
          </w:p>
        </w:tc>
        <w:tc>
          <w:tcPr>
            <w:tcW w:w="1800" w:type="dxa"/>
          </w:tcPr>
          <w:p w14:paraId="33BB2AC9" w14:textId="0C49A22E" w:rsidR="00E3112B" w:rsidRPr="00A60C90" w:rsidRDefault="00E3112B" w:rsidP="00E3112B">
            <w:pPr>
              <w:spacing w:before="0" w:after="160"/>
              <w:rPr>
                <w:b/>
              </w:rPr>
            </w:pPr>
            <w:r>
              <w:rPr>
                <w:b/>
              </w:rPr>
              <w:t>5.1</w:t>
            </w:r>
          </w:p>
        </w:tc>
        <w:tc>
          <w:tcPr>
            <w:tcW w:w="1620" w:type="dxa"/>
          </w:tcPr>
          <w:p w14:paraId="2E6522A8" w14:textId="2CA613C2" w:rsidR="00E3112B" w:rsidRPr="00A60C90" w:rsidRDefault="00E3112B" w:rsidP="00E3112B">
            <w:pPr>
              <w:spacing w:before="0" w:after="160"/>
              <w:rPr>
                <w:b/>
              </w:rPr>
            </w:pPr>
            <w:r>
              <w:rPr>
                <w:b/>
              </w:rPr>
              <w:t>2.5</w:t>
            </w:r>
          </w:p>
        </w:tc>
        <w:tc>
          <w:tcPr>
            <w:tcW w:w="1890" w:type="dxa"/>
          </w:tcPr>
          <w:p w14:paraId="78EF655D" w14:textId="551BE427" w:rsidR="00E3112B" w:rsidRPr="00A60C90" w:rsidRDefault="00E3112B" w:rsidP="00E3112B">
            <w:pPr>
              <w:spacing w:before="0" w:after="160"/>
              <w:rPr>
                <w:b/>
              </w:rPr>
            </w:pPr>
            <w:r>
              <w:rPr>
                <w:b/>
              </w:rPr>
              <w:t>3.9</w:t>
            </w:r>
          </w:p>
        </w:tc>
      </w:tr>
      <w:tr w:rsidR="00E3112B" w14:paraId="4BC378B9" w14:textId="77777777" w:rsidTr="00E3112B">
        <w:tc>
          <w:tcPr>
            <w:tcW w:w="2065" w:type="dxa"/>
          </w:tcPr>
          <w:p w14:paraId="7A099E4D" w14:textId="76155B9B" w:rsidR="00E3112B" w:rsidRDefault="00E3112B" w:rsidP="00E3112B">
            <w:pPr>
              <w:spacing w:before="0" w:after="160"/>
              <w:rPr>
                <w:b/>
              </w:rPr>
            </w:pPr>
            <w:r>
              <w:rPr>
                <w:b/>
              </w:rPr>
              <w:t>Poor</w:t>
            </w:r>
          </w:p>
        </w:tc>
        <w:tc>
          <w:tcPr>
            <w:tcW w:w="1980" w:type="dxa"/>
            <w:vAlign w:val="center"/>
          </w:tcPr>
          <w:p w14:paraId="5E0AE396" w14:textId="33FE44B8" w:rsidR="00E3112B" w:rsidRPr="00A60C90" w:rsidRDefault="00E3112B" w:rsidP="00E3112B">
            <w:pPr>
              <w:spacing w:before="0" w:after="160"/>
              <w:rPr>
                <w:b/>
              </w:rPr>
            </w:pPr>
            <w:r>
              <w:rPr>
                <w:b/>
              </w:rPr>
              <w:t>11.5</w:t>
            </w:r>
          </w:p>
        </w:tc>
        <w:tc>
          <w:tcPr>
            <w:tcW w:w="1800" w:type="dxa"/>
          </w:tcPr>
          <w:p w14:paraId="62C9D5D2" w14:textId="673B57C7" w:rsidR="00E3112B" w:rsidRPr="00A60C90" w:rsidRDefault="00E3112B" w:rsidP="00E3112B">
            <w:pPr>
              <w:spacing w:before="0" w:after="160"/>
              <w:rPr>
                <w:b/>
              </w:rPr>
            </w:pPr>
            <w:r>
              <w:rPr>
                <w:b/>
              </w:rPr>
              <w:t>7.8</w:t>
            </w:r>
          </w:p>
        </w:tc>
        <w:tc>
          <w:tcPr>
            <w:tcW w:w="1620" w:type="dxa"/>
          </w:tcPr>
          <w:p w14:paraId="741CBB71" w14:textId="187C6761" w:rsidR="00E3112B" w:rsidRPr="00A60C90" w:rsidRDefault="00E3112B" w:rsidP="00E3112B">
            <w:pPr>
              <w:spacing w:before="0" w:after="160"/>
              <w:rPr>
                <w:b/>
              </w:rPr>
            </w:pPr>
            <w:r>
              <w:rPr>
                <w:b/>
              </w:rPr>
              <w:t>5.1</w:t>
            </w:r>
          </w:p>
        </w:tc>
        <w:tc>
          <w:tcPr>
            <w:tcW w:w="1890" w:type="dxa"/>
          </w:tcPr>
          <w:p w14:paraId="0D4FDC4F" w14:textId="6C992722" w:rsidR="00E3112B" w:rsidRPr="00A60C90" w:rsidRDefault="00E3112B" w:rsidP="00E3112B">
            <w:pPr>
              <w:spacing w:before="0" w:after="160"/>
              <w:rPr>
                <w:b/>
              </w:rPr>
            </w:pPr>
            <w:r>
              <w:rPr>
                <w:b/>
              </w:rPr>
              <w:t>7.3</w:t>
            </w:r>
          </w:p>
        </w:tc>
      </w:tr>
    </w:tbl>
    <w:p w14:paraId="1C987810" w14:textId="6D292366" w:rsidR="00E3112B" w:rsidRDefault="00E3112B" w:rsidP="00A60C90">
      <w:pPr>
        <w:rPr>
          <w:b/>
        </w:rPr>
      </w:pPr>
      <w:r>
        <w:t>Catastrophic health expenditure is consistently higher among poor households across all thresholds. At the 10% threshold, 11.5% of poor households face catastrophic spending compared to 8.2% of non-poor households. The gap widens at higher thresholds, particularly at 25% and at 15% of non-food consumption, indicating that poor households are more likely to experience severe financial strain due to health expenses.</w:t>
      </w:r>
    </w:p>
    <w:p w14:paraId="3A55ED05" w14:textId="5B1F6149" w:rsidR="00E3112B" w:rsidRDefault="000117D1" w:rsidP="00A60C90">
      <w:pPr>
        <w:rPr>
          <w:b/>
        </w:rPr>
      </w:pPr>
      <w:r>
        <w:rPr>
          <w:b/>
          <w:noProof/>
        </w:rPr>
        <w:drawing>
          <wp:inline distT="0" distB="0" distL="0" distR="0" wp14:anchorId="5DE418F7" wp14:editId="3942E00C">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graphhealth_budget_quintile_economis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FECC505" w14:textId="77777777" w:rsidR="000F6466" w:rsidRDefault="000F6466">
      <w:pPr>
        <w:spacing w:before="0" w:after="160"/>
        <w:rPr>
          <w:b/>
        </w:rPr>
      </w:pPr>
      <w:r>
        <w:rPr>
          <w:b/>
        </w:rPr>
        <w:br w:type="page"/>
      </w:r>
    </w:p>
    <w:p w14:paraId="4A207C66" w14:textId="603C2F3B" w:rsidR="00A60C90" w:rsidRPr="00A60C90" w:rsidRDefault="00A60C90" w:rsidP="00A60C90">
      <w:pPr>
        <w:rPr>
          <w:b/>
        </w:rPr>
      </w:pPr>
      <w:r w:rsidRPr="00A60C90">
        <w:rPr>
          <w:b/>
        </w:rPr>
        <w:lastRenderedPageBreak/>
        <w:t>3. Prevalence of Distress Financing</w:t>
      </w:r>
    </w:p>
    <w:p w14:paraId="775718CE" w14:textId="66182208" w:rsidR="00657AEA" w:rsidRDefault="00657AEA" w:rsidP="00A60C90">
      <w:r w:rsidRPr="00657AEA">
        <w:t>The proportion of households that report borrowing, selling assets, or otherwise mobilizing resources through hardship mechanisms to finance out-of-pocket health expenditures.</w:t>
      </w:r>
    </w:p>
    <w:p w14:paraId="5B5141ED" w14:textId="21593BC8" w:rsidR="00A60C90" w:rsidRDefault="00A60C90" w:rsidP="00A60C90">
      <w:r>
        <w:t xml:space="preserve">This table shows the </w:t>
      </w:r>
      <w:r w:rsidR="00C21B0E" w:rsidRPr="00C21B0E">
        <w:t>proportion of households that report borrowing, selling assets, or otherwise mobilizing resources through hardship mechanisms to finance out-of-pocket health expenditures.</w:t>
      </w:r>
    </w:p>
    <w:tbl>
      <w:tblPr>
        <w:tblStyle w:val="TableGrid"/>
        <w:tblW w:w="9532" w:type="dxa"/>
        <w:tblLook w:val="04A0" w:firstRow="1" w:lastRow="0" w:firstColumn="1" w:lastColumn="0" w:noHBand="0" w:noVBand="1"/>
      </w:tblPr>
      <w:tblGrid>
        <w:gridCol w:w="4766"/>
        <w:gridCol w:w="4766"/>
      </w:tblGrid>
      <w:tr w:rsidR="00901DAA" w14:paraId="33DCA194" w14:textId="77777777" w:rsidTr="00901DAA">
        <w:trPr>
          <w:trHeight w:val="391"/>
        </w:trPr>
        <w:tc>
          <w:tcPr>
            <w:tcW w:w="4766" w:type="dxa"/>
            <w:vAlign w:val="center"/>
          </w:tcPr>
          <w:p w14:paraId="575AF803"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
                <w:bCs/>
                <w:color w:val="1F1F1F"/>
                <w:szCs w:val="24"/>
                <w:bdr w:val="none" w:sz="0" w:space="0" w:color="auto" w:frame="1"/>
              </w:rPr>
              <w:t>Expenditure Quintile</w:t>
            </w:r>
          </w:p>
        </w:tc>
        <w:tc>
          <w:tcPr>
            <w:tcW w:w="4766" w:type="dxa"/>
            <w:vAlign w:val="center"/>
          </w:tcPr>
          <w:p w14:paraId="57E97FE7"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
                <w:bCs/>
                <w:color w:val="1F1F1F"/>
                <w:szCs w:val="24"/>
                <w:bdr w:val="none" w:sz="0" w:space="0" w:color="auto" w:frame="1"/>
              </w:rPr>
              <w:t>Distress Financing Prevalence (%)</w:t>
            </w:r>
          </w:p>
        </w:tc>
      </w:tr>
      <w:tr w:rsidR="00901DAA" w14:paraId="046A53D8" w14:textId="77777777" w:rsidTr="00901DAA">
        <w:trPr>
          <w:trHeight w:val="391"/>
        </w:trPr>
        <w:tc>
          <w:tcPr>
            <w:tcW w:w="4766" w:type="dxa"/>
            <w:vAlign w:val="center"/>
          </w:tcPr>
          <w:p w14:paraId="322F6A62"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Cs/>
                <w:color w:val="1F1F1F"/>
                <w:szCs w:val="24"/>
                <w:bdr w:val="none" w:sz="0" w:space="0" w:color="auto" w:frame="1"/>
              </w:rPr>
              <w:t>1 (Poorest)</w:t>
            </w:r>
          </w:p>
        </w:tc>
        <w:tc>
          <w:tcPr>
            <w:tcW w:w="4766" w:type="dxa"/>
            <w:vAlign w:val="center"/>
          </w:tcPr>
          <w:p w14:paraId="6010ED3E"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
                <w:bCs/>
                <w:color w:val="1F1F1F"/>
                <w:szCs w:val="24"/>
                <w:bdr w:val="none" w:sz="0" w:space="0" w:color="auto" w:frame="1"/>
              </w:rPr>
              <w:t>15.5%</w:t>
            </w:r>
          </w:p>
        </w:tc>
      </w:tr>
      <w:tr w:rsidR="00901DAA" w14:paraId="39461352" w14:textId="77777777" w:rsidTr="00901DAA">
        <w:trPr>
          <w:trHeight w:val="391"/>
        </w:trPr>
        <w:tc>
          <w:tcPr>
            <w:tcW w:w="4766" w:type="dxa"/>
            <w:vAlign w:val="center"/>
          </w:tcPr>
          <w:p w14:paraId="7E1F43A8"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Cs/>
                <w:color w:val="1F1F1F"/>
                <w:szCs w:val="24"/>
                <w:bdr w:val="none" w:sz="0" w:space="0" w:color="auto" w:frame="1"/>
              </w:rPr>
              <w:t>2</w:t>
            </w:r>
          </w:p>
        </w:tc>
        <w:tc>
          <w:tcPr>
            <w:tcW w:w="4766" w:type="dxa"/>
            <w:vAlign w:val="center"/>
          </w:tcPr>
          <w:p w14:paraId="10737B18"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color w:val="1F1F1F"/>
                <w:szCs w:val="24"/>
                <w:bdr w:val="none" w:sz="0" w:space="0" w:color="auto" w:frame="1"/>
              </w:rPr>
              <w:t>11.5%</w:t>
            </w:r>
          </w:p>
        </w:tc>
      </w:tr>
      <w:tr w:rsidR="00901DAA" w14:paraId="28FD14DF" w14:textId="77777777" w:rsidTr="00901DAA">
        <w:trPr>
          <w:trHeight w:val="391"/>
        </w:trPr>
        <w:tc>
          <w:tcPr>
            <w:tcW w:w="4766" w:type="dxa"/>
            <w:vAlign w:val="center"/>
          </w:tcPr>
          <w:p w14:paraId="50601531"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Cs/>
                <w:color w:val="1F1F1F"/>
                <w:szCs w:val="24"/>
                <w:bdr w:val="none" w:sz="0" w:space="0" w:color="auto" w:frame="1"/>
              </w:rPr>
              <w:t>3</w:t>
            </w:r>
          </w:p>
        </w:tc>
        <w:tc>
          <w:tcPr>
            <w:tcW w:w="4766" w:type="dxa"/>
            <w:vAlign w:val="center"/>
          </w:tcPr>
          <w:p w14:paraId="1119E1EE"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color w:val="1F1F1F"/>
                <w:szCs w:val="24"/>
                <w:bdr w:val="none" w:sz="0" w:space="0" w:color="auto" w:frame="1"/>
              </w:rPr>
              <w:t>9.1%</w:t>
            </w:r>
          </w:p>
        </w:tc>
      </w:tr>
      <w:tr w:rsidR="00901DAA" w14:paraId="48D4E1DD" w14:textId="77777777" w:rsidTr="00901DAA">
        <w:trPr>
          <w:trHeight w:val="391"/>
        </w:trPr>
        <w:tc>
          <w:tcPr>
            <w:tcW w:w="4766" w:type="dxa"/>
            <w:vAlign w:val="center"/>
          </w:tcPr>
          <w:p w14:paraId="10166557"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Cs/>
                <w:color w:val="1F1F1F"/>
                <w:szCs w:val="24"/>
                <w:bdr w:val="none" w:sz="0" w:space="0" w:color="auto" w:frame="1"/>
              </w:rPr>
              <w:t>4</w:t>
            </w:r>
          </w:p>
        </w:tc>
        <w:tc>
          <w:tcPr>
            <w:tcW w:w="4766" w:type="dxa"/>
            <w:vAlign w:val="center"/>
          </w:tcPr>
          <w:p w14:paraId="463A622B"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color w:val="1F1F1F"/>
                <w:szCs w:val="24"/>
                <w:bdr w:val="none" w:sz="0" w:space="0" w:color="auto" w:frame="1"/>
              </w:rPr>
              <w:t>6.8%</w:t>
            </w:r>
          </w:p>
        </w:tc>
      </w:tr>
      <w:tr w:rsidR="00901DAA" w14:paraId="1F8CDD2D" w14:textId="77777777" w:rsidTr="00901DAA">
        <w:trPr>
          <w:trHeight w:val="391"/>
        </w:trPr>
        <w:tc>
          <w:tcPr>
            <w:tcW w:w="4766" w:type="dxa"/>
            <w:vAlign w:val="center"/>
          </w:tcPr>
          <w:p w14:paraId="29E9B7C0"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Cs/>
                <w:color w:val="1F1F1F"/>
                <w:szCs w:val="24"/>
                <w:bdr w:val="none" w:sz="0" w:space="0" w:color="auto" w:frame="1"/>
              </w:rPr>
              <w:t>5 (Richest)</w:t>
            </w:r>
          </w:p>
        </w:tc>
        <w:tc>
          <w:tcPr>
            <w:tcW w:w="4766" w:type="dxa"/>
            <w:vAlign w:val="center"/>
          </w:tcPr>
          <w:p w14:paraId="063AF9C6"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color w:val="1F1F1F"/>
                <w:szCs w:val="24"/>
                <w:bdr w:val="none" w:sz="0" w:space="0" w:color="auto" w:frame="1"/>
              </w:rPr>
              <w:t>5.5%</w:t>
            </w:r>
          </w:p>
        </w:tc>
      </w:tr>
      <w:tr w:rsidR="00901DAA" w14:paraId="6D774981" w14:textId="77777777" w:rsidTr="00901DAA">
        <w:trPr>
          <w:trHeight w:val="391"/>
        </w:trPr>
        <w:tc>
          <w:tcPr>
            <w:tcW w:w="4766" w:type="dxa"/>
            <w:vAlign w:val="center"/>
          </w:tcPr>
          <w:p w14:paraId="7A0DBC52"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
                <w:bCs/>
                <w:color w:val="1F1F1F"/>
                <w:szCs w:val="24"/>
                <w:bdr w:val="none" w:sz="0" w:space="0" w:color="auto" w:frame="1"/>
              </w:rPr>
              <w:t>National Average</w:t>
            </w:r>
          </w:p>
        </w:tc>
        <w:tc>
          <w:tcPr>
            <w:tcW w:w="4766" w:type="dxa"/>
            <w:vAlign w:val="center"/>
          </w:tcPr>
          <w:p w14:paraId="7BFE7FBC" w14:textId="77777777" w:rsidR="00901DAA" w:rsidRPr="00D83198" w:rsidRDefault="00901DAA" w:rsidP="00901DAA">
            <w:pPr>
              <w:spacing w:before="0" w:after="0"/>
              <w:rPr>
                <w:rFonts w:eastAsia="Times New Roman" w:cs="Times New Roman"/>
                <w:color w:val="1F1F1F"/>
                <w:szCs w:val="24"/>
              </w:rPr>
            </w:pPr>
            <w:r w:rsidRPr="00D83198">
              <w:rPr>
                <w:rFonts w:eastAsia="Times New Roman" w:cs="Times New Roman"/>
                <w:b/>
                <w:bCs/>
                <w:color w:val="1F1F1F"/>
                <w:szCs w:val="24"/>
                <w:bdr w:val="none" w:sz="0" w:space="0" w:color="auto" w:frame="1"/>
              </w:rPr>
              <w:t>9.7%</w:t>
            </w:r>
            <w:bookmarkStart w:id="0" w:name="_GoBack"/>
            <w:bookmarkEnd w:id="0"/>
          </w:p>
        </w:tc>
      </w:tr>
    </w:tbl>
    <w:p w14:paraId="144BBD99" w14:textId="394F41CF" w:rsidR="00901DAA" w:rsidRDefault="00762EE0" w:rsidP="00A60C90">
      <w:r w:rsidRPr="00762EE0">
        <w:t>This indicator reveals the most severe inequality. The poorest households are three times more likely (15.5%) to resort to distress financing than the richest households (5.5%). While the rich may face high costs (as seen in Table 2), they likely pay using savings or income. The poor, lacking savings, are forced into debt or asset sales, creating a "Medical Poverty Trap" where an illness today leads to long-term impoverishment.</w:t>
      </w:r>
    </w:p>
    <w:p w14:paraId="309C78BE" w14:textId="4E5351E3" w:rsidR="000F6466" w:rsidRDefault="000F6466" w:rsidP="00A60C90">
      <w:r>
        <w:rPr>
          <w:noProof/>
          <w:lang w:bidi="ne-NP"/>
        </w:rPr>
        <w:drawing>
          <wp:inline distT="0" distB="0" distL="0" distR="0" wp14:anchorId="1ED10C46" wp14:editId="7705FA83">
            <wp:extent cx="5943600" cy="346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graphhealth_budget_quintile_economis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2790"/>
      </w:tblGrid>
      <w:tr w:rsidR="00B859E0" w14:paraId="140BEC0E" w14:textId="77777777" w:rsidTr="00B859E0">
        <w:tc>
          <w:tcPr>
            <w:tcW w:w="2335" w:type="dxa"/>
          </w:tcPr>
          <w:p w14:paraId="32343B21" w14:textId="78B4A553" w:rsidR="00B859E0" w:rsidRPr="00B859E0" w:rsidRDefault="00B859E0" w:rsidP="00A60C90">
            <w:pPr>
              <w:rPr>
                <w:b/>
              </w:rPr>
            </w:pPr>
            <w:r w:rsidRPr="00B859E0">
              <w:rPr>
                <w:b/>
              </w:rPr>
              <w:t>Poverty Status</w:t>
            </w:r>
          </w:p>
        </w:tc>
        <w:tc>
          <w:tcPr>
            <w:tcW w:w="2790" w:type="dxa"/>
          </w:tcPr>
          <w:p w14:paraId="18CD38E2" w14:textId="1A65A879" w:rsidR="00B859E0" w:rsidRPr="00B859E0" w:rsidRDefault="00B859E0" w:rsidP="00A60C90">
            <w:pPr>
              <w:rPr>
                <w:b/>
              </w:rPr>
            </w:pPr>
            <w:r w:rsidRPr="00B859E0">
              <w:rPr>
                <w:b/>
              </w:rPr>
              <w:t>Household (%) relying on Distress Financing</w:t>
            </w:r>
          </w:p>
        </w:tc>
      </w:tr>
      <w:tr w:rsidR="00B859E0" w14:paraId="6AB6C22E" w14:textId="77777777" w:rsidTr="00B859E0">
        <w:tc>
          <w:tcPr>
            <w:tcW w:w="2335" w:type="dxa"/>
          </w:tcPr>
          <w:p w14:paraId="286B802C" w14:textId="5B4A700D" w:rsidR="00B859E0" w:rsidRDefault="00B859E0" w:rsidP="00A60C90">
            <w:r>
              <w:lastRenderedPageBreak/>
              <w:t>Non-poor</w:t>
            </w:r>
          </w:p>
        </w:tc>
        <w:tc>
          <w:tcPr>
            <w:tcW w:w="2790" w:type="dxa"/>
          </w:tcPr>
          <w:p w14:paraId="3F20DC78" w14:textId="69CE65BD" w:rsidR="00B859E0" w:rsidRDefault="00B859E0" w:rsidP="00A60C90">
            <w:r>
              <w:t>8.2%</w:t>
            </w:r>
          </w:p>
        </w:tc>
      </w:tr>
      <w:tr w:rsidR="00B859E0" w14:paraId="7655DCCB" w14:textId="77777777" w:rsidTr="00B859E0">
        <w:tc>
          <w:tcPr>
            <w:tcW w:w="2335" w:type="dxa"/>
          </w:tcPr>
          <w:p w14:paraId="00444FB5" w14:textId="13351F19" w:rsidR="00B859E0" w:rsidRDefault="00B859E0" w:rsidP="00A60C90">
            <w:r>
              <w:t>Poor</w:t>
            </w:r>
          </w:p>
        </w:tc>
        <w:tc>
          <w:tcPr>
            <w:tcW w:w="2790" w:type="dxa"/>
          </w:tcPr>
          <w:p w14:paraId="57B282EF" w14:textId="64FD7890" w:rsidR="00B859E0" w:rsidRDefault="00B859E0" w:rsidP="00A60C90">
            <w:r>
              <w:t>15.5%</w:t>
            </w:r>
          </w:p>
        </w:tc>
      </w:tr>
    </w:tbl>
    <w:p w14:paraId="6D794A67" w14:textId="3CFB9A19" w:rsidR="00B859E0" w:rsidRDefault="00B859E0" w:rsidP="00A60C90">
      <w:r w:rsidRPr="00B859E0">
        <w:t>Poor households are 1.9 times more likely than the non-poor to sell assets or take out loans to cover health costs. This indicates that for nearly 1 in 6 poor families, a health shock isn't just a medical issue—it's a long-term financial catastrophe that leads to debt traps or the loss of productive land.</w:t>
      </w:r>
    </w:p>
    <w:p w14:paraId="3DEC378E" w14:textId="77777777" w:rsidR="002F2757" w:rsidRPr="002F2757" w:rsidRDefault="002F2757" w:rsidP="002F2757">
      <w:pPr>
        <w:spacing w:before="100" w:beforeAutospacing="1" w:after="100" w:afterAutospacing="1" w:line="240" w:lineRule="auto"/>
        <w:outlineLvl w:val="2"/>
        <w:rPr>
          <w:rFonts w:eastAsia="Times New Roman" w:cs="Times New Roman"/>
          <w:b/>
          <w:bCs/>
          <w:sz w:val="27"/>
          <w:szCs w:val="27"/>
        </w:rPr>
      </w:pPr>
      <w:r w:rsidRPr="002F2757">
        <w:rPr>
          <w:rFonts w:eastAsia="Times New Roman" w:cs="Times New Roman"/>
          <w:b/>
          <w:bCs/>
          <w:sz w:val="27"/>
          <w:szCs w:val="27"/>
        </w:rPr>
        <w:t>3. The Double Burden of Disease</w:t>
      </w:r>
    </w:p>
    <w:p w14:paraId="2A1C1A67" w14:textId="77777777" w:rsidR="002F2757" w:rsidRPr="002F2757" w:rsidRDefault="002F2757" w:rsidP="002F2757">
      <w:pPr>
        <w:spacing w:before="100" w:beforeAutospacing="1" w:after="100" w:afterAutospacing="1" w:line="240" w:lineRule="auto"/>
        <w:rPr>
          <w:rFonts w:eastAsia="Times New Roman" w:cs="Times New Roman"/>
          <w:szCs w:val="24"/>
        </w:rPr>
      </w:pPr>
      <w:r w:rsidRPr="002F2757">
        <w:rPr>
          <w:rFonts w:eastAsia="Times New Roman" w:cs="Times New Roman"/>
          <w:szCs w:val="24"/>
        </w:rPr>
        <w:t>This table compares the prevalence of Chronic (NCDs) vs. Acute (Infectious/Injury) illness across income groups.</w:t>
      </w:r>
    </w:p>
    <w:tbl>
      <w:tblPr>
        <w:tblW w:w="0" w:type="auto"/>
        <w:tblCellSpacing w:w="15" w:type="dxa"/>
        <w:tblCellMar>
          <w:left w:w="0" w:type="dxa"/>
          <w:right w:w="0" w:type="dxa"/>
        </w:tblCellMar>
        <w:tblLook w:val="04A0" w:firstRow="1" w:lastRow="0" w:firstColumn="1" w:lastColumn="0" w:noHBand="0" w:noVBand="1"/>
      </w:tblPr>
      <w:tblGrid>
        <w:gridCol w:w="2616"/>
        <w:gridCol w:w="2807"/>
        <w:gridCol w:w="2982"/>
      </w:tblGrid>
      <w:tr w:rsidR="002F2757" w:rsidRPr="002F2757" w14:paraId="2665DBC1" w14:textId="77777777" w:rsidTr="002F275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D530A"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Expenditure Quintile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75EFB"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Chronic Illness (NCDs)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38D70"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Acute Illness (Infections)</w:t>
            </w:r>
          </w:p>
        </w:tc>
      </w:tr>
      <w:tr w:rsidR="002F2757" w:rsidRPr="002F2757" w14:paraId="65125F05" w14:textId="77777777" w:rsidTr="002F27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C3B54"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1 (Poorest)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CD28A"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12.7%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5EDD8"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21.0%</w:t>
            </w:r>
          </w:p>
        </w:tc>
      </w:tr>
      <w:tr w:rsidR="002F2757" w:rsidRPr="002F2757" w14:paraId="7FF20E1F" w14:textId="77777777" w:rsidTr="002F27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41DDC"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A28A2"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color w:val="1F1F1F"/>
                <w:szCs w:val="24"/>
                <w:bdr w:val="none" w:sz="0" w:space="0" w:color="auto" w:frame="1"/>
              </w:rPr>
              <w:t>13.1%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5B309"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color w:val="1F1F1F"/>
                <w:szCs w:val="24"/>
                <w:bdr w:val="none" w:sz="0" w:space="0" w:color="auto" w:frame="1"/>
              </w:rPr>
              <w:t>19.9%</w:t>
            </w:r>
          </w:p>
        </w:tc>
      </w:tr>
      <w:tr w:rsidR="002F2757" w:rsidRPr="002F2757" w14:paraId="376F97D9" w14:textId="77777777" w:rsidTr="002F27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4C1C3"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A0B1E"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color w:val="1F1F1F"/>
                <w:szCs w:val="24"/>
                <w:bdr w:val="none" w:sz="0" w:space="0" w:color="auto" w:frame="1"/>
              </w:rPr>
              <w:t>13.7%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936FF"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color w:val="1F1F1F"/>
                <w:szCs w:val="24"/>
                <w:bdr w:val="none" w:sz="0" w:space="0" w:color="auto" w:frame="1"/>
              </w:rPr>
              <w:t>22.7%</w:t>
            </w:r>
          </w:p>
        </w:tc>
      </w:tr>
      <w:tr w:rsidR="002F2757" w:rsidRPr="002F2757" w14:paraId="7C36C4DC" w14:textId="77777777" w:rsidTr="002F27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1370C"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9B1AF"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color w:val="1F1F1F"/>
                <w:szCs w:val="24"/>
                <w:bdr w:val="none" w:sz="0" w:space="0" w:color="auto" w:frame="1"/>
              </w:rPr>
              <w:t>15.1%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256BF"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color w:val="1F1F1F"/>
                <w:szCs w:val="24"/>
                <w:bdr w:val="none" w:sz="0" w:space="0" w:color="auto" w:frame="1"/>
              </w:rPr>
              <w:t>19.7%</w:t>
            </w:r>
          </w:p>
        </w:tc>
      </w:tr>
      <w:tr w:rsidR="002F2757" w:rsidRPr="002F2757" w14:paraId="3751585B" w14:textId="77777777" w:rsidTr="002F27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B2634"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5 (Richest)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58383"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18.1%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324A4"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color w:val="1F1F1F"/>
                <w:szCs w:val="24"/>
                <w:bdr w:val="none" w:sz="0" w:space="0" w:color="auto" w:frame="1"/>
              </w:rPr>
              <w:t>18.7%</w:t>
            </w:r>
          </w:p>
        </w:tc>
      </w:tr>
      <w:tr w:rsidR="002F2757" w:rsidRPr="002F2757" w14:paraId="4F83FDD8" w14:textId="77777777" w:rsidTr="002F275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77E6A"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National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97CCE"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14.4%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5AB93" w14:textId="77777777" w:rsidR="002F2757" w:rsidRPr="002F2757" w:rsidRDefault="002F2757" w:rsidP="002F2757">
            <w:pPr>
              <w:spacing w:before="0" w:after="0" w:line="240" w:lineRule="auto"/>
              <w:rPr>
                <w:rFonts w:eastAsia="Times New Roman" w:cs="Times New Roman"/>
                <w:color w:val="1F1F1F"/>
                <w:szCs w:val="24"/>
              </w:rPr>
            </w:pPr>
            <w:r w:rsidRPr="002F2757">
              <w:rPr>
                <w:rFonts w:eastAsia="Times New Roman" w:cs="Times New Roman"/>
                <w:b/>
                <w:bCs/>
                <w:color w:val="1F1F1F"/>
                <w:szCs w:val="24"/>
                <w:bdr w:val="none" w:sz="0" w:space="0" w:color="auto" w:frame="1"/>
              </w:rPr>
              <w:t>20.5%</w:t>
            </w:r>
          </w:p>
        </w:tc>
      </w:tr>
    </w:tbl>
    <w:p w14:paraId="38B54111" w14:textId="0C03DF60" w:rsidR="00E82531" w:rsidRDefault="00070B7C" w:rsidP="00A60C90">
      <w:r>
        <w:t xml:space="preserve">There is a clear positive correlation with wealth (rising from </w:t>
      </w:r>
      <w:r>
        <w:rPr>
          <w:b/>
          <w:bCs/>
        </w:rPr>
        <w:t>12.7%</w:t>
      </w:r>
      <w:r>
        <w:t xml:space="preserve"> in the poorest to </w:t>
      </w:r>
      <w:r>
        <w:rPr>
          <w:b/>
          <w:bCs/>
        </w:rPr>
        <w:t>18.1%</w:t>
      </w:r>
      <w:r>
        <w:t xml:space="preserve"> in the richest). This likely reflects an "aging effect" (the rich live longer) and </w:t>
      </w:r>
      <w:r>
        <w:rPr>
          <w:b/>
          <w:bCs/>
        </w:rPr>
        <w:t>diagnosis bias</w:t>
      </w:r>
      <w:r>
        <w:t xml:space="preserve"> (the rich can afford doctors to get diagnosed, while the poor remain undiagnosed).</w:t>
      </w:r>
    </w:p>
    <w:p w14:paraId="0B9D287D" w14:textId="38D2F956" w:rsidR="00070B7C" w:rsidRDefault="00070B7C" w:rsidP="00A60C90">
      <w:r>
        <w:t xml:space="preserve">Acute illness remains surprisingly high across </w:t>
      </w:r>
      <w:r>
        <w:rPr>
          <w:i/>
          <w:iCs/>
        </w:rPr>
        <w:t>all</w:t>
      </w:r>
      <w:r>
        <w:t xml:space="preserve"> groups, peaking in the middle class (22.7%) but affecting the poor (21.0%) and rich (18.7%) similarly. This suggests widespread environmental risks (pollution, road safety, sanitation) that no income group fully escapes.</w:t>
      </w:r>
    </w:p>
    <w:p w14:paraId="10B43D66" w14:textId="05234ECF" w:rsidR="00070B7C" w:rsidRDefault="00070B7C" w:rsidP="00A60C90">
      <w:r>
        <w:t xml:space="preserve">The poorest households face a </w:t>
      </w:r>
      <w:r>
        <w:rPr>
          <w:b/>
          <w:bCs/>
        </w:rPr>
        <w:t>"Double Burden."</w:t>
      </w:r>
      <w:r>
        <w:t xml:space="preserve"> They are still fighting the highest rates of infectious disease (21.0%) while simultaneously facing a rising tide of chronic illness (12.7%), all while having the least financial capacity to pay for treatment.</w:t>
      </w:r>
    </w:p>
    <w:p w14:paraId="36930396" w14:textId="14BACDC6" w:rsidR="00B10AF8" w:rsidRPr="00A60C90" w:rsidRDefault="00B10AF8" w:rsidP="00A60C90">
      <w:r>
        <w:rPr>
          <w:noProof/>
          <w:lang w:bidi="ne-NP"/>
        </w:rPr>
        <w:lastRenderedPageBreak/>
        <w:drawing>
          <wp:anchor distT="0" distB="0" distL="114300" distR="114300" simplePos="0" relativeHeight="251659264" behindDoc="0" locked="0" layoutInCell="1" allowOverlap="1" wp14:anchorId="686E6253" wp14:editId="6AA37E6C">
            <wp:simplePos x="0" y="0"/>
            <wp:positionH relativeFrom="column">
              <wp:posOffset>0</wp:posOffset>
            </wp:positionH>
            <wp:positionV relativeFrom="paragraph">
              <wp:posOffset>0</wp:posOffset>
            </wp:positionV>
            <wp:extent cx="5937885" cy="4785995"/>
            <wp:effectExtent l="0" t="0" r="571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4785995"/>
                    </a:xfrm>
                    <a:prstGeom prst="rect">
                      <a:avLst/>
                    </a:prstGeom>
                    <a:noFill/>
                    <a:ln>
                      <a:noFill/>
                    </a:ln>
                  </pic:spPr>
                </pic:pic>
              </a:graphicData>
            </a:graphic>
          </wp:anchor>
        </w:drawing>
      </w:r>
    </w:p>
    <w:sectPr w:rsidR="00B10AF8" w:rsidRPr="00A60C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F64CFD" w14:textId="77777777" w:rsidR="00F40F5E" w:rsidRDefault="00F40F5E" w:rsidP="002F2757">
      <w:pPr>
        <w:spacing w:before="0" w:after="0" w:line="240" w:lineRule="auto"/>
      </w:pPr>
      <w:r>
        <w:separator/>
      </w:r>
    </w:p>
  </w:endnote>
  <w:endnote w:type="continuationSeparator" w:id="0">
    <w:p w14:paraId="47DC1C7E" w14:textId="77777777" w:rsidR="00F40F5E" w:rsidRDefault="00F40F5E" w:rsidP="002F27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2AAE77" w14:textId="77777777" w:rsidR="00F40F5E" w:rsidRDefault="00F40F5E" w:rsidP="002F2757">
      <w:pPr>
        <w:spacing w:before="0" w:after="0" w:line="240" w:lineRule="auto"/>
      </w:pPr>
      <w:r>
        <w:separator/>
      </w:r>
    </w:p>
  </w:footnote>
  <w:footnote w:type="continuationSeparator" w:id="0">
    <w:p w14:paraId="130E58E8" w14:textId="77777777" w:rsidR="00F40F5E" w:rsidRDefault="00F40F5E" w:rsidP="002F27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154F4"/>
    <w:multiLevelType w:val="hybridMultilevel"/>
    <w:tmpl w:val="E4260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3D5FA7"/>
    <w:multiLevelType w:val="hybridMultilevel"/>
    <w:tmpl w:val="E94CC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90"/>
    <w:rsid w:val="000117D1"/>
    <w:rsid w:val="00070B7C"/>
    <w:rsid w:val="000F07AA"/>
    <w:rsid w:val="000F6466"/>
    <w:rsid w:val="0012609A"/>
    <w:rsid w:val="00257ADF"/>
    <w:rsid w:val="002F2757"/>
    <w:rsid w:val="004B0CE0"/>
    <w:rsid w:val="00505FB3"/>
    <w:rsid w:val="0051431C"/>
    <w:rsid w:val="00517538"/>
    <w:rsid w:val="00657AEA"/>
    <w:rsid w:val="006B3523"/>
    <w:rsid w:val="00762EE0"/>
    <w:rsid w:val="008179E7"/>
    <w:rsid w:val="00901DAA"/>
    <w:rsid w:val="00A60C90"/>
    <w:rsid w:val="00B10AF8"/>
    <w:rsid w:val="00B31228"/>
    <w:rsid w:val="00B72C64"/>
    <w:rsid w:val="00B73854"/>
    <w:rsid w:val="00B859E0"/>
    <w:rsid w:val="00BE3A0F"/>
    <w:rsid w:val="00C21B0E"/>
    <w:rsid w:val="00C55AED"/>
    <w:rsid w:val="00D402BA"/>
    <w:rsid w:val="00D83198"/>
    <w:rsid w:val="00DB6B21"/>
    <w:rsid w:val="00E3112B"/>
    <w:rsid w:val="00E82531"/>
    <w:rsid w:val="00F40F5E"/>
    <w:rsid w:val="00F5718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67A5"/>
  <w15:chartTrackingRefBased/>
  <w15:docId w15:val="{016CA17F-7498-495C-B35F-CFCFA6B88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7538"/>
    <w:pPr>
      <w:spacing w:before="120" w:after="120"/>
    </w:pPr>
    <w:rPr>
      <w:rFonts w:ascii="Times New Roman" w:hAnsi="Times New Roman"/>
      <w:sz w:val="24"/>
    </w:rPr>
  </w:style>
  <w:style w:type="paragraph" w:styleId="Heading3">
    <w:name w:val="heading 3"/>
    <w:basedOn w:val="Normal"/>
    <w:link w:val="Heading3Char"/>
    <w:uiPriority w:val="9"/>
    <w:qFormat/>
    <w:rsid w:val="002F275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C90"/>
    <w:pPr>
      <w:ind w:left="720"/>
      <w:contextualSpacing/>
    </w:pPr>
  </w:style>
  <w:style w:type="character" w:styleId="Strong">
    <w:name w:val="Strong"/>
    <w:basedOn w:val="DefaultParagraphFont"/>
    <w:uiPriority w:val="22"/>
    <w:qFormat/>
    <w:rsid w:val="00A60C90"/>
    <w:rPr>
      <w:b/>
      <w:bCs/>
    </w:rPr>
  </w:style>
  <w:style w:type="table" w:styleId="TableGrid">
    <w:name w:val="Table Grid"/>
    <w:basedOn w:val="TableNormal"/>
    <w:uiPriority w:val="39"/>
    <w:rsid w:val="00A60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275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F2757"/>
    <w:rPr>
      <w:rFonts w:ascii="Times New Roman" w:hAnsi="Times New Roman"/>
      <w:sz w:val="24"/>
    </w:rPr>
  </w:style>
  <w:style w:type="paragraph" w:styleId="Footer">
    <w:name w:val="footer"/>
    <w:basedOn w:val="Normal"/>
    <w:link w:val="FooterChar"/>
    <w:uiPriority w:val="99"/>
    <w:unhideWhenUsed/>
    <w:rsid w:val="002F275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F2757"/>
    <w:rPr>
      <w:rFonts w:ascii="Times New Roman" w:hAnsi="Times New Roman"/>
      <w:sz w:val="24"/>
    </w:rPr>
  </w:style>
  <w:style w:type="character" w:customStyle="1" w:styleId="Heading3Char">
    <w:name w:val="Heading 3 Char"/>
    <w:basedOn w:val="DefaultParagraphFont"/>
    <w:link w:val="Heading3"/>
    <w:uiPriority w:val="9"/>
    <w:rsid w:val="002F27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2757"/>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347627">
      <w:bodyDiv w:val="1"/>
      <w:marLeft w:val="0"/>
      <w:marRight w:val="0"/>
      <w:marTop w:val="0"/>
      <w:marBottom w:val="0"/>
      <w:divBdr>
        <w:top w:val="none" w:sz="0" w:space="0" w:color="auto"/>
        <w:left w:val="none" w:sz="0" w:space="0" w:color="auto"/>
        <w:bottom w:val="none" w:sz="0" w:space="0" w:color="auto"/>
        <w:right w:val="none" w:sz="0" w:space="0" w:color="auto"/>
      </w:divBdr>
    </w:div>
    <w:div w:id="425274800">
      <w:bodyDiv w:val="1"/>
      <w:marLeft w:val="0"/>
      <w:marRight w:val="0"/>
      <w:marTop w:val="0"/>
      <w:marBottom w:val="0"/>
      <w:divBdr>
        <w:top w:val="none" w:sz="0" w:space="0" w:color="auto"/>
        <w:left w:val="none" w:sz="0" w:space="0" w:color="auto"/>
        <w:bottom w:val="none" w:sz="0" w:space="0" w:color="auto"/>
        <w:right w:val="none" w:sz="0" w:space="0" w:color="auto"/>
      </w:divBdr>
    </w:div>
    <w:div w:id="670261888">
      <w:bodyDiv w:val="1"/>
      <w:marLeft w:val="0"/>
      <w:marRight w:val="0"/>
      <w:marTop w:val="0"/>
      <w:marBottom w:val="0"/>
      <w:divBdr>
        <w:top w:val="none" w:sz="0" w:space="0" w:color="auto"/>
        <w:left w:val="none" w:sz="0" w:space="0" w:color="auto"/>
        <w:bottom w:val="none" w:sz="0" w:space="0" w:color="auto"/>
        <w:right w:val="none" w:sz="0" w:space="0" w:color="auto"/>
      </w:divBdr>
    </w:div>
    <w:div w:id="696930640">
      <w:bodyDiv w:val="1"/>
      <w:marLeft w:val="0"/>
      <w:marRight w:val="0"/>
      <w:marTop w:val="0"/>
      <w:marBottom w:val="0"/>
      <w:divBdr>
        <w:top w:val="none" w:sz="0" w:space="0" w:color="auto"/>
        <w:left w:val="none" w:sz="0" w:space="0" w:color="auto"/>
        <w:bottom w:val="none" w:sz="0" w:space="0" w:color="auto"/>
        <w:right w:val="none" w:sz="0" w:space="0" w:color="auto"/>
      </w:divBdr>
    </w:div>
    <w:div w:id="757797144">
      <w:bodyDiv w:val="1"/>
      <w:marLeft w:val="0"/>
      <w:marRight w:val="0"/>
      <w:marTop w:val="0"/>
      <w:marBottom w:val="0"/>
      <w:divBdr>
        <w:top w:val="none" w:sz="0" w:space="0" w:color="auto"/>
        <w:left w:val="none" w:sz="0" w:space="0" w:color="auto"/>
        <w:bottom w:val="none" w:sz="0" w:space="0" w:color="auto"/>
        <w:right w:val="none" w:sz="0" w:space="0" w:color="auto"/>
      </w:divBdr>
    </w:div>
    <w:div w:id="1686980514">
      <w:bodyDiv w:val="1"/>
      <w:marLeft w:val="0"/>
      <w:marRight w:val="0"/>
      <w:marTop w:val="0"/>
      <w:marBottom w:val="0"/>
      <w:divBdr>
        <w:top w:val="none" w:sz="0" w:space="0" w:color="auto"/>
        <w:left w:val="none" w:sz="0" w:space="0" w:color="auto"/>
        <w:bottom w:val="none" w:sz="0" w:space="0" w:color="auto"/>
        <w:right w:val="none" w:sz="0" w:space="0" w:color="auto"/>
      </w:divBdr>
    </w:div>
    <w:div w:id="1763910289">
      <w:bodyDiv w:val="1"/>
      <w:marLeft w:val="0"/>
      <w:marRight w:val="0"/>
      <w:marTop w:val="0"/>
      <w:marBottom w:val="0"/>
      <w:divBdr>
        <w:top w:val="none" w:sz="0" w:space="0" w:color="auto"/>
        <w:left w:val="none" w:sz="0" w:space="0" w:color="auto"/>
        <w:bottom w:val="none" w:sz="0" w:space="0" w:color="auto"/>
        <w:right w:val="none" w:sz="0" w:space="0" w:color="auto"/>
      </w:divBdr>
    </w:div>
    <w:div w:id="1867253090">
      <w:bodyDiv w:val="1"/>
      <w:marLeft w:val="0"/>
      <w:marRight w:val="0"/>
      <w:marTop w:val="0"/>
      <w:marBottom w:val="0"/>
      <w:divBdr>
        <w:top w:val="none" w:sz="0" w:space="0" w:color="auto"/>
        <w:left w:val="none" w:sz="0" w:space="0" w:color="auto"/>
        <w:bottom w:val="none" w:sz="0" w:space="0" w:color="auto"/>
        <w:right w:val="none" w:sz="0" w:space="0" w:color="auto"/>
      </w:divBdr>
    </w:div>
    <w:div w:id="1879590181">
      <w:bodyDiv w:val="1"/>
      <w:marLeft w:val="0"/>
      <w:marRight w:val="0"/>
      <w:marTop w:val="0"/>
      <w:marBottom w:val="0"/>
      <w:divBdr>
        <w:top w:val="none" w:sz="0" w:space="0" w:color="auto"/>
        <w:left w:val="none" w:sz="0" w:space="0" w:color="auto"/>
        <w:bottom w:val="none" w:sz="0" w:space="0" w:color="auto"/>
        <w:right w:val="none" w:sz="0" w:space="0" w:color="auto"/>
      </w:divBdr>
    </w:div>
    <w:div w:id="1894383921">
      <w:bodyDiv w:val="1"/>
      <w:marLeft w:val="0"/>
      <w:marRight w:val="0"/>
      <w:marTop w:val="0"/>
      <w:marBottom w:val="0"/>
      <w:divBdr>
        <w:top w:val="none" w:sz="0" w:space="0" w:color="auto"/>
        <w:left w:val="none" w:sz="0" w:space="0" w:color="auto"/>
        <w:bottom w:val="none" w:sz="0" w:space="0" w:color="auto"/>
        <w:right w:val="none" w:sz="0" w:space="0" w:color="auto"/>
      </w:divBdr>
    </w:div>
    <w:div w:id="1971742196">
      <w:bodyDiv w:val="1"/>
      <w:marLeft w:val="0"/>
      <w:marRight w:val="0"/>
      <w:marTop w:val="0"/>
      <w:marBottom w:val="0"/>
      <w:divBdr>
        <w:top w:val="none" w:sz="0" w:space="0" w:color="auto"/>
        <w:left w:val="none" w:sz="0" w:space="0" w:color="auto"/>
        <w:bottom w:val="none" w:sz="0" w:space="0" w:color="auto"/>
        <w:right w:val="none" w:sz="0" w:space="0" w:color="auto"/>
      </w:divBdr>
    </w:div>
    <w:div w:id="1985624542">
      <w:bodyDiv w:val="1"/>
      <w:marLeft w:val="0"/>
      <w:marRight w:val="0"/>
      <w:marTop w:val="0"/>
      <w:marBottom w:val="0"/>
      <w:divBdr>
        <w:top w:val="none" w:sz="0" w:space="0" w:color="auto"/>
        <w:left w:val="none" w:sz="0" w:space="0" w:color="auto"/>
        <w:bottom w:val="none" w:sz="0" w:space="0" w:color="auto"/>
        <w:right w:val="none" w:sz="0" w:space="0" w:color="auto"/>
      </w:divBdr>
    </w:div>
    <w:div w:id="2015179881">
      <w:bodyDiv w:val="1"/>
      <w:marLeft w:val="0"/>
      <w:marRight w:val="0"/>
      <w:marTop w:val="0"/>
      <w:marBottom w:val="0"/>
      <w:divBdr>
        <w:top w:val="none" w:sz="0" w:space="0" w:color="auto"/>
        <w:left w:val="none" w:sz="0" w:space="0" w:color="auto"/>
        <w:bottom w:val="none" w:sz="0" w:space="0" w:color="auto"/>
        <w:right w:val="none" w:sz="0" w:space="0" w:color="auto"/>
      </w:divBdr>
    </w:div>
    <w:div w:id="205437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5EA8DE4645114D9B931D509C3457E9" ma:contentTypeVersion="10" ma:contentTypeDescription="Create a new document." ma:contentTypeScope="" ma:versionID="77feea61c0f28a056cf483bb1885277e">
  <xsd:schema xmlns:xsd="http://www.w3.org/2001/XMLSchema" xmlns:xs="http://www.w3.org/2001/XMLSchema" xmlns:p="http://schemas.microsoft.com/office/2006/metadata/properties" xmlns:ns3="009bac22-2b39-41e5-b397-50401b3706be" targetNamespace="http://schemas.microsoft.com/office/2006/metadata/properties" ma:root="true" ma:fieldsID="5973649e0bb1a8b55eed01e2b087f97e" ns3:_="">
    <xsd:import namespace="009bac22-2b39-41e5-b397-50401b3706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9bac22-2b39-41e5-b397-50401b3706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09bac22-2b39-41e5-b397-50401b3706be" xsi:nil="true"/>
  </documentManagement>
</p:properties>
</file>

<file path=customXml/itemProps1.xml><?xml version="1.0" encoding="utf-8"?>
<ds:datastoreItem xmlns:ds="http://schemas.openxmlformats.org/officeDocument/2006/customXml" ds:itemID="{43759CA6-F8FC-4D1C-91EF-4125F8324EB4}">
  <ds:schemaRefs>
    <ds:schemaRef ds:uri="http://schemas.microsoft.com/sharepoint/v3/contenttype/forms"/>
  </ds:schemaRefs>
</ds:datastoreItem>
</file>

<file path=customXml/itemProps2.xml><?xml version="1.0" encoding="utf-8"?>
<ds:datastoreItem xmlns:ds="http://schemas.openxmlformats.org/officeDocument/2006/customXml" ds:itemID="{9228A939-6C6F-4E2D-BA49-6E148A27D6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9bac22-2b39-41e5-b397-50401b3706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A9BC40-167E-4094-AE28-D86C5D12157A}">
  <ds:schemaRefs>
    <ds:schemaRef ds:uri="http://schemas.microsoft.com/office/infopath/2007/PartnerControls"/>
    <ds:schemaRef ds:uri="http://purl.org/dc/elements/1.1/"/>
    <ds:schemaRef ds:uri="009bac22-2b39-41e5-b397-50401b3706be"/>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Acharya</dc:creator>
  <cp:keywords/>
  <dc:description/>
  <cp:lastModifiedBy>Arpan Acharya</cp:lastModifiedBy>
  <cp:revision>11</cp:revision>
  <dcterms:created xsi:type="dcterms:W3CDTF">2026-02-10T14:07:00Z</dcterms:created>
  <dcterms:modified xsi:type="dcterms:W3CDTF">2026-02-11T16:53:00Z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0x010100EA5EA8DE4645114D9B931D509C3457E9</vt:lpwstr>
  </property>
</Properties>
</file>