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Software Design Document (SDD)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System Architecture</w:t>
      </w:r>
    </w:p>
    <w:p>
      <w:pPr>
        <w:spacing w:after="120" w:line="276" w:lineRule="auto"/>
      </w:pPr>
      <w:r>
        <w:t>The application uses a modern Serverless Single Page Application (SPA) architecture built with React, Vite, Tailwind CSS, and React Router on the frontend, communicating directly with Supabase BaaS on the backend.</w:t>
      </w:r>
    </w:p>
    <w:p>
      <w:pPr>
        <w:spacing w:after="120" w:line="276" w:lineRule="auto"/>
      </w:pPr>
      <w:r>
        <w:t>System Layer Flow:</w:t>
        <w:br/>
        <w:t>React SPA (Vite + Tailwind) → React Router → @supabase/supabase-js Client → Supabase Auth → Supabase PostgreSQL Database → Row Level Security (RLS)</w:t>
      </w:r>
    </w:p>
    <w:p>
      <w:pPr>
        <w:spacing w:after="120" w:line="276" w:lineRule="auto"/>
      </w:pPr>
      <w:r>
        <w:t>Architecture Clarification:</w:t>
        <w:br/>
        <w:t>The application utilizes Supabase Backend-as-a-Service directly. No custom REST API or separate backend server is used in the active architecture.</w:t>
      </w:r>
    </w:p>
    <w:p>
      <w:pPr>
        <w:pStyle w:val="Heading1"/>
        <w:spacing w:before="280" w:after="120"/>
      </w:pPr>
      <w:r>
        <w:rPr>
          <w:color w:val="1E3A8A"/>
        </w:rPr>
        <w:t>2. Component &amp;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Supabase Client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src/lib/supabase.js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Initializes @supabase/supabase-js client with VITE_SUPABASE_URL and VITE_SUPABASE_ANON_KEY.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Auth Context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src/context/AuthContext.jsx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Manages user state, session persistence, and listens to onAuthStateChange events.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Protected Route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src/components/ProtectedRoute.jsx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Guards private routes; redirects unauthenticated users to /login.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Task Service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src/services/taskService.js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Encapsulates database operations (select, insert, update, delete) using Supabase client.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Dashboard Page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src/pages/DashboardPage.jsx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Main view integrating stats, search/filter controls, and task list.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Task Components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src/components/*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Reusable UI: TaskList, TaskCard, TaskFormModal, ConfirmDeleteModal, DashboardStats, TaskFilterBar.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3. Data Model (Supabase PostgreSQL)</w:t>
      </w:r>
    </w:p>
    <w:p>
      <w:pPr>
        <w:pStyle w:val="Heading2"/>
        <w:spacing w:before="200" w:after="80"/>
      </w:pPr>
      <w:r>
        <w:rPr>
          <w:color w:val="1D4ED8"/>
        </w:rPr>
        <w:t>Table: public.tasks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Constraints / Default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id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UUID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PRIMARY KEY, DEFAULT gen_random_uuid()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Unique task identifier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user_id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UUID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NOT NULL, REFERENCES auth.users(id) ON DELETE CASCADE, DEFAULT auth.uid()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Owner user ID reference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title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NOT NULL, CHECK (char_length(trim(title)) &gt; 0)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Task title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description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NULLABLE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Detailed task 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status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NOT NULL, CHECK (status IN ('TODO', 'IN_PROGRESS', 'COMPLETED')), DEFAULT 'TODO'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Task workflow status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priority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NOT NULL, CHECK (priority IN ('LOW', 'MEDIUM', 'HIGH')), DEFAULT 'MEDIUM'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Task urgency priority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due_date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NULLABLE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Optional task completion deadline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created_at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NOT NULL, DEFAULT now()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Timestamp of creation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updated_at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NOT NULL, DEFAULT now()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Timestamp of last update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4. Database Authorization (Row Level Security)</w:t>
      </w:r>
    </w:p>
    <w:p>
      <w:pPr>
        <w:spacing w:after="120" w:line="276" w:lineRule="auto"/>
      </w:pPr>
      <w:r>
        <w:t>Row Level Security (RLS) is enabled on public.tasks. Four policies enforce strict multi-tenant isolation:</w:t>
      </w:r>
    </w:p>
    <w:p>
      <w:pPr>
        <w:spacing w:after="120" w:line="276" w:lineRule="auto"/>
      </w:pPr>
      <w:r>
        <w:t>1. SELECT Policy: USING (auth.uid() = user_id)</w:t>
        <w:br/>
        <w:t>2. INSERT Policy: WITH CHECK (auth.uid() = user_id)</w:t>
        <w:br/>
        <w:t>3. UPDATE Policy: USING (auth.uid() = user_id) WITH CHECK (auth.uid() = user_id)</w:t>
        <w:br/>
        <w:t>4. DELETE Policy: USING (auth.uid() = user_id)</w:t>
      </w:r>
    </w:p>
    <w:p>
      <w:pPr>
        <w:pStyle w:val="Heading1"/>
        <w:spacing w:before="280" w:after="120"/>
      </w:pPr>
      <w:r>
        <w:rPr>
          <w:color w:val="1E3A8A"/>
        </w:rPr>
        <w:t>5. Security Design</w:t>
      </w:r>
    </w:p>
    <w:p>
      <w:pPr>
        <w:spacing w:after="120" w:line="276" w:lineRule="auto"/>
      </w:pPr>
      <w:r>
        <w:t>• Authentication is handled natively by Supabase Auth service.</w:t>
        <w:br/>
        <w:t>• Authorization is enforced at the database layer via RLS policies.</w:t>
        <w:br/>
        <w:t>• Frontend route protection provides smooth UX; RLS provides tamper-proof security.</w:t>
        <w:br/>
        <w:t>• Environment variables (VITE_SUPABASE_URL, VITE_SUPABASE_ANON_KEY) supply client credentials safely. Service-role keys are strictly excluded.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