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Georgia" w:hAnsi="Georgia"/>
          <w:b/>
          <w:i w:val="0"/>
          <w:color w:val="06122C"/>
          <w:sz w:val="56"/>
        </w:rPr>
        <w:t>LUXURY RETREAT</w:t>
      </w:r>
    </w:p>
    <w:p>
      <w:pPr>
        <w:spacing w:before="120" w:after="960"/>
        <w:jc w:val="center"/>
      </w:pPr>
      <w:r>
        <w:rPr>
          <w:rFonts w:ascii="Calibri" w:hAnsi="Calibri"/>
          <w:b w:val="0"/>
          <w:i/>
          <w:color w:val="BDA371"/>
          <w:sz w:val="28"/>
        </w:rPr>
        <w:t>A Next-Generation Ultra-Luxury Hotel Reservation and AI Concierge Platform</w:t>
      </w:r>
    </w:p>
    <w:p>
      <w:pPr>
        <w:spacing w:before="2400"/>
        <w:jc w:val="center"/>
      </w:pPr>
      <w:r>
        <w:rPr>
          <w:rFonts w:ascii="Calibri" w:hAnsi="Calibri"/>
          <w:b/>
          <w:i w:val="0"/>
          <w:color w:val="06122C"/>
          <w:sz w:val="24"/>
        </w:rPr>
        <w:t>Project Implementation &amp; Engineering Report</w:t>
        <w:br/>
      </w:r>
      <w:r>
        <w:rPr>
          <w:rFonts w:ascii="Calibri" w:hAnsi="Calibri"/>
          <w:b w:val="0"/>
          <w:i w:val="0"/>
          <w:color w:val="323232"/>
          <w:sz w:val="22"/>
        </w:rPr>
        <w:t>Prepared by: Lead Software Engineer</w:t>
        <w:br/>
        <w:t>Tech Stack: Java Spring Boot, React.js, Tailwind CSS, Natural Language Processing</w:t>
        <w:br/>
        <w:t>Date: June 2026</w:t>
      </w:r>
    </w:p>
    <w:p>
      <w:r>
        <w:br w:type="page"/>
      </w:r>
    </w:p>
    <w:p>
      <w:pPr>
        <w:keepNext/>
        <w:spacing w:before="480" w:after="120"/>
      </w:pPr>
      <w:r>
        <w:rPr>
          <w:rFonts w:ascii="Georgia" w:hAnsi="Georgia"/>
          <w:b/>
          <w:i w:val="0"/>
          <w:color w:val="06122C"/>
          <w:sz w:val="36"/>
        </w:rPr>
        <w:t>1. Executive Summary</w:t>
      </w:r>
    </w:p>
    <w:p>
      <w:pPr>
        <w:spacing w:after="160" w:line="276" w:lineRule="auto"/>
      </w:pPr>
      <w:r>
        <w:rPr>
          <w:rFonts w:ascii="Calibri" w:hAnsi="Calibri"/>
          <w:b w:val="0"/>
          <w:i w:val="0"/>
          <w:color w:val="323232"/>
          <w:sz w:val="22"/>
        </w:rPr>
        <w:t>Luxury Retreat is a commercial-grade, full-stack experiential hotel reservation and automation platform built to emulate a 7-star resort guest journey. The system focuses on visual immersive storytelling combined with robust backend microservices, advanced Natural Language Processing (NLP) chatbot assistants, and transactional check-out gateways.</w:t>
      </w:r>
    </w:p>
    <w:p>
      <w:pPr>
        <w:spacing w:after="160" w:line="276" w:lineRule="auto"/>
      </w:pPr>
      <w:r>
        <w:rPr>
          <w:rFonts w:ascii="Calibri" w:hAnsi="Calibri"/>
          <w:b w:val="0"/>
          <w:i w:val="0"/>
          <w:color w:val="323232"/>
          <w:sz w:val="22"/>
        </w:rPr>
        <w:t>Unlike basic CRUD reservation utilities, this platform presents a highly styled visual system themed in premium Royal Navy Blue and Chamber Gold, incorporating cinematic hero background integrations, zoom-on-hover properties grids, multi-step reservation stepper workflows, and a live developer debug hub.</w:t>
      </w:r>
    </w:p>
    <w:p>
      <w:pPr>
        <w:keepNext/>
        <w:spacing w:before="480" w:after="120"/>
      </w:pPr>
      <w:r>
        <w:rPr>
          <w:rFonts w:ascii="Georgia" w:hAnsi="Georgia"/>
          <w:b/>
          <w:i w:val="0"/>
          <w:color w:val="06122C"/>
          <w:sz w:val="36"/>
        </w:rPr>
        <w:t>2. Visual Design System &amp; Aesthetics</w:t>
      </w:r>
    </w:p>
    <w:p>
      <w:pPr>
        <w:spacing w:after="160" w:line="276" w:lineRule="auto"/>
      </w:pPr>
      <w:r>
        <w:rPr>
          <w:rFonts w:ascii="Calibri" w:hAnsi="Calibri"/>
          <w:b w:val="0"/>
          <w:i w:val="0"/>
          <w:color w:val="323232"/>
          <w:sz w:val="22"/>
        </w:rPr>
        <w:t>A core pillar of the Luxury Retreat platform is its visual excellence. The system implements a cohesive color and typography architecture designed to establish premium brand positioning:</w:t>
      </w:r>
    </w:p>
    <w:p>
      <w:pPr>
        <w:pStyle w:val="ListBullet"/>
        <w:spacing w:after="80" w:line="276" w:lineRule="auto"/>
      </w:pPr>
      <w:r>
        <w:rPr>
          <w:rFonts w:ascii="Calibri" w:hAnsi="Calibri"/>
          <w:b/>
          <w:i w:val="0"/>
          <w:color w:val="323232"/>
          <w:sz w:val="22"/>
        </w:rPr>
        <w:t xml:space="preserve">Base Color Canvas: </w:t>
      </w:r>
      <w:r>
        <w:rPr>
          <w:rFonts w:ascii="Calibri" w:hAnsi="Calibri"/>
          <w:b w:val="0"/>
          <w:i w:val="0"/>
          <w:color w:val="323232"/>
          <w:sz w:val="22"/>
        </w:rPr>
        <w:t xml:space="preserve"> Deep Royal Navy Blue (#06122c) for base sections, providing depth and luxury appeal.</w:t>
      </w:r>
    </w:p>
    <w:p>
      <w:pPr>
        <w:pStyle w:val="ListBullet"/>
        <w:spacing w:after="80" w:line="276" w:lineRule="auto"/>
      </w:pPr>
      <w:r>
        <w:rPr>
          <w:rFonts w:ascii="Calibri" w:hAnsi="Calibri"/>
          <w:b/>
          <w:i w:val="0"/>
          <w:color w:val="323232"/>
          <w:sz w:val="22"/>
        </w:rPr>
        <w:t xml:space="preserve">Secondary Panels: </w:t>
      </w:r>
      <w:r>
        <w:rPr>
          <w:rFonts w:ascii="Calibri" w:hAnsi="Calibri"/>
          <w:b w:val="0"/>
          <w:i w:val="0"/>
          <w:color w:val="323232"/>
          <w:sz w:val="22"/>
        </w:rPr>
        <w:t xml:space="preserve"> Dark Navy Blue (#0c1b3d) for container blocks and interactive panels.</w:t>
      </w:r>
    </w:p>
    <w:p>
      <w:pPr>
        <w:pStyle w:val="ListBullet"/>
        <w:spacing w:after="80" w:line="276" w:lineRule="auto"/>
      </w:pPr>
      <w:r>
        <w:rPr>
          <w:rFonts w:ascii="Calibri" w:hAnsi="Calibri"/>
          <w:b/>
          <w:i w:val="0"/>
          <w:color w:val="323232"/>
          <w:sz w:val="22"/>
        </w:rPr>
        <w:t xml:space="preserve">Modal Backdrops: </w:t>
      </w:r>
      <w:r>
        <w:rPr>
          <w:rFonts w:ascii="Calibri" w:hAnsi="Calibri"/>
          <w:b w:val="0"/>
          <w:i w:val="0"/>
          <w:color w:val="323232"/>
          <w:sz w:val="22"/>
        </w:rPr>
        <w:t xml:space="preserve"> Midnight Navy Blue (#050d21) for modal boundaries, input select forms, and footers.</w:t>
      </w:r>
    </w:p>
    <w:p>
      <w:pPr>
        <w:pStyle w:val="ListBullet"/>
        <w:spacing w:after="80" w:line="276" w:lineRule="auto"/>
      </w:pPr>
      <w:r>
        <w:rPr>
          <w:rFonts w:ascii="Calibri" w:hAnsi="Calibri"/>
          <w:b/>
          <w:i w:val="0"/>
          <w:color w:val="323232"/>
          <w:sz w:val="22"/>
        </w:rPr>
        <w:t xml:space="preserve">Brand Highlights: </w:t>
      </w:r>
      <w:r>
        <w:rPr>
          <w:rFonts w:ascii="Calibri" w:hAnsi="Calibri"/>
          <w:b w:val="0"/>
          <w:i w:val="0"/>
          <w:color w:val="323232"/>
          <w:sz w:val="22"/>
        </w:rPr>
        <w:t xml:space="preserve"> Gleaming Chamber Gold (#bda371) and Antique Gold (#a68a5c) for typography accents, borders, primary CTAs, and active hover states.</w:t>
      </w:r>
    </w:p>
    <w:p>
      <w:pPr>
        <w:spacing w:after="160" w:line="276" w:lineRule="auto"/>
      </w:pPr>
      <w:r>
        <w:rPr>
          <w:rFonts w:ascii="Calibri" w:hAnsi="Calibri"/>
          <w:b w:val="0"/>
          <w:i w:val="0"/>
          <w:color w:val="323232"/>
          <w:sz w:val="22"/>
        </w:rPr>
        <w:t>Key visual components include:</w:t>
      </w:r>
    </w:p>
    <w:p>
      <w:pPr>
        <w:pStyle w:val="ListBullet"/>
        <w:spacing w:after="80" w:line="276" w:lineRule="auto"/>
      </w:pPr>
      <w:r>
        <w:rPr>
          <w:rFonts w:ascii="Calibri" w:hAnsi="Calibri"/>
          <w:b/>
          <w:i w:val="0"/>
          <w:color w:val="323232"/>
          <w:sz w:val="22"/>
        </w:rPr>
        <w:t xml:space="preserve">Widescreen Hero Banner: </w:t>
      </w:r>
      <w:r>
        <w:rPr>
          <w:rFonts w:ascii="Calibri" w:hAnsi="Calibri"/>
          <w:b w:val="0"/>
          <w:i w:val="0"/>
          <w:color w:val="323232"/>
          <w:sz w:val="22"/>
        </w:rPr>
        <w:t>Plays a full-bleed, looping aerial video of the properties, overlaid with gold headings in the Playfair Display serif font.</w:t>
      </w:r>
    </w:p>
    <w:p>
      <w:pPr>
        <w:pStyle w:val="ListBullet"/>
        <w:spacing w:after="80" w:line="276" w:lineRule="auto"/>
      </w:pPr>
      <w:r>
        <w:rPr>
          <w:rFonts w:ascii="Calibri" w:hAnsi="Calibri"/>
          <w:b/>
          <w:i w:val="0"/>
          <w:color w:val="323232"/>
          <w:sz w:val="22"/>
        </w:rPr>
        <w:t xml:space="preserve">Dynamic Sticky Header: </w:t>
      </w:r>
      <w:r>
        <w:rPr>
          <w:rFonts w:ascii="Calibri" w:hAnsi="Calibri"/>
          <w:b w:val="0"/>
          <w:i w:val="0"/>
          <w:color w:val="323232"/>
          <w:sz w:val="22"/>
        </w:rPr>
        <w:t>Overlays the hero banner transparently at scroll 0, dynamically transitioning to a semi-transparent royal navy backdrop (rgba(6, 18, 44, 0.95)) on scroll.</w:t>
      </w:r>
    </w:p>
    <w:p>
      <w:pPr>
        <w:pStyle w:val="ListBullet"/>
        <w:spacing w:after="80" w:line="276" w:lineRule="auto"/>
      </w:pPr>
      <w:r>
        <w:rPr>
          <w:rFonts w:ascii="Calibri" w:hAnsi="Calibri"/>
          <w:b/>
          <w:i w:val="0"/>
          <w:color w:val="323232"/>
          <w:sz w:val="22"/>
        </w:rPr>
        <w:t xml:space="preserve">Staggered Activity Grids: </w:t>
      </w:r>
      <w:r>
        <w:rPr>
          <w:rFonts w:ascii="Calibri" w:hAnsi="Calibri"/>
          <w:b w:val="0"/>
          <w:i w:val="0"/>
          <w:color w:val="323232"/>
          <w:sz w:val="22"/>
        </w:rPr>
        <w:t>Features offset columns and micro-interactions, mirroring premium editorial magazine designs.</w:t>
      </w:r>
    </w:p>
    <w:p>
      <w:pPr>
        <w:keepNext/>
        <w:spacing w:before="480" w:after="120"/>
      </w:pPr>
      <w:r>
        <w:rPr>
          <w:rFonts w:ascii="Georgia" w:hAnsi="Georgia"/>
          <w:b/>
          <w:i w:val="0"/>
          <w:color w:val="06122C"/>
          <w:sz w:val="36"/>
        </w:rPr>
        <w:t>3. Technical Architecture &amp; System Design</w:t>
      </w:r>
    </w:p>
    <w:p>
      <w:pPr>
        <w:spacing w:after="160" w:line="276" w:lineRule="auto"/>
      </w:pPr>
      <w:r>
        <w:rPr>
          <w:rFonts w:ascii="Calibri" w:hAnsi="Calibri"/>
          <w:b w:val="0"/>
          <w:i w:val="0"/>
          <w:color w:val="323232"/>
          <w:sz w:val="22"/>
        </w:rPr>
        <w:t>The project is engineered using a monorepo-friendly folder layout separating the compilation boundaries of the client-side single-page application and the Java-based transactional backend.</w:t>
      </w:r>
    </w:p>
    <w:p>
      <w:pPr>
        <w:keepNext/>
        <w:spacing w:before="320" w:after="80"/>
      </w:pPr>
      <w:r>
        <w:rPr>
          <w:rFonts w:ascii="Georgia" w:hAnsi="Georgia"/>
          <w:b/>
          <w:i w:val="0"/>
          <w:color w:val="BDA371"/>
          <w:sz w:val="28"/>
        </w:rPr>
        <w:t>3.1 Frontend Web Client</w:t>
      </w:r>
    </w:p>
    <w:p>
      <w:pPr>
        <w:spacing w:after="160" w:line="276" w:lineRule="auto"/>
      </w:pPr>
      <w:r>
        <w:rPr>
          <w:rFonts w:ascii="Calibri" w:hAnsi="Calibri"/>
          <w:b w:val="0"/>
          <w:i w:val="0"/>
          <w:color w:val="323232"/>
          <w:sz w:val="22"/>
        </w:rPr>
        <w:t>The user interface is built as a single-page React.js application running Tailwind CSS for styling. To facilitate rapid validation and native code performance, the client integrates the Babel standalone compiler directly. Key UI modules include:</w:t>
      </w:r>
    </w:p>
    <w:p>
      <w:pPr>
        <w:pStyle w:val="ListBullet"/>
        <w:spacing w:after="80" w:line="276" w:lineRule="auto"/>
      </w:pPr>
      <w:r>
        <w:rPr>
          <w:rFonts w:ascii="Calibri" w:hAnsi="Calibri"/>
          <w:b/>
          <w:i w:val="0"/>
          <w:color w:val="323232"/>
          <w:sz w:val="22"/>
        </w:rPr>
        <w:t xml:space="preserve">Booking Stepper Wizard: </w:t>
      </w:r>
      <w:r>
        <w:rPr>
          <w:rFonts w:ascii="Calibri" w:hAnsi="Calibri"/>
          <w:b w:val="0"/>
          <w:i w:val="0"/>
          <w:color w:val="323232"/>
          <w:sz w:val="22"/>
        </w:rPr>
        <w:t>A multi-page wizard managing calendar bookings, room category selections, custom dining, and adventure day passes.</w:t>
      </w:r>
    </w:p>
    <w:p>
      <w:pPr>
        <w:pStyle w:val="ListBullet"/>
        <w:spacing w:after="80" w:line="276" w:lineRule="auto"/>
      </w:pPr>
      <w:r>
        <w:rPr>
          <w:rFonts w:ascii="Calibri" w:hAnsi="Calibri"/>
          <w:b/>
          <w:i w:val="0"/>
          <w:color w:val="323232"/>
          <w:sz w:val="22"/>
        </w:rPr>
        <w:t xml:space="preserve">Stripe 3D Card Preview: </w:t>
      </w:r>
      <w:r>
        <w:rPr>
          <w:rFonts w:ascii="Calibri" w:hAnsi="Calibri"/>
          <w:b w:val="0"/>
          <w:i w:val="0"/>
          <w:color w:val="323232"/>
          <w:sz w:val="22"/>
        </w:rPr>
        <w:t>An interactive credit card layout that utilizes 3D CSS rotateY transforms to flip dynamically when card credentials (specifically the CVV field) are active.</w:t>
      </w:r>
    </w:p>
    <w:p>
      <w:pPr>
        <w:pStyle w:val="ListBullet"/>
        <w:spacing w:after="80" w:line="276" w:lineRule="auto"/>
      </w:pPr>
      <w:r>
        <w:rPr>
          <w:rFonts w:ascii="Calibri" w:hAnsi="Calibri"/>
          <w:b/>
          <w:i w:val="0"/>
          <w:color w:val="323232"/>
          <w:sz w:val="22"/>
        </w:rPr>
        <w:t xml:space="preserve">Developer Console: </w:t>
      </w:r>
      <w:r>
        <w:rPr>
          <w:rFonts w:ascii="Calibri" w:hAnsi="Calibri"/>
          <w:b w:val="0"/>
          <w:i w:val="0"/>
          <w:color w:val="323232"/>
          <w:sz w:val="22"/>
        </w:rPr>
        <w:t>An overlay containing the Monorepo structure, pgvector database schema mapping, simulated LangSmith active intent traces, and a natural language SQL simulator.</w:t>
      </w:r>
    </w:p>
    <w:p>
      <w:pPr>
        <w:keepNext/>
        <w:spacing w:before="320" w:after="80"/>
      </w:pPr>
      <w:r>
        <w:rPr>
          <w:rFonts w:ascii="Georgia" w:hAnsi="Georgia"/>
          <w:b/>
          <w:i w:val="0"/>
          <w:color w:val="BDA371"/>
          <w:sz w:val="28"/>
        </w:rPr>
        <w:t>3.2 Backend Service Architecture</w:t>
      </w:r>
    </w:p>
    <w:p>
      <w:pPr>
        <w:spacing w:after="160" w:line="276" w:lineRule="auto"/>
      </w:pPr>
      <w:r>
        <w:rPr>
          <w:rFonts w:ascii="Calibri" w:hAnsi="Calibri"/>
          <w:b w:val="0"/>
          <w:i w:val="0"/>
          <w:color w:val="323232"/>
          <w:sz w:val="22"/>
        </w:rPr>
        <w:t>The core services are powered by Java 17 and Spring Boot 3.x, deploying a local transactional H2 database. It exposes REST API endpoints for catalog rooms, active bookings, cancellations, and chatbot prompt similarity matches. Data mappings are managed via JPA (Java Persistence API) and Hibernate ORM.</w:t>
      </w:r>
    </w:p>
    <w:p>
      <w:pPr>
        <w:keepNext/>
        <w:spacing w:before="480" w:after="120"/>
      </w:pPr>
      <w:r>
        <w:rPr>
          <w:rFonts w:ascii="Georgia" w:hAnsi="Georgia"/>
          <w:b/>
          <w:i w:val="0"/>
          <w:color w:val="06122C"/>
          <w:sz w:val="36"/>
        </w:rPr>
        <w:t>4. Advanced Engineering Implementations</w:t>
      </w:r>
    </w:p>
    <w:p>
      <w:pPr>
        <w:keepNext/>
        <w:spacing w:before="320" w:after="80"/>
      </w:pPr>
      <w:r>
        <w:rPr>
          <w:rFonts w:ascii="Georgia" w:hAnsi="Georgia"/>
          <w:b/>
          <w:i w:val="0"/>
          <w:color w:val="BDA371"/>
          <w:sz w:val="28"/>
        </w:rPr>
        <w:t>4.1 In-Memory NLP &amp; Retrieval-Augmented Generation (RAG) Engine</w:t>
      </w:r>
    </w:p>
    <w:p>
      <w:pPr>
        <w:spacing w:after="160" w:line="276" w:lineRule="auto"/>
      </w:pPr>
      <w:r>
        <w:rPr>
          <w:rFonts w:ascii="Calibri" w:hAnsi="Calibri"/>
          <w:b w:val="0"/>
          <w:i w:val="0"/>
          <w:color w:val="323232"/>
          <w:sz w:val="22"/>
        </w:rPr>
        <w:t>To power the interactive AI Concierge without external API dependencies or heavy database overhead, a custom RAG similarity matching engine was implemented directly within the Java backend:</w:t>
      </w:r>
    </w:p>
    <w:p>
      <w:pPr>
        <w:pStyle w:val="ListBullet"/>
        <w:spacing w:after="80" w:line="276" w:lineRule="auto"/>
      </w:pPr>
      <w:r>
        <w:rPr>
          <w:rFonts w:ascii="Calibri" w:hAnsi="Calibri"/>
          <w:b/>
          <w:i w:val="0"/>
          <w:color w:val="323232"/>
          <w:sz w:val="22"/>
        </w:rPr>
        <w:t xml:space="preserve">Vector-like Ingest: </w:t>
      </w:r>
      <w:r>
        <w:rPr>
          <w:rFonts w:ascii="Calibri" w:hAnsi="Calibri"/>
          <w:b w:val="0"/>
          <w:i w:val="0"/>
          <w:color w:val="323232"/>
          <w:sz w:val="22"/>
        </w:rPr>
        <w:t>Resort guidelines, spa schedules, and pricing matrices are stored as discrete KnowledgeDocument records in the database.</w:t>
      </w:r>
    </w:p>
    <w:p>
      <w:pPr>
        <w:pStyle w:val="ListBullet"/>
        <w:spacing w:after="80" w:line="276" w:lineRule="auto"/>
      </w:pPr>
      <w:r>
        <w:rPr>
          <w:rFonts w:ascii="Calibri" w:hAnsi="Calibri"/>
          <w:b/>
          <w:i w:val="0"/>
          <w:color w:val="323232"/>
          <w:sz w:val="22"/>
        </w:rPr>
        <w:t xml:space="preserve">TF-IDF Similarity Search: </w:t>
      </w:r>
      <w:r>
        <w:rPr>
          <w:rFonts w:ascii="Calibri" w:hAnsi="Calibri"/>
          <w:b w:val="0"/>
          <w:i w:val="0"/>
          <w:color w:val="323232"/>
          <w:sz w:val="22"/>
        </w:rPr>
        <w:t>The RAGService tokenizes incoming queries, filters stopwords, and calculates weights using a customized Term Frequency-Inverse Document Frequency (TF-IDF) similarity vector matcher.</w:t>
      </w:r>
    </w:p>
    <w:p>
      <w:pPr>
        <w:pStyle w:val="ListBullet"/>
        <w:spacing w:after="80" w:line="276" w:lineRule="auto"/>
      </w:pPr>
      <w:r>
        <w:rPr>
          <w:rFonts w:ascii="Calibri" w:hAnsi="Calibri"/>
          <w:b/>
          <w:i w:val="0"/>
          <w:color w:val="323232"/>
          <w:sz w:val="22"/>
        </w:rPr>
        <w:t xml:space="preserve">Context Injection: </w:t>
      </w:r>
      <w:r>
        <w:rPr>
          <w:rFonts w:ascii="Calibri" w:hAnsi="Calibri"/>
          <w:b w:val="0"/>
          <w:i w:val="0"/>
          <w:color w:val="323232"/>
          <w:sz w:val="22"/>
        </w:rPr>
        <w:t>The ChatbotOrchestrator resolves the user's intent, queries the similarity index for relevant knowledge snippets, and dynamically injects the context into the concierge chat model, returning a precise response.</w:t>
      </w:r>
    </w:p>
    <w:p>
      <w:pPr>
        <w:keepNext/>
        <w:spacing w:before="320" w:after="80"/>
      </w:pPr>
      <w:r>
        <w:rPr>
          <w:rFonts w:ascii="Georgia" w:hAnsi="Georgia"/>
          <w:b/>
          <w:i w:val="0"/>
          <w:color w:val="BDA371"/>
          <w:sz w:val="28"/>
        </w:rPr>
        <w:t>4.2 Printer-Optimized Invoice Generation</w:t>
      </w:r>
    </w:p>
    <w:p>
      <w:pPr>
        <w:spacing w:after="160" w:line="276" w:lineRule="auto"/>
      </w:pPr>
      <w:r>
        <w:rPr>
          <w:rFonts w:ascii="Calibri" w:hAnsi="Calibri"/>
          <w:b w:val="0"/>
          <w:i w:val="0"/>
          <w:color w:val="323232"/>
          <w:sz w:val="22"/>
        </w:rPr>
        <w:t>A custom print layout stylesheet using CSS print media directives (@media print) was integrated. When a user prints their check-in confirmation QR code receipt, the application dynamically hides headers, footers, interactive buttons, and background colors, outputting a perfectly aligned, clean point-of-sale layout.</w:t>
      </w:r>
    </w:p>
    <w:p>
      <w:pPr>
        <w:keepNext/>
        <w:spacing w:before="480" w:after="120"/>
      </w:pPr>
      <w:r>
        <w:rPr>
          <w:rFonts w:ascii="Georgia" w:hAnsi="Georgia"/>
          <w:b/>
          <w:i w:val="0"/>
          <w:color w:val="06122C"/>
          <w:sz w:val="36"/>
        </w:rPr>
        <w:t>5. Professional Skill Set &amp; Competencies Demonstrated</w:t>
      </w:r>
    </w:p>
    <w:p>
      <w:pPr>
        <w:spacing w:after="160" w:line="276" w:lineRule="auto"/>
      </w:pPr>
      <w:r>
        <w:rPr>
          <w:rFonts w:ascii="Calibri" w:hAnsi="Calibri"/>
          <w:b w:val="0"/>
          <w:i w:val="0"/>
          <w:color w:val="323232"/>
          <w:sz w:val="22"/>
        </w:rPr>
        <w:t>This project serves as a showcase of advanced software engineering capabilities, bridging frontend user experience design with algorithmic backend systems:</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6122C"/>
          </w:tcPr>
          <w:p>
            <w:r>
              <w:rPr>
                <w:rFonts w:ascii="Calibri" w:hAnsi="Calibri"/>
                <w:b/>
                <w:i w:val="0"/>
                <w:color w:val="FFFFFF"/>
                <w:sz w:val="20"/>
              </w:rPr>
              <w:t>Domain</w:t>
            </w:r>
          </w:p>
        </w:tc>
        <w:tc>
          <w:tcPr>
            <w:tcW w:type="dxa" w:w="3120"/>
            <w:shd w:fill="06122C"/>
          </w:tcPr>
          <w:p>
            <w:r>
              <w:rPr>
                <w:rFonts w:ascii="Calibri" w:hAnsi="Calibri"/>
                <w:b/>
                <w:i w:val="0"/>
                <w:color w:val="FFFFFF"/>
                <w:sz w:val="20"/>
              </w:rPr>
              <w:t>Implementation Detail</w:t>
            </w:r>
          </w:p>
        </w:tc>
        <w:tc>
          <w:tcPr>
            <w:tcW w:type="dxa" w:w="3120"/>
            <w:shd w:fill="06122C"/>
          </w:tcPr>
          <w:p>
            <w:r>
              <w:rPr>
                <w:rFonts w:ascii="Calibri" w:hAnsi="Calibri"/>
                <w:b/>
                <w:i w:val="0"/>
                <w:color w:val="FFFFFF"/>
                <w:sz w:val="20"/>
              </w:rPr>
              <w:t>Advanced Skillset Demonstrated</w:t>
            </w:r>
          </w:p>
        </w:tc>
      </w:tr>
      <w:tr>
        <w:tc>
          <w:tcPr>
            <w:tcW w:type="dxa" w:w="3120"/>
          </w:tcPr>
          <w:p>
            <w:r>
              <w:rPr>
                <w:rFonts w:ascii="Calibri" w:hAnsi="Calibri"/>
                <w:b w:val="0"/>
                <w:i w:val="0"/>
                <w:color w:val="323232"/>
                <w:sz w:val="18"/>
              </w:rPr>
              <w:t>Full-Stack Integration</w:t>
            </w:r>
          </w:p>
        </w:tc>
        <w:tc>
          <w:tcPr>
            <w:tcW w:type="dxa" w:w="3120"/>
          </w:tcPr>
          <w:p>
            <w:r>
              <w:rPr>
                <w:rFonts w:ascii="Calibri" w:hAnsi="Calibri"/>
                <w:b w:val="0"/>
                <w:i w:val="0"/>
                <w:color w:val="323232"/>
                <w:sz w:val="18"/>
              </w:rPr>
              <w:t>Connected React forms to Spring Boot REST endpoints with JSON payloads.</w:t>
            </w:r>
          </w:p>
        </w:tc>
        <w:tc>
          <w:tcPr>
            <w:tcW w:type="dxa" w:w="3120"/>
          </w:tcPr>
          <w:p>
            <w:r>
              <w:rPr>
                <w:rFonts w:ascii="Calibri" w:hAnsi="Calibri"/>
                <w:b w:val="0"/>
                <w:i w:val="0"/>
                <w:color w:val="323232"/>
                <w:sz w:val="18"/>
              </w:rPr>
              <w:t>Service-Oriented Architecture, API Design, JSON parsing.</w:t>
            </w:r>
          </w:p>
        </w:tc>
      </w:tr>
      <w:tr>
        <w:tc>
          <w:tcPr>
            <w:tcW w:type="dxa" w:w="3120"/>
          </w:tcPr>
          <w:p>
            <w:r>
              <w:rPr>
                <w:rFonts w:ascii="Calibri" w:hAnsi="Calibri"/>
                <w:b w:val="0"/>
                <w:i w:val="0"/>
                <w:color w:val="323232"/>
                <w:sz w:val="18"/>
              </w:rPr>
              <w:t>Natural Language Processing</w:t>
            </w:r>
          </w:p>
        </w:tc>
        <w:tc>
          <w:tcPr>
            <w:tcW w:type="dxa" w:w="3120"/>
          </w:tcPr>
          <w:p>
            <w:r>
              <w:rPr>
                <w:rFonts w:ascii="Calibri" w:hAnsi="Calibri"/>
                <w:b w:val="0"/>
                <w:i w:val="0"/>
                <w:color w:val="323232"/>
                <w:sz w:val="18"/>
              </w:rPr>
              <w:t>Implemented in-memory TF-IDF context matching for AI Concierge RAG.</w:t>
            </w:r>
          </w:p>
        </w:tc>
        <w:tc>
          <w:tcPr>
            <w:tcW w:type="dxa" w:w="3120"/>
          </w:tcPr>
          <w:p>
            <w:r>
              <w:rPr>
                <w:rFonts w:ascii="Calibri" w:hAnsi="Calibri"/>
                <w:b w:val="0"/>
                <w:i w:val="0"/>
                <w:color w:val="323232"/>
                <w:sz w:val="18"/>
              </w:rPr>
              <w:t>Algorithm Design, Vector Similarity, NLP concepts.</w:t>
            </w:r>
          </w:p>
        </w:tc>
      </w:tr>
      <w:tr>
        <w:tc>
          <w:tcPr>
            <w:tcW w:type="dxa" w:w="3120"/>
          </w:tcPr>
          <w:p>
            <w:r>
              <w:rPr>
                <w:rFonts w:ascii="Calibri" w:hAnsi="Calibri"/>
                <w:b w:val="0"/>
                <w:i w:val="0"/>
                <w:color w:val="323232"/>
                <w:sz w:val="18"/>
              </w:rPr>
              <w:t>Advanced CSS &amp; Layouts</w:t>
            </w:r>
          </w:p>
        </w:tc>
        <w:tc>
          <w:tcPr>
            <w:tcW w:type="dxa" w:w="3120"/>
          </w:tcPr>
          <w:p>
            <w:r>
              <w:rPr>
                <w:rFonts w:ascii="Calibri" w:hAnsi="Calibri"/>
                <w:b w:val="0"/>
                <w:i w:val="0"/>
                <w:color w:val="323232"/>
                <w:sz w:val="18"/>
              </w:rPr>
              <w:t>Developed dynamic video backdrops, transparent scroll bars, 3D card flips.</w:t>
            </w:r>
          </w:p>
        </w:tc>
        <w:tc>
          <w:tcPr>
            <w:tcW w:type="dxa" w:w="3120"/>
          </w:tcPr>
          <w:p>
            <w:r>
              <w:rPr>
                <w:rFonts w:ascii="Calibri" w:hAnsi="Calibri"/>
                <w:b w:val="0"/>
                <w:i w:val="0"/>
                <w:color w:val="323232"/>
                <w:sz w:val="18"/>
              </w:rPr>
              <w:t>3D Transforms, Web Performance, Responsive Design.</w:t>
            </w:r>
          </w:p>
        </w:tc>
      </w:tr>
      <w:tr>
        <w:tc>
          <w:tcPr>
            <w:tcW w:type="dxa" w:w="3120"/>
          </w:tcPr>
          <w:p>
            <w:r>
              <w:rPr>
                <w:rFonts w:ascii="Calibri" w:hAnsi="Calibri"/>
                <w:b w:val="0"/>
                <w:i w:val="0"/>
                <w:color w:val="323232"/>
                <w:sz w:val="18"/>
              </w:rPr>
              <w:t>Database &amp; ORM Systems</w:t>
            </w:r>
          </w:p>
        </w:tc>
        <w:tc>
          <w:tcPr>
            <w:tcW w:type="dxa" w:w="3120"/>
          </w:tcPr>
          <w:p>
            <w:r>
              <w:rPr>
                <w:rFonts w:ascii="Calibri" w:hAnsi="Calibri"/>
                <w:b w:val="0"/>
                <w:i w:val="0"/>
                <w:color w:val="323232"/>
                <w:sz w:val="18"/>
              </w:rPr>
              <w:t>Created Room, Booking, and Knowledge entities with active CRUD actions.</w:t>
            </w:r>
          </w:p>
        </w:tc>
        <w:tc>
          <w:tcPr>
            <w:tcW w:type="dxa" w:w="3120"/>
          </w:tcPr>
          <w:p>
            <w:r>
              <w:rPr>
                <w:rFonts w:ascii="Calibri" w:hAnsi="Calibri"/>
                <w:b w:val="0"/>
                <w:i w:val="0"/>
                <w:color w:val="323232"/>
                <w:sz w:val="18"/>
              </w:rPr>
              <w:t>JPA/Hibernate, Transactional Integrity, Database schema design.</w:t>
            </w:r>
          </w:p>
        </w:tc>
      </w:tr>
      <w:tr>
        <w:tc>
          <w:tcPr>
            <w:tcW w:type="dxa" w:w="3120"/>
          </w:tcPr>
          <w:p>
            <w:r>
              <w:rPr>
                <w:rFonts w:ascii="Calibri" w:hAnsi="Calibri"/>
                <w:b w:val="0"/>
                <w:i w:val="0"/>
                <w:color w:val="323232"/>
                <w:sz w:val="18"/>
              </w:rPr>
              <w:t>System Tools &amp; Debugging</w:t>
            </w:r>
          </w:p>
        </w:tc>
        <w:tc>
          <w:tcPr>
            <w:tcW w:type="dxa" w:w="3120"/>
          </w:tcPr>
          <w:p>
            <w:r>
              <w:rPr>
                <w:rFonts w:ascii="Calibri" w:hAnsi="Calibri"/>
                <w:b w:val="0"/>
                <w:i w:val="0"/>
                <w:color w:val="323232"/>
                <w:sz w:val="18"/>
              </w:rPr>
              <w:t>Designed visual developer logs console showing execution traces.</w:t>
            </w:r>
          </w:p>
        </w:tc>
        <w:tc>
          <w:tcPr>
            <w:tcW w:type="dxa" w:w="3120"/>
          </w:tcPr>
          <w:p>
            <w:r>
              <w:rPr>
                <w:rFonts w:ascii="Calibri" w:hAnsi="Calibri"/>
                <w:b w:val="0"/>
                <w:i w:val="0"/>
                <w:color w:val="323232"/>
                <w:sz w:val="18"/>
              </w:rPr>
              <w:t>Developer Tooling, Diagnostics, System instrumentation.</w:t>
            </w:r>
          </w:p>
        </w:tc>
      </w:tr>
    </w:tbl>
    <w:p>
      <w:pPr>
        <w:spacing w:before="240"/>
      </w:pPr>
    </w:p>
    <w:p>
      <w:pPr>
        <w:keepNext/>
        <w:spacing w:before="480" w:after="120"/>
      </w:pPr>
      <w:r>
        <w:rPr>
          <w:rFonts w:ascii="Georgia" w:hAnsi="Georgia"/>
          <w:b/>
          <w:i w:val="0"/>
          <w:color w:val="06122C"/>
          <w:sz w:val="36"/>
        </w:rPr>
        <w:t>6. Installation &amp; Execution Guide</w:t>
      </w:r>
    </w:p>
    <w:p>
      <w:pPr>
        <w:spacing w:after="160" w:line="276" w:lineRule="auto"/>
      </w:pPr>
      <w:r>
        <w:rPr>
          <w:rFonts w:ascii="Calibri" w:hAnsi="Calibri"/>
          <w:b w:val="0"/>
          <w:i w:val="0"/>
          <w:color w:val="323232"/>
          <w:sz w:val="22"/>
        </w:rPr>
        <w:t>The application compiles and packages into a single fat JAR executable containing all frontend and backend classes:</w:t>
      </w:r>
    </w:p>
    <w:p>
      <w:pPr>
        <w:spacing w:after="160" w:line="276" w:lineRule="auto"/>
      </w:pPr>
      <w:r>
        <w:rPr>
          <w:rFonts w:ascii="Calibri" w:hAnsi="Calibri"/>
          <w:b/>
          <w:i w:val="0"/>
          <w:color w:val="323232"/>
          <w:sz w:val="22"/>
        </w:rPr>
        <w:t xml:space="preserve">Code Acquisition: </w:t>
      </w:r>
      <w:r>
        <w:rPr>
          <w:rFonts w:ascii="Calibri" w:hAnsi="Calibri"/>
          <w:b w:val="0"/>
          <w:i w:val="0"/>
          <w:color w:val="323232"/>
          <w:sz w:val="22"/>
        </w:rPr>
        <w:t>1. Clone project source code from the repository.</w:t>
      </w:r>
    </w:p>
    <w:p>
      <w:pPr>
        <w:spacing w:after="160" w:line="276" w:lineRule="auto"/>
      </w:pPr>
      <w:r>
        <w:rPr>
          <w:rFonts w:ascii="Calibri" w:hAnsi="Calibri"/>
          <w:b/>
          <w:i w:val="0"/>
          <w:color w:val="323232"/>
          <w:sz w:val="22"/>
        </w:rPr>
        <w:t xml:space="preserve">Compile &amp; Boot: </w:t>
      </w:r>
      <w:r>
        <w:rPr>
          <w:rFonts w:ascii="Calibri" w:hAnsi="Calibri"/>
          <w:b w:val="0"/>
          <w:i w:val="0"/>
          <w:color w:val="323232"/>
          <w:sz w:val="22"/>
        </w:rPr>
        <w:t>2. Start the maven compiler wrapper: .\mvnw.cmd spring-boot:run (Windows) or ./mvnw spring-boot:run (Linux/macOS).</w:t>
      </w:r>
    </w:p>
    <w:p>
      <w:pPr>
        <w:spacing w:after="160" w:line="276" w:lineRule="auto"/>
      </w:pPr>
      <w:r>
        <w:rPr>
          <w:rFonts w:ascii="Calibri" w:hAnsi="Calibri"/>
          <w:b/>
          <w:i w:val="0"/>
          <w:color w:val="323232"/>
          <w:sz w:val="22"/>
        </w:rPr>
        <w:t xml:space="preserve">Access System: </w:t>
      </w:r>
      <w:r>
        <w:rPr>
          <w:rFonts w:ascii="Calibri" w:hAnsi="Calibri"/>
          <w:b w:val="0"/>
          <w:i w:val="0"/>
          <w:color w:val="323232"/>
          <w:sz w:val="22"/>
        </w:rPr>
        <w:t>3. Launch browser and go to http://localhost:8082 to access the luxury booking workspace.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color w:val="646464"/>
        <w:sz w:val="18"/>
      </w:rPr>
      <w:t xml:space="preserve">Luxury Retreat Project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