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  <w:jc w:val="center"/>
      </w:pPr>
      <w:r>
        <w:rPr>
          <w:rFonts w:ascii="Times New Roman" w:hAnsi="Times New Roman"/>
          <w:b/>
          <w:color w:val="1F497D"/>
          <w:sz w:val="34"/>
        </w:rPr>
        <w:t>Comparative Literature Study: LLM Decision-Making, Move Legality, and Constrained Generation in Formal Rule-Bound Domains</w:t>
      </w:r>
    </w:p>
    <w:p>
      <w:pPr>
        <w:spacing w:after="100" w:line="276" w:lineRule="auto"/>
        <w:jc w:val="center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Author:</w:t>
      </w:r>
      <w:r>
        <w:rPr>
          <w:rFonts w:ascii="Times New Roman" w:hAnsi="Times New Roman"/>
          <w:sz w:val="20"/>
        </w:rPr>
        <w:t xml:space="preserve"> Arpit Panigrahi</w:t>
      </w:r>
    </w:p>
    <w:p>
      <w:pPr>
        <w:spacing w:after="100" w:line="276" w:lineRule="auto"/>
        <w:jc w:val="center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Affiliation:</w:t>
      </w:r>
      <w:r>
        <w:rPr>
          <w:rFonts w:ascii="Times New Roman" w:hAnsi="Times New Roman"/>
          <w:sz w:val="20"/>
        </w:rPr>
        <w:t xml:space="preserve"> School of Computer Science and Engineering, Vellore Institute of Technology (VIT), Chennai, Tamil Nadu, India</w:t>
      </w:r>
    </w:p>
    <w:p>
      <w:pPr>
        <w:spacing w:after="100" w:line="276" w:lineRule="auto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Target Submission:</w:t>
      </w:r>
      <w:r>
        <w:rPr>
          <w:rFonts w:ascii="Times New Roman" w:hAnsi="Times New Roman"/>
          <w:sz w:val="20"/>
        </w:rPr>
        <w:t xml:space="preserve"> IEEE Transactions on Games / IEEE Conference on Games (CoG) / arXiv Repository</w:t>
      </w:r>
    </w:p>
    <w:p>
      <w:pPr>
        <w:spacing w:before="280" w:after="80"/>
      </w:pPr>
      <w:r>
        <w:rPr>
          <w:rFonts w:ascii="Times New Roman" w:hAnsi="Times New Roman"/>
          <w:b/>
          <w:color w:val="1F497D"/>
          <w:sz w:val="26"/>
        </w:rPr>
        <w:t>Executive Abstract</w:t>
      </w:r>
    </w:p>
    <w:p>
      <w:pPr>
        <w:spacing w:after="100" w:line="276" w:lineRule="auto"/>
      </w:pPr>
      <w:r>
        <w:rPr>
          <w:rFonts w:ascii="Times New Roman" w:hAnsi="Times New Roman"/>
          <w:sz w:val="20"/>
        </w:rPr>
        <w:t>The application of autoregressive Large Language Models (LLMs) to formal, rule-governed games has emerged as a premier benchmark for evaluating artificial reasoning, state tracking, and hallucination suppression. While classical game-playing systems rely on symbolic alpha-beta tree search or deep reinforcement learning value networks, general-purpose LLMs attempt to predict game transitions via tokenized textual representations.</w:t>
      </w:r>
    </w:p>
    <w:p>
      <w:pPr>
        <w:spacing w:after="100" w:line="276" w:lineRule="auto"/>
      </w:pPr>
      <w:r>
        <w:rPr>
          <w:rFonts w:ascii="Times New Roman" w:hAnsi="Times New Roman"/>
          <w:sz w:val="20"/>
        </w:rPr>
        <w:t xml:space="preserve">This comparative study presents a systematic literature survey benchmarking our proposed </w:t>
      </w:r>
      <w:r>
        <w:rPr>
          <w:rFonts w:ascii="Times New Roman" w:hAnsi="Times New Roman"/>
          <w:b/>
          <w:sz w:val="20"/>
        </w:rPr>
        <w:t>Prompt-Level Constrained Decoding &amp; Dynamic Move Compression (DMC)</w:t>
      </w:r>
      <w:r>
        <w:rPr>
          <w:rFonts w:ascii="Times New Roman" w:hAnsi="Times New Roman"/>
          <w:sz w:val="20"/>
        </w:rPr>
        <w:t xml:space="preserve"> framework against seminal works in the field, including:</w:t>
      </w:r>
    </w:p>
    <w:p>
      <w:pPr>
        <w:spacing w:after="60" w:line="276" w:lineRule="auto"/>
      </w:pPr>
      <w:r>
        <w:rPr>
          <w:rFonts w:ascii="Times New Roman" w:hAnsi="Times New Roman"/>
          <w:sz w:val="20"/>
        </w:rPr>
        <w:t xml:space="preserve">1. </w:t>
      </w:r>
      <w:r>
        <w:rPr>
          <w:rFonts w:ascii="Times New Roman" w:hAnsi="Times New Roman"/>
          <w:b/>
          <w:sz w:val="20"/>
        </w:rPr>
        <w:t>Google DeepMind's Transformer Policy Networks</w:t>
      </w:r>
      <w:r>
        <w:rPr>
          <w:rFonts w:ascii="Times New Roman" w:hAnsi="Times New Roman"/>
          <w:sz w:val="20"/>
        </w:rPr>
        <w:t xml:space="preserve"> (*Ruoss et al., 2024 / NeurIPS 2024*),</w:t>
      </w:r>
    </w:p>
    <w:p>
      <w:pPr>
        <w:spacing w:after="60" w:line="276" w:lineRule="auto"/>
      </w:pPr>
      <w:r>
        <w:rPr>
          <w:rFonts w:ascii="Times New Roman" w:hAnsi="Times New Roman"/>
          <w:sz w:val="20"/>
        </w:rPr>
        <w:t xml:space="preserve">2. </w:t>
      </w:r>
      <w:r>
        <w:rPr>
          <w:rFonts w:ascii="Times New Roman" w:hAnsi="Times New Roman"/>
          <w:b/>
          <w:sz w:val="20"/>
        </w:rPr>
        <w:t>ChessGPT Domain Pre-Training</w:t>
      </w:r>
      <w:r>
        <w:rPr>
          <w:rFonts w:ascii="Times New Roman" w:hAnsi="Times New Roman"/>
          <w:sz w:val="20"/>
        </w:rPr>
        <w:t xml:space="preserve"> (*Feng et al., 2023*),</w:t>
      </w:r>
    </w:p>
    <w:p>
      <w:pPr>
        <w:spacing w:after="60" w:line="276" w:lineRule="auto"/>
      </w:pPr>
      <w:r>
        <w:rPr>
          <w:rFonts w:ascii="Times New Roman" w:hAnsi="Times New Roman"/>
          <w:sz w:val="20"/>
        </w:rPr>
        <w:t xml:space="preserve">3. </w:t>
      </w:r>
      <w:r>
        <w:rPr>
          <w:rFonts w:ascii="Times New Roman" w:hAnsi="Times New Roman"/>
          <w:b/>
          <w:sz w:val="20"/>
        </w:rPr>
        <w:t>Emergent World Representation Probing</w:t>
      </w:r>
      <w:r>
        <w:rPr>
          <w:rFonts w:ascii="Times New Roman" w:hAnsi="Times New Roman"/>
          <w:sz w:val="20"/>
        </w:rPr>
        <w:t xml:space="preserve"> (*Li et al., ICLR 2023; Toshniwal et al., 2022*),</w:t>
      </w:r>
    </w:p>
    <w:p>
      <w:pPr>
        <w:spacing w:after="60" w:line="276" w:lineRule="auto"/>
      </w:pPr>
      <w:r>
        <w:rPr>
          <w:rFonts w:ascii="Times New Roman" w:hAnsi="Times New Roman"/>
          <w:sz w:val="20"/>
        </w:rPr>
        <w:t xml:space="preserve">4. </w:t>
      </w:r>
      <w:r>
        <w:rPr>
          <w:rFonts w:ascii="Times New Roman" w:hAnsi="Times New Roman"/>
          <w:b/>
          <w:sz w:val="20"/>
        </w:rPr>
        <w:t>Agentic LLM Chess Benchmarks</w:t>
      </w:r>
      <w:r>
        <w:rPr>
          <w:rFonts w:ascii="Times New Roman" w:hAnsi="Times New Roman"/>
          <w:sz w:val="20"/>
        </w:rPr>
        <w:t xml:space="preserve"> (*Saplin et al., 2024; NeurIPS 2025 FoRLM*),</w:t>
      </w:r>
    </w:p>
    <w:p>
      <w:pPr>
        <w:spacing w:after="60" w:line="276" w:lineRule="auto"/>
      </w:pPr>
      <w:r>
        <w:rPr>
          <w:rFonts w:ascii="Times New Roman" w:hAnsi="Times New Roman"/>
          <w:sz w:val="20"/>
        </w:rPr>
        <w:t xml:space="preserve">5. </w:t>
      </w:r>
      <w:r>
        <w:rPr>
          <w:rFonts w:ascii="Times New Roman" w:hAnsi="Times New Roman"/>
          <w:b/>
          <w:sz w:val="20"/>
        </w:rPr>
        <w:t>Constrained-Index Move Selection Protocols</w:t>
      </w:r>
      <w:r>
        <w:rPr>
          <w:rFonts w:ascii="Times New Roman" w:hAnsi="Times New Roman"/>
          <w:sz w:val="20"/>
        </w:rPr>
        <w:t xml:space="preserve"> (*Banjade, 2026*),</w:t>
      </w:r>
    </w:p>
    <w:p>
      <w:pPr>
        <w:spacing w:after="100" w:line="276" w:lineRule="auto"/>
      </w:pPr>
      <w:r>
        <w:rPr>
          <w:rFonts w:ascii="Times New Roman" w:hAnsi="Times New Roman"/>
          <w:sz w:val="20"/>
        </w:rPr>
        <w:t xml:space="preserve">6. </w:t>
      </w:r>
      <w:r>
        <w:rPr>
          <w:rFonts w:ascii="Times New Roman" w:hAnsi="Times New Roman"/>
          <w:b/>
          <w:sz w:val="20"/>
        </w:rPr>
        <w:t>Grammar-Guided Constrained Decoding Engines</w:t>
      </w:r>
      <w:r>
        <w:rPr>
          <w:rFonts w:ascii="Times New Roman" w:hAnsi="Times New Roman"/>
          <w:sz w:val="20"/>
        </w:rPr>
        <w:t xml:space="preserve"> (</w:t>
      </w:r>
      <w:r>
        <w:rPr>
          <w:rFonts w:ascii="Times New Roman" w:hAnsi="Times New Roman"/>
          <w:i/>
          <w:sz w:val="20"/>
        </w:rPr>
        <w:t>SynCode, Ugur et al., 2024; Outlines, Willard &amp; Louf, 2023</w:t>
      </w:r>
      <w:r>
        <w:rPr>
          <w:rFonts w:ascii="Times New Roman" w:hAnsi="Times New Roman"/>
          <w:sz w:val="20"/>
        </w:rPr>
        <w:t>).</w:t>
      </w:r>
    </w:p>
    <w:p>
      <w:pPr>
        <w:spacing w:after="100" w:line="276" w:lineRule="auto"/>
      </w:pPr>
      <w:r>
        <w:rPr>
          <w:rFonts w:ascii="Times New Roman" w:hAnsi="Times New Roman"/>
          <w:sz w:val="20"/>
        </w:rPr>
        <w:t xml:space="preserve">We analyze empirical discrepancies in </w:t>
      </w:r>
      <w:r>
        <w:rPr>
          <w:rFonts w:ascii="Times New Roman" w:hAnsi="Times New Roman"/>
          <w:b/>
          <w:sz w:val="20"/>
        </w:rPr>
        <w:t>legal move adherence</w:t>
      </w:r>
      <w:r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Byte-Pair Encoding (BPE) subword boundary effects</w:t>
      </w:r>
      <w:r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Stockfish Centipawn Loss (ACPL)</w:t>
      </w:r>
      <w:r>
        <w:rPr>
          <w:rFonts w:ascii="Times New Roman" w:hAnsi="Times New Roman"/>
          <w:sz w:val="20"/>
        </w:rPr>
        <w:t xml:space="preserve">, and </w:t>
      </w:r>
      <w:r>
        <w:rPr>
          <w:rFonts w:ascii="Times New Roman" w:hAnsi="Times New Roman"/>
          <w:b/>
          <w:sz w:val="20"/>
        </w:rPr>
        <w:t>hardware latency profiles</w:t>
      </w:r>
      <w:r>
        <w:rPr>
          <w:rFonts w:ascii="Times New Roman" w:hAnsi="Times New Roman"/>
          <w:sz w:val="20"/>
        </w:rPr>
        <w:t>, positioning our zero-shot prompt-level architecture within the broader academic landscape.</w:t>
      </w:r>
    </w:p>
    <w:p>
      <w:pPr>
        <w:spacing w:before="280" w:after="80"/>
      </w:pPr>
      <w:r>
        <w:rPr>
          <w:rFonts w:ascii="Times New Roman" w:hAnsi="Times New Roman"/>
          <w:b/>
          <w:color w:val="1F497D"/>
          <w:sz w:val="26"/>
        </w:rPr>
        <w:t>I. Taxonomy of Existing Literature</w:t>
      </w:r>
    </w:p>
    <w:p>
      <w:pPr>
        <w:spacing w:after="100" w:line="276" w:lineRule="auto"/>
      </w:pPr>
      <w:r>
        <w:rPr>
          <w:rFonts w:ascii="Times New Roman" w:hAnsi="Times New Roman"/>
          <w:sz w:val="20"/>
        </w:rPr>
        <w:t>Research investigating LLMs in chess and formal board games spans three fundamental paradigms:</w:t>
      </w:r>
    </w:p>
    <w:p>
      <w:pPr>
        <w:spacing w:after="20"/>
        <w:ind w:left="576"/>
      </w:pPr>
      <w:r>
        <w:rPr>
          <w:rFonts w:ascii="Courier New" w:hAnsi="Courier New"/>
          <w:color w:val="3C3C3C"/>
          <w:sz w:val="17"/>
        </w:rPr>
        <w:t xml:space="preserve">                                  ┌─────────────────────────────────────────────────────────┐</w:t>
      </w:r>
    </w:p>
    <w:p>
      <w:pPr>
        <w:spacing w:after="20"/>
        <w:ind w:left="576"/>
      </w:pPr>
      <w:r>
        <w:rPr>
          <w:rFonts w:ascii="Courier New" w:hAnsi="Courier New"/>
          <w:color w:val="3C3C3C"/>
          <w:sz w:val="17"/>
        </w:rPr>
        <w:t xml:space="preserve">                                  │           LLM REASONING IN FORMAL DOMAINS               │</w:t>
      </w:r>
    </w:p>
    <w:p>
      <w:pPr>
        <w:spacing w:after="20"/>
        <w:ind w:left="576"/>
      </w:pPr>
      <w:r>
        <w:rPr>
          <w:rFonts w:ascii="Courier New" w:hAnsi="Courier New"/>
          <w:color w:val="3C3C3C"/>
          <w:sz w:val="17"/>
        </w:rPr>
        <w:t xml:space="preserve">                                  └────────────────────────────┬────────────────────────────┘</w:t>
      </w:r>
    </w:p>
    <w:p>
      <w:pPr>
        <w:spacing w:after="20"/>
        <w:ind w:left="576"/>
      </w:pPr>
      <w:r>
        <w:rPr>
          <w:rFonts w:ascii="Courier New" w:hAnsi="Courier New"/>
          <w:color w:val="3C3C3C"/>
          <w:sz w:val="17"/>
        </w:rPr>
        <w:t xml:space="preserve">                                                               │</w:t>
      </w:r>
    </w:p>
    <w:p>
      <w:pPr>
        <w:spacing w:after="20"/>
        <w:ind w:left="576"/>
      </w:pPr>
      <w:r>
        <w:rPr>
          <w:rFonts w:ascii="Courier New" w:hAnsi="Courier New"/>
          <w:color w:val="3C3C3C"/>
          <w:sz w:val="17"/>
        </w:rPr>
        <w:t xml:space="preserve">         ┌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┐</w:t>
      </w:r>
    </w:p>
    <w:p>
      <w:pPr>
        <w:spacing w:after="20"/>
        <w:ind w:left="576"/>
      </w:pPr>
      <w:r>
        <w:rPr>
          <w:rFonts w:ascii="Courier New" w:hAnsi="Courier New"/>
          <w:color w:val="3C3C3C"/>
          <w:sz w:val="17"/>
        </w:rPr>
        <w:t xml:space="preserve">         ▼                                                     ▼                                                     ▼</w:t>
      </w:r>
    </w:p>
    <w:p>
      <w:pPr>
        <w:spacing w:after="20"/>
        <w:ind w:left="576"/>
      </w:pPr>
      <w:r>
        <w:rPr>
          <w:rFonts w:ascii="Courier New" w:hAnsi="Courier New"/>
          <w:color w:val="3C3C3C"/>
          <w:sz w:val="17"/>
        </w:rPr>
        <w:t>┌───────────────────────────────────┐       ┌───────────────────────────────────┐       ┌───────────────────────────────────┐</w:t>
      </w:r>
    </w:p>
    <w:p>
      <w:pPr>
        <w:spacing w:after="20"/>
        <w:ind w:left="576"/>
      </w:pPr>
      <w:r>
        <w:rPr>
          <w:rFonts w:ascii="Courier New" w:hAnsi="Courier New"/>
          <w:color w:val="3C3C3C"/>
          <w:sz w:val="17"/>
        </w:rPr>
        <w:t>│   PARADIGM 1: DOMAIN FINE-TUNING  │       │   PARADIGM 2: UNCONSTRAINED LLMs  │       │   PARADIGM 3: CONSTRAINED DECODING│</w:t>
      </w:r>
    </w:p>
    <w:p>
      <w:pPr>
        <w:spacing w:after="20"/>
        <w:ind w:left="576"/>
      </w:pPr>
      <w:r>
        <w:rPr>
          <w:rFonts w:ascii="Courier New" w:hAnsi="Courier New"/>
          <w:color w:val="3C3C3C"/>
          <w:sz w:val="17"/>
        </w:rPr>
        <w:t>├───────────────────────────────────┤       ├───────────────────────────────────┤       ├───────────────────────────────────┤</w:t>
      </w:r>
    </w:p>
    <w:p>
      <w:pPr>
        <w:spacing w:after="20"/>
        <w:ind w:left="576"/>
      </w:pPr>
      <w:r>
        <w:rPr>
          <w:rFonts w:ascii="Courier New" w:hAnsi="Courier New"/>
          <w:color w:val="3C3C3C"/>
          <w:sz w:val="17"/>
        </w:rPr>
        <w:t>│ • Ruoss et al. (DeepMind, 2024)   │       │ • Saplin et al. (LLM Chess, 2024) │       │ • Banjade (Constrained-Index,2026)│</w:t>
      </w:r>
    </w:p>
    <w:p>
      <w:pPr>
        <w:spacing w:after="20"/>
        <w:ind w:left="576"/>
      </w:pPr>
      <w:r>
        <w:rPr>
          <w:rFonts w:ascii="Courier New" w:hAnsi="Courier New"/>
          <w:color w:val="3C3C3C"/>
          <w:sz w:val="17"/>
        </w:rPr>
        <w:t>│ • Feng et al. (ChessGPT, 2023)    │       │ • Stockl (2021) / Carlini (2023)  │       │ • Outlines / SynCode (2023-2024)  │</w:t>
      </w:r>
    </w:p>
    <w:p>
      <w:pPr>
        <w:spacing w:after="20"/>
        <w:ind w:left="576"/>
      </w:pPr>
      <w:r>
        <w:rPr>
          <w:rFonts w:ascii="Courier New" w:hAnsi="Courier New"/>
          <w:color w:val="3C3C3C"/>
          <w:sz w:val="17"/>
        </w:rPr>
        <w:t>│ • Toshniwal et al. (2022)         │       │ • Karvonen / Li et al. (ICLR 2023)│       │ • Proposed Prompt-Level DMC (Ours)│</w:t>
      </w:r>
    </w:p>
    <w:p>
      <w:pPr>
        <w:spacing w:after="20"/>
        <w:ind w:left="576"/>
      </w:pPr>
      <w:r>
        <w:rPr>
          <w:rFonts w:ascii="Courier New" w:hAnsi="Courier New"/>
          <w:color w:val="3C3C3C"/>
          <w:sz w:val="17"/>
        </w:rPr>
        <w:t>│ • Policy distillation on PGN data │       │ • Free-form PGN/UCI generation    │       │ • Externalized candidate injection│</w:t>
      </w:r>
    </w:p>
    <w:p>
      <w:pPr>
        <w:spacing w:after="20"/>
        <w:ind w:left="576"/>
      </w:pPr>
      <w:r>
        <w:rPr>
          <w:rFonts w:ascii="Courier New" w:hAnsi="Courier New"/>
          <w:color w:val="3C3C3C"/>
          <w:sz w:val="17"/>
        </w:rPr>
        <w:t>│ • 10M+ games required             │       │ • 40%–60% legality ceiling        │       │ • 100% legal, zero fine-tuning    │</w:t>
      </w:r>
    </w:p>
    <w:p>
      <w:pPr>
        <w:spacing w:after="20"/>
        <w:ind w:left="576"/>
      </w:pPr>
      <w:r>
        <w:rPr>
          <w:rFonts w:ascii="Courier New" w:hAnsi="Courier New"/>
          <w:color w:val="3C3C3C"/>
          <w:sz w:val="17"/>
        </w:rPr>
        <w:t>└───────────────────────────────────┘       └───────────────────────────────────┘       └───────────────────────────────────┘</w:t>
      </w:r>
    </w:p>
    <w:p>
      <w:pPr>
        <w:spacing w:before="280" w:after="80"/>
      </w:pPr>
      <w:r>
        <w:rPr>
          <w:rFonts w:ascii="Times New Roman" w:hAnsi="Times New Roman"/>
          <w:b/>
          <w:color w:val="1F497D"/>
          <w:sz w:val="26"/>
        </w:rPr>
        <w:t>II. Comprehensive Comparative Matrix</w:t>
      </w:r>
    </w:p>
    <w:p>
      <w:pPr>
        <w:spacing w:after="100" w:line="276" w:lineRule="auto"/>
      </w:pPr>
      <w:r>
        <w:rPr>
          <w:rFonts w:ascii="Times New Roman" w:hAnsi="Times New Roman"/>
          <w:sz w:val="20"/>
        </w:rPr>
        <w:t>The following master matrix contrasts our framework against representative state-of-the-art literature across eight core dimensions: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Dimension / Capability</w:t>
            </w:r>
          </w:p>
        </w:tc>
        <w:tc>
          <w:tcPr>
            <w:tcW w:type="dxa" w:w="1560"/>
            <w:vAlign w:val="center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DeepMind (Ruoss et al., 2024)</w:t>
            </w:r>
          </w:p>
        </w:tc>
        <w:tc>
          <w:tcPr>
            <w:tcW w:type="dxa" w:w="1560"/>
            <w:vAlign w:val="center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ChessGPT (Feng et al., 2023)</w:t>
            </w:r>
          </w:p>
        </w:tc>
        <w:tc>
          <w:tcPr>
            <w:tcW w:type="dxa" w:w="1560"/>
            <w:vAlign w:val="center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LLM Chess Benchmark (Saplin, 2024)</w:t>
            </w:r>
          </w:p>
        </w:tc>
        <w:tc>
          <w:tcPr>
            <w:tcW w:type="dxa" w:w="1560"/>
            <w:vAlign w:val="center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Constrained-Index (Banjade, 2026)</w:t>
            </w:r>
          </w:p>
        </w:tc>
        <w:tc>
          <w:tcPr>
            <w:tcW w:type="dxa" w:w="1560"/>
            <w:vAlign w:val="center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Proposed Architecture (This Work)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Model Category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Domain-Specific Transformer ($270\text{M}$)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Hybrid Policy-LLM ($3\text{B}\text{–}7\text{B}$)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General LLMs (GPT-4, Claude, Llama 3)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Open Weights ($8\text{B}\text{–}70\text{B}$)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Zero-Shot Llama 3.1 ($8\text{B}$)</w:t>
            </w:r>
          </w:p>
        </w:tc>
      </w:tr>
      <w:tr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Training Requirement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Supervised on $10\text{M}$ games ($1.5\text{B}$ states)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Domain pre-training on PGN + Text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None (API-based zero-shot)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None (Prompt-based)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None (Zero Fine-Tuning Required)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Move Legality Rate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$&gt;99.9\%$ (Trained Action Space)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$85.0\% \text{–} 92.0\%$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$49.0\% \text{–} 62.0\%$ (Catastrophic)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$94.1\% \text{–} 98.2\%$ (Fallback rate $5.9\%$)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$100.00\%$ (Deterministic)</w:t>
            </w:r>
          </w:p>
        </w:tc>
      </w:tr>
      <w:tr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BPE Subword Isolation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Custom discrete move tokens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Standard sentence tokenizer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Not addressed (Frequent merges)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Numerical indices ($0\dots N$)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Quote-Delimited Atomic Attention Barriers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Strategic Quality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Grandmaster Elo $2895$ (Lichess Blitz)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Elo $\approx 1500 \text{–} 1800$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Elo $&lt;1200$ (Frequent aborts)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Relative win-rates reported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$\text{ACPL} \approx 55.8\text{–}67.0\text{ cp}$ (Club Level)</w:t>
            </w:r>
          </w:p>
        </w:tc>
      </w:tr>
      <w:tr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Survivorship Bias Audit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N/A (Games evaluated to end)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Not analyzed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Confounded by early game aborts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Confounded by invalid selections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Explicitly Diagnosed &amp; Documented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Inference Hardware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High-end GPU Clusters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Multi-GPU / TPU Pods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Cloud API Endpoints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Cloud GPU Servers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Commodity CPU &amp; Edge Hardware</w:t>
            </w:r>
          </w:p>
        </w:tc>
      </w:tr>
      <w:tr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Latency Profiling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$O(1)$ Feedforward ($\approx 15\text{ms}$)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Not profiled on CPU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Network round-trip dominated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Not decomposed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Decomposed: $18\text{s}$ Cold vs $792\text{ms}$ Warm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Times New Roman" w:hAnsi="Times New Roman"/>
          <w:b/>
          <w:color w:val="1F497D"/>
          <w:sz w:val="26"/>
        </w:rPr>
        <w:t>III. Deep-Dive Dimension-by-Dimension Analysis</w:t>
      </w:r>
    </w:p>
    <w:p>
      <w:pPr>
        <w:spacing w:before="200" w:after="60"/>
      </w:pPr>
      <w:r>
        <w:rPr>
          <w:rFonts w:ascii="Times New Roman" w:hAnsi="Times New Roman"/>
          <w:b/>
          <w:color w:val="282828"/>
          <w:sz w:val="22"/>
        </w:rPr>
        <w:t>1. Move Legality &amp; The Hallucination Problem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Literature Consensus:</w:t>
      </w:r>
      <w:r>
        <w:rPr>
          <w:rFonts w:ascii="Times New Roman" w:hAnsi="Times New Roman"/>
          <w:sz w:val="20"/>
        </w:rPr>
        <w:t xml:space="preserve"> General-purpose autoregressive models (GPT-3.5, GPT-4, Llama 2, Llama 3) evaluated in free-form generation hit an impenetrable legality ceiling between $49.0\%$ and $62.0\%$ (*Stockl, 2021; Saplin, 2024*). Without external constraints, $100\%$ of unconstrained games abort within 1 to 3 turns due to physical rule violations (e.g. bishops moving through pawns).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DeepMind Approach (*Ruoss et al.*):</w:t>
      </w:r>
      <w:r>
        <w:rPr>
          <w:rFonts w:ascii="Times New Roman" w:hAnsi="Times New Roman"/>
          <w:sz w:val="20"/>
        </w:rPr>
        <w:t xml:space="preserve"> Ruoss et al. overcame this by training a custom 270M-parameter transformer directly on Stockfish 16 action-values across 10 million games. While achieving Elo 2895, this requires massive domain-specific training infrastructure and cannot be generalized to standard instruction-following LLMs.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Our Finding &amp; Contribution:</w:t>
      </w:r>
      <w:r>
        <w:rPr>
          <w:rFonts w:ascii="Times New Roman" w:hAnsi="Times New Roman"/>
          <w:sz w:val="20"/>
        </w:rPr>
        <w:t xml:space="preserve"> We demonstrate that expensive pre-training is completely unnecessary for $100\%$ legal compliance. By externalizing the valid state transition set into the prompt context, standard open-weights Llama 3.1 8B achieves </w:t>
      </w:r>
      <w:r>
        <w:rPr>
          <w:rFonts w:ascii="Times New Roman" w:hAnsi="Times New Roman"/>
          <w:b/>
          <w:sz w:val="20"/>
        </w:rPr>
        <w:t>$100.00\%$ zero-hallucination execution</w:t>
      </w:r>
      <w:r>
        <w:rPr>
          <w:rFonts w:ascii="Times New Roman" w:hAnsi="Times New Roman"/>
          <w:sz w:val="20"/>
        </w:rPr>
        <w:t xml:space="preserve"> without modifying a single model weight.</w:t>
      </w:r>
    </w:p>
    <w:p>
      <w:pPr>
        <w:spacing w:before="200" w:after="60"/>
      </w:pPr>
      <w:r>
        <w:rPr>
          <w:rFonts w:ascii="Times New Roman" w:hAnsi="Times New Roman"/>
          <w:b/>
          <w:color w:val="282828"/>
          <w:sz w:val="22"/>
        </w:rPr>
        <w:t>2. Byte-Pair Encoding (BPE) Tokenizer Artifacts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Literature Limitation:</w:t>
      </w:r>
      <w:r>
        <w:rPr>
          <w:rFonts w:ascii="Times New Roman" w:hAnsi="Times New Roman"/>
          <w:sz w:val="20"/>
        </w:rPr>
        <w:t xml:space="preserve"> Prior works treating chess as natural language (*Toshniwal et al., 2022; Feng et al., 2023*) frequently observed move corruptions but attributed them vaguely to "model confusion" or "state tracking degradation." Banjade (2026) attempted to avoid string tokenization by mapping legal moves to integer indices ($1, 2, \dots N$), which reduced errors but introduced a secondary indexing hallucination mode (selecting indices out of bounds).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Our Discovery:</w:t>
      </w:r>
      <w:r>
        <w:rPr>
          <w:rFonts w:ascii="Times New Roman" w:hAnsi="Times New Roman"/>
          <w:sz w:val="20"/>
        </w:rPr>
        <w:t xml:space="preserve"> We isolate the root cause to </w:t>
      </w:r>
      <w:r>
        <w:rPr>
          <w:rFonts w:ascii="Times New Roman" w:hAnsi="Times New Roman"/>
          <w:b/>
          <w:sz w:val="20"/>
        </w:rPr>
        <w:t>Byte-Pair Encoding subword merging</w:t>
      </w:r>
      <w:r>
        <w:rPr>
          <w:rFonts w:ascii="Times New Roman" w:hAnsi="Times New Roman"/>
          <w:sz w:val="20"/>
        </w:rPr>
        <w:t xml:space="preserve">. When candidate moves are formatted as bare space-delimited text (`a7a5 b7b5`), the BPE vocabulary binds adjacent characters across tokens, generating non-existent coordinate subwords (`b72`, `e72-3`) and dropping legality to </w:t>
      </w:r>
      <w:r>
        <w:rPr>
          <w:rFonts w:ascii="Times New Roman" w:hAnsi="Times New Roman"/>
          <w:b/>
          <w:sz w:val="20"/>
        </w:rPr>
        <w:t>$73.3\%$</w:t>
      </w:r>
      <w:r>
        <w:rPr>
          <w:rFonts w:ascii="Times New Roman" w:hAnsi="Times New Roman"/>
          <w:sz w:val="20"/>
        </w:rPr>
        <w:t>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The Quoted Atomic Solution:</w:t>
      </w:r>
      <w:r>
        <w:rPr>
          <w:rFonts w:ascii="Times New Roman" w:hAnsi="Times New Roman"/>
          <w:sz w:val="20"/>
        </w:rPr>
        <w:t xml:space="preserve"> We prove that enclosing candidate moves in quotation delimiters (`"a7a5", "b7b5"`) inserts delimiter tokens (`token_id: 1`) that act as physical attention barriers in the transformer's self-attention matrix, forcing the tokenizer to process each move as an indivisible atomic entity and locking legality at </w:t>
      </w:r>
      <w:r>
        <w:rPr>
          <w:rFonts w:ascii="Times New Roman" w:hAnsi="Times New Roman"/>
          <w:b/>
          <w:sz w:val="20"/>
        </w:rPr>
        <w:t>$100.0\%$</w:t>
      </w:r>
      <w:r>
        <w:rPr>
          <w:rFonts w:ascii="Times New Roman" w:hAnsi="Times New Roman"/>
          <w:sz w:val="20"/>
        </w:rPr>
        <w:t>.</w:t>
      </w:r>
    </w:p>
    <w:p>
      <w:pPr>
        <w:spacing w:before="200" w:after="60"/>
      </w:pPr>
      <w:r>
        <w:rPr>
          <w:rFonts w:ascii="Times New Roman" w:hAnsi="Times New Roman"/>
          <w:b/>
          <w:color w:val="282828"/>
          <w:sz w:val="22"/>
        </w:rPr>
        <w:t>3. Positional Quality &amp; The "Survivorship Bias" Trap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Literature Anomaly:</w:t>
      </w:r>
      <w:r>
        <w:rPr>
          <w:rFonts w:ascii="Times New Roman" w:hAnsi="Times New Roman"/>
          <w:sz w:val="20"/>
        </w:rPr>
        <w:t xml:space="preserve"> Multiple benchmark studies have reported puzzlingly low error rates or high move agreement for greedy unconstrained models ($T=0.0 \text{–} 0.2$) during the opening phase.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Our Finding:</w:t>
      </w:r>
      <w:r>
        <w:rPr>
          <w:rFonts w:ascii="Times New Roman" w:hAnsi="Times New Roman"/>
          <w:sz w:val="20"/>
        </w:rPr>
        <w:t xml:space="preserve"> We are the first to formally diagnose and document this as </w:t>
      </w:r>
      <w:r>
        <w:rPr>
          <w:rFonts w:ascii="Times New Roman" w:hAnsi="Times New Roman"/>
          <w:b/>
          <w:sz w:val="20"/>
        </w:rPr>
        <w:t>Survivorship Bias in Centipawn Loss (ACPL)</w:t>
      </w:r>
      <w:r>
        <w:rPr>
          <w:rFonts w:ascii="Times New Roman" w:hAnsi="Times New Roman"/>
          <w:sz w:val="20"/>
        </w:rPr>
        <w:t>: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0"/>
        </w:rPr>
        <w:t>At $T=0.2$, unconstrained Llama 3.1 outputs memorized opening book theory (`e7e5` or `g8f6`) on Turn 1, scoring an apparent $\text{ACPL} = 14.3\text{ cp}$.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0"/>
        </w:rPr>
        <w:t>However, on Turn 2, the model generates an illegal move and immediately aborts the game in $76.7\%$ of trials.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0"/>
        </w:rPr>
        <w:t>Because Stockfish can only calculate ACPL on *legal* moves, the aggregate metric reflects only Turn 1!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0"/>
        </w:rPr>
        <w:t xml:space="preserve">When constrained decoding forces the model to play full 10-turn middlegame sequences, the model sustains an authentic </w:t>
      </w:r>
      <w:r>
        <w:rPr>
          <w:rFonts w:ascii="Times New Roman" w:hAnsi="Times New Roman"/>
          <w:b/>
          <w:sz w:val="20"/>
        </w:rPr>
        <w:t>$\text{ACPL} \approx 55.8\text{–}67.0\text{ cp}$</w:t>
      </w:r>
      <w:r>
        <w:rPr>
          <w:rFonts w:ascii="Times New Roman" w:hAnsi="Times New Roman"/>
          <w:sz w:val="20"/>
        </w:rPr>
        <w:t xml:space="preserve"> (equivalent to human club play, Elo ~1500–1700), compared to pure random play which blunders at $394.0\text{ cp}$.</w:t>
      </w:r>
    </w:p>
    <w:p>
      <w:pPr>
        <w:spacing w:before="200" w:after="60"/>
      </w:pPr>
      <w:r>
        <w:rPr>
          <w:rFonts w:ascii="Times New Roman" w:hAnsi="Times New Roman"/>
          <w:b/>
          <w:color w:val="282828"/>
          <w:sz w:val="22"/>
        </w:rPr>
        <w:t>4. Latency Decomposition &amp; Hardware Reality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Literature Gap:</w:t>
      </w:r>
      <w:r>
        <w:rPr>
          <w:rFonts w:ascii="Times New Roman" w:hAnsi="Times New Roman"/>
          <w:sz w:val="20"/>
        </w:rPr>
        <w:t xml:space="preserve"> Existing studies either rely on proprietary cloud APIs (where latency is obscured by network queues) or assume high-end multi-GPU server clusters ($8 \times \text{A100}$). None provide actionable latency profiles for consumer CPU deployments.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Our Finding:</w:t>
      </w:r>
      <w:r>
        <w:rPr>
          <w:rFonts w:ascii="Times New Roman" w:hAnsi="Times New Roman"/>
          <w:sz w:val="20"/>
        </w:rPr>
        <w:t xml:space="preserve"> We provide the first granular decomposition of local LLM inference latency:</w:t>
      </w:r>
    </w:p>
    <w:p>
      <w:pPr>
        <w:spacing w:after="60" w:line="276" w:lineRule="auto"/>
      </w:pPr>
      <w:r>
        <w:rPr>
          <w:rFonts w:ascii="Times New Roman" w:hAnsi="Times New Roman"/>
          <w:sz w:val="20"/>
        </w:rPr>
        <w:t xml:space="preserve">1. </w:t>
      </w:r>
      <w:r>
        <w:rPr>
          <w:rFonts w:ascii="Times New Roman" w:hAnsi="Times New Roman"/>
          <w:b/>
          <w:sz w:val="20"/>
        </w:rPr>
        <w:t>Cold-Start Disk I/O:</w:t>
      </w:r>
      <w:r>
        <w:rPr>
          <w:rFonts w:ascii="Times New Roman" w:hAnsi="Times New Roman"/>
          <w:sz w:val="20"/>
        </w:rPr>
        <w:t xml:space="preserve"> Initial model loading ($4.92\text{ GB}$ weights) incurs a $18.0\text{s} \text{–} 34.5\text{s}$ one-time penalty on Game 1.</w:t>
      </w:r>
    </w:p>
    <w:p>
      <w:pPr>
        <w:spacing w:after="60" w:line="276" w:lineRule="auto"/>
      </w:pPr>
      <w:r>
        <w:rPr>
          <w:rFonts w:ascii="Times New Roman" w:hAnsi="Times New Roman"/>
          <w:sz w:val="20"/>
        </w:rPr>
        <w:t xml:space="preserve">2. </w:t>
      </w:r>
      <w:r>
        <w:rPr>
          <w:rFonts w:ascii="Times New Roman" w:hAnsi="Times New Roman"/>
          <w:b/>
          <w:sz w:val="20"/>
        </w:rPr>
        <w:t>Fast Clamped Decoding:</w:t>
      </w:r>
      <w:r>
        <w:rPr>
          <w:rFonts w:ascii="Times New Roman" w:hAnsi="Times New Roman"/>
          <w:sz w:val="20"/>
        </w:rPr>
        <w:t xml:space="preserve"> Clamping output generation (`num_predict: 6` + stop tokens) eliminates conversational babbling, reducing steady-state per-turn latency from $11.8\text{s} \rightarrow \mathbf{792\text{ ms} \text{–} 1,119\text{ ms}}$ on commodity CPU hardware.</w:t>
      </w:r>
    </w:p>
    <w:p>
      <w:pPr>
        <w:spacing w:after="60" w:line="276" w:lineRule="auto"/>
      </w:pPr>
      <w:r>
        <w:rPr>
          <w:rFonts w:ascii="Times New Roman" w:hAnsi="Times New Roman"/>
          <w:sz w:val="20"/>
        </w:rPr>
        <w:t xml:space="preserve">3. </w:t>
      </w:r>
      <w:r>
        <w:rPr>
          <w:rFonts w:ascii="Times New Roman" w:hAnsi="Times New Roman"/>
          <w:b/>
          <w:sz w:val="20"/>
        </w:rPr>
        <w:t>Speculative Decoding Failure Mode:</w:t>
      </w:r>
      <w:r>
        <w:rPr>
          <w:rFonts w:ascii="Times New Roman" w:hAnsi="Times New Roman"/>
          <w:sz w:val="20"/>
        </w:rPr>
        <w:t xml:space="preserve"> We demonstrate that two-stage speculative retry creates an undesirable </w:t>
      </w:r>
      <w:r>
        <w:rPr>
          <w:rFonts w:ascii="Times New Roman" w:hAnsi="Times New Roman"/>
          <w:b/>
          <w:sz w:val="20"/>
        </w:rPr>
        <w:t>$11,006\text{ ms}$ $p95$ tail-latency spike</w:t>
      </w:r>
      <w:r>
        <w:rPr>
          <w:rFonts w:ascii="Times New Roman" w:hAnsi="Times New Roman"/>
          <w:sz w:val="20"/>
        </w:rPr>
        <w:t>, proving that Single-Stage Quoted Constrained Decoding is the optimal production architecture.</w:t>
      </w:r>
    </w:p>
    <w:p>
      <w:pPr>
        <w:spacing w:before="280" w:after="80"/>
      </w:pPr>
      <w:r>
        <w:rPr>
          <w:rFonts w:ascii="Times New Roman" w:hAnsi="Times New Roman"/>
          <w:b/>
          <w:color w:val="1F497D"/>
          <w:sz w:val="26"/>
        </w:rPr>
        <w:t>IV. Summary of Novel Academic Contributions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Research Question</w:t>
            </w:r>
          </w:p>
        </w:tc>
        <w:tc>
          <w:tcPr>
            <w:tcW w:type="dxa" w:w="3120"/>
            <w:vAlign w:val="center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Prior Literature Finding</w:t>
            </w:r>
          </w:p>
        </w:tc>
        <w:tc>
          <w:tcPr>
            <w:tcW w:type="dxa" w:w="3120"/>
            <w:vAlign w:val="center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This Work's Breakthrough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Can general LLMs play 100% legal chess?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No; unconstrained LLMs hit a $52\%$ ceiling (Saplin, 2024).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Yes; Prompt-Level Quoted Injection guarantees $100.0\%$ legality.</w:t>
            </w:r>
          </w:p>
        </w:tc>
      </w:tr>
      <w:tr>
        <w:tc>
          <w:tcPr>
            <w:tcW w:type="dxa" w:w="312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Why do space-separated move lists fail?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Unexplained; assumed general reasoning limit.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Proved BPE token boundary leakage; solved via quote delimiters.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Is low unconstrained opening ACPL real?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Reported as "strong opening knowledge."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Proved to be an artifact of Survivorship Bias from early aborts.</w:t>
            </w:r>
          </w:p>
        </w:tc>
      </w:tr>
      <w:tr>
        <w:tc>
          <w:tcPr>
            <w:tcW w:type="dxa" w:w="312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Can LLM chess run real-time on CPUs?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Assumed unviable without GPU clusters.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Achieved sub-second ($792\text{ms}$) steady-state CPU turn latency.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Times New Roman" w:hAnsi="Times New Roman"/>
          <w:b/>
          <w:color w:val="1F497D"/>
          <w:sz w:val="26"/>
        </w:rPr>
        <w:t>V. Complete Academic References</w:t>
      </w:r>
    </w:p>
    <w:p>
      <w:pPr>
        <w:spacing w:after="60" w:line="276" w:lineRule="auto"/>
      </w:pPr>
      <w:r>
        <w:rPr>
          <w:rFonts w:ascii="Times New Roman" w:hAnsi="Times New Roman"/>
          <w:sz w:val="20"/>
        </w:rPr>
        <w:t xml:space="preserve">1. </w:t>
      </w:r>
      <w:r>
        <w:rPr>
          <w:rFonts w:ascii="Times New Roman" w:hAnsi="Times New Roman"/>
          <w:b/>
          <w:sz w:val="20"/>
        </w:rPr>
        <w:t>Ruoss, A., Delétang, G., et al.</w:t>
      </w:r>
      <w:r>
        <w:rPr>
          <w:rFonts w:ascii="Times New Roman" w:hAnsi="Times New Roman"/>
          <w:sz w:val="20"/>
        </w:rPr>
        <w:t xml:space="preserve"> (2024). "Grandmaster-Level Chess Without Search." *Google DeepMind*, arXiv:2402.04494. (Presented at *NeurIPS 2024* as *Amortized Planning with Large-Scale Transformers*).</w:t>
      </w:r>
    </w:p>
    <w:p>
      <w:pPr>
        <w:spacing w:after="60" w:line="276" w:lineRule="auto"/>
      </w:pPr>
      <w:r>
        <w:rPr>
          <w:rFonts w:ascii="Times New Roman" w:hAnsi="Times New Roman"/>
          <w:sz w:val="20"/>
        </w:rPr>
        <w:t xml:space="preserve">2. </w:t>
      </w:r>
      <w:r>
        <w:rPr>
          <w:rFonts w:ascii="Times New Roman" w:hAnsi="Times New Roman"/>
          <w:b/>
          <w:sz w:val="20"/>
        </w:rPr>
        <w:t>Feng, X., Luo, W., et al.</w:t>
      </w:r>
      <w:r>
        <w:rPr>
          <w:rFonts w:ascii="Times New Roman" w:hAnsi="Times New Roman"/>
          <w:sz w:val="20"/>
        </w:rPr>
        <w:t xml:space="preserve"> (2023). "ChessGPT: Bridging Policy Learning and Language Modeling." *arXiv:2306.09200*.</w:t>
      </w:r>
    </w:p>
    <w:p>
      <w:pPr>
        <w:spacing w:after="60" w:line="276" w:lineRule="auto"/>
      </w:pPr>
      <w:r>
        <w:rPr>
          <w:rFonts w:ascii="Times New Roman" w:hAnsi="Times New Roman"/>
          <w:sz w:val="20"/>
        </w:rPr>
        <w:t xml:space="preserve">3. </w:t>
      </w:r>
      <w:r>
        <w:rPr>
          <w:rFonts w:ascii="Times New Roman" w:hAnsi="Times New Roman"/>
          <w:b/>
          <w:sz w:val="20"/>
        </w:rPr>
        <w:t>Banjade, S.</w:t>
      </w:r>
      <w:r>
        <w:rPr>
          <w:rFonts w:ascii="Times New Roman" w:hAnsi="Times New Roman"/>
          <w:sz w:val="20"/>
        </w:rPr>
        <w:t xml:space="preserve"> (2026). "Can LLMs Play Chess? Rethinking Evaluation via Constrained-Index Move Selection." *ResearchGate / FoRLM Workshop*.</w:t>
      </w:r>
    </w:p>
    <w:p>
      <w:pPr>
        <w:spacing w:after="60" w:line="276" w:lineRule="auto"/>
      </w:pPr>
      <w:r>
        <w:rPr>
          <w:rFonts w:ascii="Times New Roman" w:hAnsi="Times New Roman"/>
          <w:sz w:val="20"/>
        </w:rPr>
        <w:t xml:space="preserve">4. </w:t>
      </w:r>
      <w:r>
        <w:rPr>
          <w:rFonts w:ascii="Times New Roman" w:hAnsi="Times New Roman"/>
          <w:b/>
          <w:sz w:val="20"/>
        </w:rPr>
        <w:t>Saplin, M.</w:t>
      </w:r>
      <w:r>
        <w:rPr>
          <w:rFonts w:ascii="Times New Roman" w:hAnsi="Times New Roman"/>
          <w:sz w:val="20"/>
        </w:rPr>
        <w:t xml:space="preserve"> (2024). "LLM Chess Benchmark: Evaluating Large Language Models in Agentic Game Scenarios." *GitHub &amp; NeurIPS FoRLM*.</w:t>
      </w:r>
    </w:p>
    <w:p>
      <w:pPr>
        <w:spacing w:after="60" w:line="276" w:lineRule="auto"/>
      </w:pPr>
      <w:r>
        <w:rPr>
          <w:rFonts w:ascii="Times New Roman" w:hAnsi="Times New Roman"/>
          <w:sz w:val="20"/>
        </w:rPr>
        <w:t xml:space="preserve">5. </w:t>
      </w:r>
      <w:r>
        <w:rPr>
          <w:rFonts w:ascii="Times New Roman" w:hAnsi="Times New Roman"/>
          <w:b/>
          <w:sz w:val="20"/>
        </w:rPr>
        <w:t>Li, K., Hopkins, A. K., et al.</w:t>
      </w:r>
      <w:r>
        <w:rPr>
          <w:rFonts w:ascii="Times New Roman" w:hAnsi="Times New Roman"/>
          <w:sz w:val="20"/>
        </w:rPr>
        <w:t xml:space="preserve"> (2023). "Emergent World Representations: Exploring a Sequence Model Trained on a Synthetic Task." *International Conference on Learning Representations (ICLR 2023)*.</w:t>
      </w:r>
    </w:p>
    <w:p>
      <w:pPr>
        <w:spacing w:after="100" w:line="276" w:lineRule="auto"/>
      </w:pPr>
      <w:r>
        <w:rPr>
          <w:rFonts w:ascii="Times New Roman" w:hAnsi="Times New Roman"/>
          <w:sz w:val="20"/>
        </w:rPr>
        <w:t xml:space="preserve">6. </w:t>
      </w:r>
      <w:r>
        <w:rPr>
          <w:rFonts w:ascii="Times New Roman" w:hAnsi="Times New Roman"/>
          <w:b/>
          <w:sz w:val="20"/>
        </w:rPr>
        <w:t>Toshniwal, S., et al.</w:t>
      </w:r>
      <w:r>
        <w:rPr>
          <w:rFonts w:ascii="Times New Roman" w:hAnsi="Times New Roman"/>
          <w:sz w:val="20"/>
        </w:rPr>
        <w:t xml:space="preserve"> (2022). "Chess as a Testbed for Language Model State Tracking and Representation." </w:t>
      </w:r>
      <w:r>
        <w:rPr>
          <w:rFonts w:ascii="Times New Roman" w:hAnsi="Times New Roman"/>
          <w:i/>
          <w:sz w:val="20"/>
        </w:rPr>
        <w:t>arXiv:2209.08535</w:t>
      </w:r>
      <w:r>
        <w:rPr>
          <w:rFonts w:ascii="Times New Roman" w:hAnsi="Times New Roman"/>
          <w:sz w:val="20"/>
        </w:rPr>
        <w:t>.</w:t>
      </w:r>
    </w:p>
    <w:p>
      <w:pPr>
        <w:spacing w:after="100" w:line="276" w:lineRule="auto"/>
      </w:pPr>
      <w:r>
        <w:rPr>
          <w:rFonts w:ascii="Times New Roman" w:hAnsi="Times New Roman"/>
          <w:sz w:val="20"/>
        </w:rPr>
        <w:t xml:space="preserve">7. </w:t>
      </w:r>
      <w:r>
        <w:rPr>
          <w:rFonts w:ascii="Times New Roman" w:hAnsi="Times New Roman"/>
          <w:b/>
          <w:sz w:val="20"/>
        </w:rPr>
        <w:t>Stockl, K.</w:t>
      </w:r>
      <w:r>
        <w:rPr>
          <w:rFonts w:ascii="Times New Roman" w:hAnsi="Times New Roman"/>
          <w:sz w:val="20"/>
        </w:rPr>
        <w:t xml:space="preserve"> (2021). "Evaluating Large Language Models on Chess Playing Competence." </w:t>
      </w:r>
      <w:r>
        <w:rPr>
          <w:rFonts w:ascii="Times New Roman" w:hAnsi="Times New Roman"/>
          <w:i/>
          <w:sz w:val="20"/>
        </w:rPr>
        <w:t>University of Cambridge Research Repository</w:t>
      </w:r>
      <w:r>
        <w:rPr>
          <w:rFonts w:ascii="Times New Roman" w:hAnsi="Times New Roman"/>
          <w:sz w:val="20"/>
        </w:rPr>
        <w:t>.</w:t>
      </w:r>
    </w:p>
    <w:p>
      <w:pPr>
        <w:spacing w:after="100" w:line="276" w:lineRule="auto"/>
      </w:pPr>
      <w:r>
        <w:rPr>
          <w:rFonts w:ascii="Times New Roman" w:hAnsi="Times New Roman"/>
          <w:sz w:val="20"/>
        </w:rPr>
        <w:t xml:space="preserve">8. </w:t>
      </w:r>
      <w:r>
        <w:rPr>
          <w:rFonts w:ascii="Times New Roman" w:hAnsi="Times New Roman"/>
          <w:b/>
          <w:sz w:val="20"/>
        </w:rPr>
        <w:t>Ugur, A., et al.</w:t>
      </w:r>
      <w:r>
        <w:rPr>
          <w:rFonts w:ascii="Times New Roman" w:hAnsi="Times New Roman"/>
          <w:sz w:val="20"/>
        </w:rPr>
        <w:t xml:space="preserve"> (2024). "SynCode: Grammar-Augmented LLM Generation via Syntactic LR Parsing." </w:t>
      </w:r>
      <w:r>
        <w:rPr>
          <w:rFonts w:ascii="Times New Roman" w:hAnsi="Times New Roman"/>
          <w:i/>
          <w:sz w:val="20"/>
        </w:rPr>
        <w:t>arXiv:2403.01632</w:t>
      </w:r>
      <w:r>
        <w:rPr>
          <w:rFonts w:ascii="Times New Roman" w:hAnsi="Times New Roman"/>
          <w:sz w:val="20"/>
        </w:rPr>
        <w:t>.</w:t>
      </w:r>
    </w:p>
    <w:p>
      <w:pPr>
        <w:spacing w:after="100" w:line="276" w:lineRule="auto"/>
      </w:pPr>
      <w:r>
        <w:rPr>
          <w:rFonts w:ascii="Times New Roman" w:hAnsi="Times New Roman"/>
          <w:sz w:val="20"/>
        </w:rPr>
        <w:t xml:space="preserve">9. </w:t>
      </w:r>
      <w:r>
        <w:rPr>
          <w:rFonts w:ascii="Times New Roman" w:hAnsi="Times New Roman"/>
          <w:b/>
          <w:sz w:val="20"/>
        </w:rPr>
        <w:t>Willard, B. T., &amp; Louf, R.</w:t>
      </w:r>
      <w:r>
        <w:rPr>
          <w:rFonts w:ascii="Times New Roman" w:hAnsi="Times New Roman"/>
          <w:sz w:val="20"/>
        </w:rPr>
        <w:t xml:space="preserve"> (2023). "Outlines: Fast and Deterministic Structured Generation." </w:t>
      </w:r>
      <w:r>
        <w:rPr>
          <w:rFonts w:ascii="Times New Roman" w:hAnsi="Times New Roman"/>
          <w:i/>
          <w:sz w:val="20"/>
        </w:rPr>
        <w:t>dottxt Technical Report</w:t>
      </w:r>
      <w:r>
        <w:rPr>
          <w:rFonts w:ascii="Times New Roman" w:hAnsi="Times New Roman"/>
          <w:sz w:val="20"/>
        </w:rPr>
        <w:t>.</w:t>
      </w:r>
    </w:p>
    <w:p>
      <w:pPr>
        <w:spacing w:after="100" w:line="276" w:lineRule="auto"/>
      </w:pPr>
      <w:r>
        <w:rPr>
          <w:rFonts w:ascii="Times New Roman" w:hAnsi="Times New Roman"/>
          <w:sz w:val="20"/>
        </w:rPr>
        <w:t xml:space="preserve">10. </w:t>
      </w:r>
      <w:r>
        <w:rPr>
          <w:rFonts w:ascii="Times New Roman" w:hAnsi="Times New Roman"/>
          <w:b/>
          <w:sz w:val="20"/>
        </w:rPr>
        <w:t>Allbert, R.</w:t>
      </w:r>
      <w:r>
        <w:rPr>
          <w:rFonts w:ascii="Times New Roman" w:hAnsi="Times New Roman"/>
          <w:sz w:val="20"/>
        </w:rPr>
        <w:t xml:space="preserve"> (2013). "VICE: Video Instructions Chess Engine." </w:t>
      </w:r>
      <w:r>
        <w:rPr>
          <w:rFonts w:ascii="Times New Roman" w:hAnsi="Times New Roman"/>
          <w:i/>
          <w:sz w:val="20"/>
        </w:rPr>
        <w:t>Bluefever Software</w:t>
      </w:r>
      <w:r>
        <w:rPr>
          <w:rFonts w:ascii="Times New Roman" w:hAnsi="Times New Roman"/>
          <w:sz w:val="20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