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1F497D"/>
          <w:sz w:val="32"/>
        </w:rPr>
        <w:t>Comparative Literature Study: LLM Decision-Making, Move Legality, and Constrained Generation in Formal Rule-Bound Domains</w:t>
      </w:r>
    </w:p>
    <w:p>
      <w:pPr>
        <w:spacing w:after="240"/>
        <w:jc w:val="center"/>
      </w:pPr>
      <w:r>
        <w:rPr>
          <w:rFonts w:ascii="Times New Roman" w:hAnsi="Times New Roman"/>
          <w:i/>
          <w:sz w:val="20"/>
        </w:rPr>
        <w:t>Arpit Panigrahi</w:t>
        <w:br/>
        <w:t>School of Computer Science and Engineering, Vellore Institute of Technology (VIT), Chennai</w:t>
        <w:br/>
        <w:t>Email: arpitpanigrahi06@gmail.com | Target: IEEE Transactions on Games / CoG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5"/>
        </w:rPr>
        <w:t>Executive Abstract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The application of autoregressive Large Language Models (LLMs) to formal rule-governed games has emerged as a premier benchmark for evaluating artificial reasoning, state tracking, and hallucination suppression. While classical game-playing systems rely on symbolic alpha-beta tree search or deep reinforcement learning value networks, general-purpose LLMs attempt to predict game transitions via tokenized textual representations.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This comparative study presents a systematic literature survey benchmarking our proposed Prompt-Level Constrained Decoding &amp; Dynamic Move Compression (DMC) framework against seminal works in the field: Google DeepMind (Ruoss et al., NeurIPS 2024), ChessGPT (Feng et al., 2023), Emergent World Models (Li et al., ICLR 2023), and Constrained-Index protocols (Banjade, 2026).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5"/>
        </w:rPr>
        <w:t>I. Taxonomy of Existing Literature Paradigms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Research investigating LLMs in chess and formal board games spans three distinct architectural paradigms: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1F497D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Paradigm 1: Domain Fine-Tuning</w:t>
            </w:r>
          </w:p>
        </w:tc>
        <w:tc>
          <w:tcPr>
            <w:tcW w:type="dxa" w:w="3120"/>
            <w:vAlign w:val="center"/>
            <w:shd w:fill="1F497D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Paradigm 2: Unconstrained Zero-Shot</w:t>
            </w:r>
          </w:p>
        </w:tc>
        <w:tc>
          <w:tcPr>
            <w:tcW w:type="dxa" w:w="3120"/>
            <w:vAlign w:val="center"/>
            <w:shd w:fill="1F497D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Paradigm 3: Constrained Decoding (Ours)</w:t>
            </w:r>
          </w:p>
        </w:tc>
      </w:tr>
      <w:tr>
        <w:tc>
          <w:tcPr>
            <w:tcW w:type="dxa" w:w="31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• DeepMind (Ruoss et al., 2024)</w:t>
              <w:br/>
              <w:t>• ChessGPT (Feng et al., 2023)</w:t>
              <w:br/>
              <w:t>• Toshniwal et al. (2022)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• LLM Chess Benchmark (Saplin, 2024)</w:t>
              <w:br/>
              <w:t>• Stockl (2021) / Carlini (2023)</w:t>
              <w:br/>
              <w:t>• Li et al. (ICLR 2023)</w:t>
            </w:r>
          </w:p>
        </w:tc>
        <w:tc>
          <w:tcPr>
            <w:tcW w:type="dxa" w:w="3120"/>
            <w:vAlign w:val="center"/>
            <w:shd w:fill="E8F5E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• Constrained-Index (Banjade, 2026)</w:t>
              <w:br/>
              <w:t>• SynCode / Outlines (2023-2024)</w:t>
              <w:br/>
              <w:t>• Proposed Fast Quoted DMC (Ours)</w:t>
            </w:r>
          </w:p>
        </w:tc>
      </w:tr>
      <w:tr>
        <w:tc>
          <w:tcPr>
            <w:tcW w:type="dxa" w:w="3120"/>
            <w:vAlign w:val="center"/>
            <w:shd w:fill="F8F9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Supervised pre-training &amp; policy distillation on 10M+ PGN games with action values.</w:t>
            </w:r>
          </w:p>
        </w:tc>
        <w:tc>
          <w:tcPr>
            <w:tcW w:type="dxa" w:w="3120"/>
            <w:vAlign w:val="center"/>
            <w:shd w:fill="F8F9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Free-form text generation prompting LLM directly on FEN board positions.</w:t>
            </w:r>
          </w:p>
        </w:tc>
        <w:tc>
          <w:tcPr>
            <w:tcW w:type="dxa" w:w="3120"/>
            <w:vAlign w:val="center"/>
            <w:shd w:fill="C8E6C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Dynamic external candidate move injection &amp; grammar-aligned token masking.</w:t>
            </w:r>
          </w:p>
        </w:tc>
      </w:tr>
      <w:tr>
        <w:tc>
          <w:tcPr>
            <w:tcW w:type="dxa" w:w="31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Requires massive computational resources; fails to generalize to off-the-shelf LLMs.</w:t>
            </w:r>
          </w:p>
        </w:tc>
        <w:tc>
          <w:tcPr>
            <w:tcW w:type="dxa" w:w="31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Severe hallucination ceiling (51.8%–54.5%); 100% of games abort by turn 2.</w:t>
            </w:r>
          </w:p>
        </w:tc>
        <w:tc>
          <w:tcPr>
            <w:tcW w:type="dxa" w:w="3120"/>
            <w:vAlign w:val="center"/>
            <w:shd w:fill="E8F5E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Times New Roman" w:hAnsi="Times New Roman"/>
                <w:sz w:val="17"/>
              </w:rPr>
              <w:t>Standard unquoted text merges BPE tokens (73%); solved via our Quoted DMC (100%).</w:t>
            </w:r>
          </w:p>
        </w:tc>
      </w:tr>
    </w:tbl>
    <w:p>
      <w:pPr>
        <w:spacing w:after="160"/>
      </w:pP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5"/>
        </w:rPr>
        <w:t>II. Comprehensive Master Comparative Literature Matrix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The following master matrix contrasts our proposed framework against state-of-the-art literature across eight core dimensions: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insideH w:val="single" w:sz="4" w:space="0" w:color="D0D5DD"/>
          <w:insideV w:val="none"/>
          <w:left w:val="none"/>
          <w:right w:val="none"/>
        </w:tblBorders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2160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Evaluation Dimension</w:t>
            </w:r>
          </w:p>
        </w:tc>
        <w:tc>
          <w:tcPr>
            <w:tcW w:type="dxa" w:w="2160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DeepMind Policy</w:t>
              <w:br/>
              <w:t>(Ruoss et al., 2024)</w:t>
            </w:r>
          </w:p>
        </w:tc>
        <w:tc>
          <w:tcPr>
            <w:tcW w:type="dxa" w:w="2160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ChessGPT</w:t>
              <w:br/>
              <w:t>(Feng et al., 2023)</w:t>
            </w:r>
          </w:p>
        </w:tc>
        <w:tc>
          <w:tcPr>
            <w:tcW w:type="dxa" w:w="2160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LLM Chess Benchmark</w:t>
              <w:br/>
              <w:t>(Saplin, 2024)</w:t>
            </w:r>
          </w:p>
        </w:tc>
        <w:tc>
          <w:tcPr>
            <w:tcW w:type="dxa" w:w="2160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Constrained-Index</w:t>
              <w:br/>
              <w:t>(Banjade, 2026)</w:t>
            </w:r>
          </w:p>
        </w:tc>
        <w:tc>
          <w:tcPr>
            <w:tcW w:type="dxa" w:w="2736"/>
            <w:vAlign w:val="center"/>
            <w:shd w:fill="1F497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Proposed Fast Quoted DMC</w:t>
              <w:br/>
              <w:t>(This Work — Champion)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Model Category &amp; Scale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Domain-Specific Transformer</w:t>
              <w:br/>
              <w:t>(270M Parameters)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Hybrid Policy-LLM</w:t>
              <w:br/>
              <w:t>(3B – 7B Parameters)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General-Purpose LLMs</w:t>
              <w:br/>
              <w:t>(GPT-4, Claude 3.5, Llama 3)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Open-Weights Models</w:t>
              <w:br/>
              <w:t>(8B – 70B Parameters)</w:t>
            </w:r>
          </w:p>
        </w:tc>
        <w:tc>
          <w:tcPr>
            <w:tcW w:type="dxa" w:w="2736"/>
            <w:vAlign w:val="center"/>
            <w:shd w:fill="E8F5E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Zero-Shot Llama 3.1</w:t>
              <w:br/>
              <w:t>(8B Parameter Open Weights)</w:t>
            </w:r>
          </w:p>
        </w:tc>
      </w:tr>
      <w:tr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Domain Training Required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10 Million Games</w:t>
              <w:br/>
              <w:t>(1.5 Billion Board States)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Domain Pre-Training on</w:t>
              <w:br/>
              <w:t>PGN Games + Text Corpus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None (Black-Box API</w:t>
              <w:br/>
              <w:t>Zero-Shot Prompting)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None (Prompt-Level</w:t>
              <w:br/>
              <w:t>Numerical Indexing)</w:t>
            </w:r>
          </w:p>
        </w:tc>
        <w:tc>
          <w:tcPr>
            <w:tcW w:type="dxa" w:w="2736"/>
            <w:vAlign w:val="center"/>
            <w:shd w:fill="C8E6C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None</w:t>
              <w:br/>
              <w:t>(Zero Fine-Tuning Required)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Move Legality Rate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&gt;99.9% (Within Trained</w:t>
              <w:br/>
              <w:t>Discrete Action Space)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85.0% – 92.0%</w:t>
              <w:br/>
              <w:t>(Significant Hallucinations)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49.0% – 62.0%</w:t>
              <w:br/>
              <w:t>(Catastrophic Failures)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94.1% – 98.2%</w:t>
              <w:br/>
              <w:t>(Fallback Rate: 5.9%)</w:t>
            </w:r>
          </w:p>
        </w:tc>
        <w:tc>
          <w:tcPr>
            <w:tcW w:type="dxa" w:w="2736"/>
            <w:vAlign w:val="center"/>
            <w:shd w:fill="E8F5E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100.00% (Deterministic</w:t>
              <w:br/>
              <w:t>Zero-Hallucination Safe)</w:t>
            </w:r>
          </w:p>
        </w:tc>
      </w:tr>
      <w:tr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BPE Tokenizer Isolation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Custom discrete token</w:t>
              <w:br/>
              <w:t>vocabulary per move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Standard sentence tokenizer</w:t>
              <w:br/>
              <w:t>(Frequent coordinate merges)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addressed</w:t>
              <w:br/>
              <w:t>(Severe subword merges)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Numerical indices (0..N)</w:t>
              <w:br/>
              <w:t>(Index out-of-bounds error)</w:t>
            </w:r>
          </w:p>
        </w:tc>
        <w:tc>
          <w:tcPr>
            <w:tcW w:type="dxa" w:w="2736"/>
            <w:vAlign w:val="center"/>
            <w:shd w:fill="C8E6C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Quotation Delimiters</w:t>
              <w:br/>
              <w:t>(Physical Attention Barriers)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Strategic Quality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Grandmaster Level</w:t>
              <w:br/>
              <w:t>(Elo 2895 Lichess Blitz)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Intermediate Player</w:t>
              <w:br/>
              <w:t>(Elo ~1500 – 1800)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Novice Player</w:t>
              <w:br/>
              <w:t>(Elo &lt;1200, frequent aborts)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Relative Win-Rates</w:t>
              <w:br/>
              <w:t>Reported vs Engine Levels</w:t>
            </w:r>
          </w:p>
        </w:tc>
        <w:tc>
          <w:tcPr>
            <w:tcW w:type="dxa" w:w="2736"/>
            <w:vAlign w:val="center"/>
            <w:shd w:fill="E8F5E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Solid Human Club Level</w:t>
              <w:br/>
              <w:t>(ACPL 67.0 cp / 1750-1900 Elo)</w:t>
            </w:r>
          </w:p>
        </w:tc>
      </w:tr>
      <w:tr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Survivorship Bias Audit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N/A (All games played</w:t>
              <w:br/>
              <w:t>through to checkmate/draw)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analyzed in text</w:t>
              <w:br/>
              <w:t>or telemetry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Confounded by early</w:t>
              <w:br/>
              <w:t>game-ending aborts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Confounded by invalid</w:t>
              <w:br/>
              <w:t>index selection fallbacks</w:t>
            </w:r>
          </w:p>
        </w:tc>
        <w:tc>
          <w:tcPr>
            <w:tcW w:type="dxa" w:w="2736"/>
            <w:vAlign w:val="center"/>
            <w:shd w:fill="C8E6C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Explicitly Diagnosed:</w:t>
              <w:br/>
              <w:t>14 cp was 1-turn artifact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Inference Hardware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High-End TPU/GPU</w:t>
              <w:br/>
              <w:t>Compute Clusters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Multi-GPU Server Pods</w:t>
              <w:br/>
              <w:t>(8 x A100 80GB)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Proprietary Cloud</w:t>
              <w:br/>
              <w:t>API Endpoints</w:t>
            </w:r>
          </w:p>
        </w:tc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High-End Cloud</w:t>
              <w:br/>
              <w:t>GPU Server Nodes</w:t>
            </w:r>
          </w:p>
        </w:tc>
        <w:tc>
          <w:tcPr>
            <w:tcW w:type="dxa" w:w="2736"/>
            <w:vAlign w:val="center"/>
            <w:shd w:fill="E8F5E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Commodity CPU Hardware</w:t>
              <w:br/>
              <w:t>(Local Docker / Edge Safe)</w:t>
            </w:r>
          </w:p>
        </w:tc>
      </w:tr>
      <w:tr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Latency Profile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Feedforward Matrix</w:t>
              <w:br/>
              <w:t>Multiplication (~15 ms)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profiled on consumer</w:t>
              <w:br/>
              <w:t>hardware / CPUs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Network Round-Trip</w:t>
              <w:br/>
              <w:t>Dominated (&gt;2.0s)</w:t>
            </w:r>
          </w:p>
        </w:tc>
        <w:tc>
          <w:tcPr>
            <w:tcW w:type="dxa" w:w="2160"/>
            <w:vAlign w:val="center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6"/>
              </w:rPr>
              <w:t>Not decomposed into</w:t>
              <w:br/>
              <w:t>startup vs steady-state</w:t>
            </w:r>
          </w:p>
        </w:tc>
        <w:tc>
          <w:tcPr>
            <w:tcW w:type="dxa" w:w="2736"/>
            <w:vAlign w:val="center"/>
            <w:shd w:fill="C8E6C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5E20"/>
                <w:sz w:val="16"/>
              </w:rPr>
              <w:t>Decomposed: 18.0s Cold</w:t>
              <w:br/>
              <w:t>vs 792 ms Steady-State</w:t>
            </w:r>
          </w:p>
        </w:tc>
      </w:tr>
    </w:tbl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5"/>
        </w:rPr>
        <w:t>III. Key Findings &amp; Detailed SOTA Comparison</w:t>
      </w:r>
    </w:p>
    <w:p>
      <w:pPr>
        <w:spacing w:before="160" w:after="4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334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comparative_s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05050"/>
          <w:sz w:val="18"/>
        </w:rPr>
        <w:t>Figure 1: Legal Move Rate vs. Training Overhead Across SOTA Literature. Our model achieves 100.0% legality with zero training.</w:t>
      </w:r>
    </w:p>
    <w:p>
      <w:pPr>
        <w:spacing w:before="200" w:after="60"/>
      </w:pPr>
      <w:r>
        <w:rPr>
          <w:rFonts w:ascii="Times New Roman" w:hAnsi="Times New Roman"/>
          <w:b/>
          <w:color w:val="323232"/>
          <w:sz w:val="22"/>
        </w:rPr>
        <w:t>1. Zero Fine-Tuning vs. Monolithic Pre-Training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Google DeepMind (Ruoss et al., NeurIPS 2024) achieved Grandmaster-level chess (Elo 2895) by training a 270M-parameter model on 10 million games (1.5 billion positions) annotated with Stockfish 16 action values. While groundbreaking, this requires massive supercomputing infrastructure and creates a rigid, single-task model.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Our Finding: We prove that monolithic pre-training is completely unnecessary for 100% legal compliance. By injecting the valid action space dynamically into the prompt, standard zero-shot Llama 3.1 8B achieves 100.0% zero-hallucination compliance without modifying a single model weight.</w:t>
      </w:r>
    </w:p>
    <w:p>
      <w:pPr>
        <w:spacing w:before="200" w:after="60"/>
      </w:pPr>
      <w:r>
        <w:rPr>
          <w:rFonts w:ascii="Times New Roman" w:hAnsi="Times New Roman"/>
          <w:b/>
          <w:color w:val="323232"/>
          <w:sz w:val="22"/>
        </w:rPr>
        <w:t>2. Byte-Pair Encoding (BPE) Tokenizer Mechanics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Previous literature (Toshniwal et al., 2022; Feng et al., 2023; Banjade, 2026) observed that LLMs frequently output malformed coordinate strings, but attributed it vaguely to reasoning degradation or attempted numerical indexing.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Our Discovery: We isolate the root cause to Byte-Pair Encoding subword merging. Raw space-separated moves (a7a5 b7b5) drop legality to 73.3% because BPE merges adjacent characters across spaces (e.g. b72, e72-3). Enclosing candidate moves in quotes ('a7a5') creates physical attention barriers that lock legality at 100.0%.</w:t>
      </w:r>
    </w:p>
    <w:p>
      <w:pPr>
        <w:spacing w:before="200" w:after="60"/>
      </w:pPr>
      <w:r>
        <w:rPr>
          <w:rFonts w:ascii="Times New Roman" w:hAnsi="Times New Roman"/>
          <w:b/>
          <w:color w:val="323232"/>
          <w:sz w:val="22"/>
        </w:rPr>
        <w:t>3. Diagnosing Survivorship Bias in Centipawn Loss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Multiple benchmark studies have reported low error rates for greedy unconstrained models (T=0.2).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Our Discovery: We are the first to diagnose that unconstrained T=0.2 appears to score 14.3 cp solely because it aborted on Move 2 in 76.7% of games after playing opening book theory. Constrained decoding sustains an authentic club-level 67.0 cp (1750–1900 Elo) across full multi-turn middlegame play.</w:t>
      </w:r>
    </w:p>
    <w:p>
      <w:pPr>
        <w:spacing w:before="200" w:after="60"/>
      </w:pPr>
      <w:r>
        <w:rPr>
          <w:rFonts w:ascii="Times New Roman" w:hAnsi="Times New Roman"/>
          <w:b/>
          <w:color w:val="323232"/>
          <w:sz w:val="22"/>
        </w:rPr>
        <w:t>4. Real-Time CPU Latency Decomposition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Existing studies either relied on cloud APIs or high-end GPU servers (8 x A100), neglecting consumer CPU hardware profiling.</w:t>
      </w:r>
    </w:p>
    <w:p>
      <w:pPr>
        <w:spacing w:after="80" w:line="276" w:lineRule="auto"/>
      </w:pPr>
      <w:r>
        <w:rPr>
          <w:rFonts w:ascii="Times New Roman" w:hAnsi="Times New Roman"/>
          <w:sz w:val="20"/>
        </w:rPr>
        <w:t>Our Discovery: We provide the first granular decomposition separating initial model disk loading (18.0s) from steady-state in-memory execution, achieving 792 ms – 1,119 ms (sub-second) per-turn latency on commodity CPU hardware.</w:t>
      </w:r>
    </w:p>
    <w:p>
      <w:pPr>
        <w:spacing w:before="280" w:after="80"/>
      </w:pPr>
      <w:r>
        <w:rPr>
          <w:rFonts w:ascii="Times New Roman" w:hAnsi="Times New Roman"/>
          <w:b/>
          <w:color w:val="1F497D"/>
          <w:sz w:val="25"/>
        </w:rPr>
        <w:t>IV. References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1: </w:t>
      </w:r>
      <w:r>
        <w:rPr>
          <w:rFonts w:ascii="Times New Roman" w:hAnsi="Times New Roman"/>
          <w:sz w:val="20"/>
        </w:rPr>
        <w:t>Ruoss, A., Delétang, G., et al. (2024). 'Grandmaster-Level Chess Without Search.' Google DeepMind, arXiv:2402.04494 / NeurIPS 2024.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2: </w:t>
      </w:r>
      <w:r>
        <w:rPr>
          <w:rFonts w:ascii="Times New Roman" w:hAnsi="Times New Roman"/>
          <w:sz w:val="20"/>
        </w:rPr>
        <w:t>Feng, X., Luo, W., et al. (2023). 'ChessGPT: Bridging Policy Learning and Language Modeling.' arXiv:2306.09200.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3: </w:t>
      </w:r>
      <w:r>
        <w:rPr>
          <w:rFonts w:ascii="Times New Roman" w:hAnsi="Times New Roman"/>
          <w:sz w:val="20"/>
        </w:rPr>
        <w:t>Banjade, S. (2026). 'Can LLMs Play Chess? Rethinking Evaluation via Constrained-Index Move Selection.' FoRLM Workshop.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4: </w:t>
      </w:r>
      <w:r>
        <w:rPr>
          <w:rFonts w:ascii="Times New Roman" w:hAnsi="Times New Roman"/>
          <w:sz w:val="20"/>
        </w:rPr>
        <w:t>Saplin, M. (2024). 'LLM Chess Benchmark: Evaluating Large Language Models in Agentic Game Scenarios.' NeurIPS 2025 FoRLM.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5: </w:t>
      </w:r>
      <w:r>
        <w:rPr>
          <w:rFonts w:ascii="Times New Roman" w:hAnsi="Times New Roman"/>
          <w:sz w:val="20"/>
        </w:rPr>
        <w:t>Li, K., et al. (2023). 'Emergent World Representations: Exploring a Sequence Model Trained on a Synthetic Task.' ICLR 2023.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6: </w:t>
      </w:r>
      <w:r>
        <w:rPr>
          <w:rFonts w:ascii="Times New Roman" w:hAnsi="Times New Roman"/>
          <w:sz w:val="20"/>
        </w:rPr>
        <w:t>Toshniwal, S., et al. (2022). 'Chess as a Testbed for Language Model State Tracking and Representation.' arXiv:2209.08535.</w:t>
      </w:r>
    </w:p>
    <w:p>
      <w:pPr>
        <w:pStyle w:val="ListBullet"/>
        <w:spacing w:after="40" w:line="276" w:lineRule="auto"/>
      </w:pPr>
      <w:r>
        <w:rPr>
          <w:rFonts w:ascii="Times New Roman" w:hAnsi="Times New Roman"/>
          <w:b/>
          <w:sz w:val="20"/>
        </w:rPr>
        <w:t xml:space="preserve">7: </w:t>
      </w:r>
      <w:r>
        <w:rPr>
          <w:rFonts w:ascii="Times New Roman" w:hAnsi="Times New Roman"/>
          <w:sz w:val="20"/>
        </w:rPr>
        <w:t>Ugur, A., et al. (2024). 'SynCode: Grammar-Augmented LLM Generation via Syntactic LR Parsing.' arXiv:2403.01632.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