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97D"/>
          <w:sz w:val="32"/>
        </w:rPr>
        <w:t>Comparative Literature Study: LLM Decision-Making, Move Legality, and Constrained Generation in Formal Rule-Bound Domains</w:t>
      </w:r>
    </w:p>
    <w:p>
      <w:pPr>
        <w:jc w:val="center"/>
      </w:pPr>
      <w:r>
        <w:rPr>
          <w:rFonts w:ascii="Times New Roman" w:hAnsi="Times New Roman"/>
          <w:i/>
          <w:sz w:val="20"/>
        </w:rPr>
        <w:t>Arpit Panigrahi</w:t>
        <w:br/>
        <w:t>School of Computer Science and Engineering</w:t>
        <w:br/>
        <w:t>Vellore Institute of Technology (VIT), Chennai, Tamil Nadu, India</w:t>
        <w:br/>
        <w:t>Email: arpitpanigrahi06@gmail.com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Executive Abstract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This comparative study presents a systematic literature survey benchmarking our proposed Prompt-Level Constrained Decoding &amp; Dynamic Move Compression (DMC) framework against seminal works in the field: Google DeepMind (Ruoss et al., NeurIPS 2024), ChessGPT (Feng et al., 2023), Emergent World Models (Li et al., ICLR 2023), and Constrained-Index protocols (Banjade, 2026).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Master Comparative Literature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shd w:fill="1F497D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1560"/>
            <w:vAlign w:val="center"/>
            <w:shd w:fill="1F497D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DeepMind (Ruoss, 2024)</w:t>
            </w:r>
          </w:p>
        </w:tc>
        <w:tc>
          <w:tcPr>
            <w:tcW w:type="dxa" w:w="1560"/>
            <w:vAlign w:val="center"/>
            <w:shd w:fill="1F497D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ChessGPT (Feng, 2023)</w:t>
            </w:r>
          </w:p>
        </w:tc>
        <w:tc>
          <w:tcPr>
            <w:tcW w:type="dxa" w:w="1560"/>
            <w:vAlign w:val="center"/>
            <w:shd w:fill="1F497D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LLM Chess (Saplin, 2024)</w:t>
            </w:r>
          </w:p>
        </w:tc>
        <w:tc>
          <w:tcPr>
            <w:tcW w:type="dxa" w:w="1560"/>
            <w:vAlign w:val="center"/>
            <w:shd w:fill="1F497D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Constrained-Index (Banjade, 2026)</w:t>
            </w:r>
          </w:p>
        </w:tc>
        <w:tc>
          <w:tcPr>
            <w:tcW w:type="dxa" w:w="1560"/>
            <w:vAlign w:val="center"/>
            <w:shd w:fill="1F497D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Proposed Architecture (Ours)</w:t>
            </w:r>
          </w:p>
        </w:tc>
      </w:tr>
      <w:tr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Model Category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Domain-Specific Transformer (270M)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Hybrid Policy-LLM (3B–7B)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General LLMs (GPT-4, Claude)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Open Weights (8B–70B)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Zero-Shot Llama 3.1 (8B)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Training Required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10M games (1.5B positions)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Domain pre-training PGN+Text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None (API-based)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None (Prompt-based)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None (Zero Fine-Tuning)</w:t>
            </w:r>
          </w:p>
        </w:tc>
      </w:tr>
      <w:tr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Move Legality Rate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&gt;99.9% (Trained Space)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85.0% – 92.0%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49.0% – 62.0% (Catastrophic)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94.1% – 98.2% (Fallback 5.9%)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100.00% (Deterministic)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BPE Token Isolation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Custom discrete tokens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Standard sentence tokenizer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Not addressed (Merged)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Numerical indices (0..N)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Quote-Delimited Atomic Walls</w:t>
            </w:r>
          </w:p>
        </w:tc>
      </w:tr>
      <w:tr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Strategic Quality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Grandmaster Elo 2895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Elo ~1500–1800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Elo &lt;1200 (Frequent aborts)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Relative win-rates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ACPL ~55.8–67.0 cp (Club Level)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Survivorship Bias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N/A (Played to end)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Not analyzed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Confounded by early aborts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Confounded by bad index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Explicitly Diagnosed &amp; Documented</w:t>
            </w:r>
          </w:p>
        </w:tc>
      </w:tr>
      <w:tr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Inference Hardware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High-End GPU Clusters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Multi-GPU / TPU Pods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Cloud API Endpoints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Cloud GPU Servers</w:t>
            </w:r>
          </w:p>
        </w:tc>
        <w:tc>
          <w:tcPr>
            <w:tcW w:type="dxa" w:w="1560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Commodity CPU &amp; Edge Hardware</w:t>
            </w:r>
          </w:p>
        </w:tc>
      </w:tr>
      <w:tr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Latency Profile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Feedforward (~15ms)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Not profiled on CPU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Network queue dominated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Not decomposed</w:t>
            </w:r>
          </w:p>
        </w:tc>
        <w:tc>
          <w:tcPr>
            <w:tcW w:type="dxa" w:w="1560"/>
            <w:vAlign w:val="center"/>
            <w:shd w:fill="F2F4F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Times New Roman" w:hAnsi="Times New Roman"/>
                <w:sz w:val="18"/>
              </w:rPr>
              <w:t>Decomposed: 18s Cold / 792ms Warm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color w:val="1F497D"/>
          <w:sz w:val="26"/>
        </w:rPr>
        <w:t>Key Theoretical Findings &amp; Takeaways</w:t>
      </w:r>
    </w:p>
    <w:p>
      <w:pPr>
        <w:pStyle w:val="ListBullet"/>
        <w:spacing w:after="40" w:line="264" w:lineRule="auto"/>
      </w:pPr>
      <w:r>
        <w:rPr>
          <w:rFonts w:ascii="Times New Roman" w:hAnsi="Times New Roman"/>
          <w:sz w:val="20"/>
        </w:rPr>
        <w:t>Zero Fine-Tuning vs. Monolithic Pre-Training: DeepMind required training on 10M games; our prompt-level injection achieves 100% legality on zero-shot general LLMs without training.</w:t>
      </w:r>
    </w:p>
    <w:p>
      <w:pPr>
        <w:pStyle w:val="ListBullet"/>
        <w:spacing w:after="40" w:line="264" w:lineRule="auto"/>
      </w:pPr>
      <w:r>
        <w:rPr>
          <w:rFonts w:ascii="Times New Roman" w:hAnsi="Times New Roman"/>
          <w:sz w:val="20"/>
        </w:rPr>
        <w:t>The BPE Tokenizer Discovery: Unquoted move strings collapse to 73.3% legality due to Byte-Pair Encoding merges; quotation delimiters act as physical attention barriers restoring 100% legality.</w:t>
      </w:r>
    </w:p>
    <w:p>
      <w:pPr>
        <w:pStyle w:val="ListBullet"/>
        <w:spacing w:after="40" w:line="264" w:lineRule="auto"/>
      </w:pPr>
      <w:r>
        <w:rPr>
          <w:rFonts w:ascii="Times New Roman" w:hAnsi="Times New Roman"/>
          <w:sz w:val="20"/>
        </w:rPr>
        <w:t>Survivorship Bias in ACPL: We proved unconstrained models only appear to have low ACPL (14 cp) because they abort on move 2 after playing book moves; constrained models sustain authentic 67 cp across full games.</w:t>
      </w:r>
    </w:p>
    <w:p>
      <w:pPr>
        <w:pStyle w:val="ListBullet"/>
        <w:spacing w:after="40" w:line="264" w:lineRule="auto"/>
      </w:pPr>
      <w:r>
        <w:rPr>
          <w:rFonts w:ascii="Times New Roman" w:hAnsi="Times New Roman"/>
          <w:sz w:val="20"/>
        </w:rPr>
        <w:t>Real-Time CPU Execution: By clamping generation (num_predict: 6), steady-state turn latency drops to 792 ms – 1,119 ms on commodity CPU hardware.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