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97D"/>
          <w:sz w:val="34"/>
        </w:rPr>
        <w:t>Constraining Large Language Model Chess Move Generation: A Prompt-Level Legal Move Injection Approach to Eliminating Hallucinations</w:t>
      </w:r>
    </w:p>
    <w:p>
      <w:pPr>
        <w:jc w:val="center"/>
      </w:pPr>
      <w:r>
        <w:rPr>
          <w:rFonts w:ascii="Times New Roman" w:hAnsi="Times New Roman"/>
          <w:i/>
          <w:sz w:val="20"/>
        </w:rPr>
        <w:t>Arpit Panigrahi</w:t>
        <w:br/>
        <w:t>School of Computer Science and Engineering</w:t>
        <w:br/>
        <w:t>Vellore Institute of Technology (VIT), Chennai, Tamil Nadu, India</w:t>
        <w:br/>
        <w:t>Email: arpitpanigrahi06@gmail.com | GitHub: https://github.com/Arpit-Panigrahi/llm-chess-engine</w:t>
      </w:r>
    </w:p>
    <w:p>
      <w:pPr>
        <w:spacing w:before="280" w:after="80"/>
      </w:pPr>
      <w:r>
        <w:rPr>
          <w:rFonts w:ascii="Times New Roman" w:hAnsi="Times New Roman"/>
          <w:b/>
          <w:color w:val="1F497D"/>
          <w:sz w:val="26"/>
        </w:rPr>
        <w:t>Abstract</w:t>
      </w:r>
    </w:p>
    <w:p>
      <w:pPr>
        <w:spacing w:after="80" w:line="276" w:lineRule="auto"/>
      </w:pPr>
      <w:r>
        <w:rPr>
          <w:rFonts w:ascii="Times New Roman" w:hAnsi="Times New Roman"/>
          <w:sz w:val="20"/>
        </w:rPr>
        <w:t>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Across an extensive benchmark matrix (N = 260 games, 1,077 neural network calls), unconstrained generation hits a hard legality ceiling of 51.8%–54.5%, with 100% of unconstrained games aborting on turns 1–2. In contrast, prompt-level candidate injection achieves a deterministic 100.0% legal move rate. Furthermore, we conduct an in-depth Byte-Pair Encoding (BPE) Tokenizer &amp; Representation Ablation, showing that unquoted space-delimited move lists suffer from subword boundary leakage (73.3% legality), while quote-delimited atomic formatting isolates attention boundaries, restoring 100.0% legality. Dedicated latency profiling separates initial model disk loading (18.0s) from steady-state in-memory execution, revealing that our Fast Clamped DMC pipeline achieves real-time execution of 792 ms – 1,119 ms per turn on commodity CPU hardware with a solid Stockfish Centipawn Loss of 67.0 cp.</w:t>
      </w:r>
    </w:p>
    <w:p>
      <w:pPr>
        <w:spacing w:before="280" w:after="80"/>
      </w:pPr>
      <w:r>
        <w:rPr>
          <w:rFonts w:ascii="Times New Roman" w:hAnsi="Times New Roman"/>
          <w:b/>
          <w:color w:val="1F497D"/>
          <w:sz w:val="26"/>
        </w:rPr>
        <w:t>I. Introduction</w:t>
      </w:r>
    </w:p>
    <w:p>
      <w:pPr>
        <w:spacing w:after="80" w:line="276" w:lineRule="auto"/>
      </w:pPr>
      <w:r>
        <w:rPr>
          <w:rFonts w:ascii="Times New Roman" w:hAnsi="Times New Roman"/>
          <w:sz w:val="20"/>
        </w:rPr>
        <w:t>While classical game-playing systems rely on symbolic alpha-beta tree search (e.g., Stockfish) or deep reinforcement learning value networks (e.g., AlphaZero), general-purpose Large Language Models attempt to predict state transitions via autoregressive text prediction. In domains governed by rigid formal rules, this leads to catastrophic action hallucination: models generate moves that are physically impossible under game rules.</w:t>
      </w:r>
    </w:p>
    <w:p>
      <w:pPr>
        <w:spacing w:after="80" w:line="276" w:lineRule="auto"/>
      </w:pPr>
      <w:r>
        <w:rPr>
          <w:rFonts w:ascii="Times New Roman" w:hAnsi="Times New Roman"/>
          <w:sz w:val="20"/>
        </w:rPr>
        <w:t>This work addresses the fundamental question: Can an open-weights general-purpose LLM achieve 100% deterministic rule compliance in real time without task-specific fine-tuning or custom C++ sampler modification?</w:t>
      </w:r>
    </w:p>
    <w:p>
      <w:pPr>
        <w:spacing w:before="280" w:after="80"/>
      </w:pPr>
      <w:r>
        <w:rPr>
          <w:rFonts w:ascii="Times New Roman" w:hAnsi="Times New Roman"/>
          <w:b/>
          <w:color w:val="1F497D"/>
          <w:sz w:val="26"/>
        </w:rPr>
        <w:t>II. System Architecture &amp; Engineering Design</w:t>
      </w:r>
    </w:p>
    <w:p>
      <w:pPr>
        <w:spacing w:after="80" w:line="276" w:lineRule="auto"/>
      </w:pPr>
      <w:r>
        <w:rPr>
          <w:rFonts w:ascii="Times New Roman" w:hAnsi="Times New Roman"/>
          <w:sz w:val="20"/>
        </w:rPr>
        <w:t>We engineered an end-to-end experimental platform comprising four modular layers:</w:t>
      </w:r>
    </w:p>
    <w:p>
      <w:pPr>
        <w:pStyle w:val="ListBullet"/>
        <w:spacing w:after="40" w:line="264" w:lineRule="auto"/>
      </w:pPr>
      <w:r>
        <w:rPr>
          <w:rFonts w:ascii="Times New Roman" w:hAnsi="Times New Roman"/>
          <w:sz w:val="20"/>
        </w:rPr>
        <w:t>Extended VICE Chess Engine (C Core): ANSI-C engine providing microsecond-level legal move generation and bitboard state management.</w:t>
      </w:r>
    </w:p>
    <w:p>
      <w:pPr>
        <w:pStyle w:val="ListBullet"/>
        <w:spacing w:after="40" w:line="264" w:lineRule="auto"/>
      </w:pPr>
      <w:r>
        <w:rPr>
          <w:rFonts w:ascii="Times New Roman" w:hAnsi="Times New Roman"/>
          <w:sz w:val="20"/>
        </w:rPr>
        <w:t>Inference Backend (Docker / Ollama): Local containerized Ollama serving 4-bit quantized Llama 3.1 8B with Fast Clamped Decoding (num_predict: 6).</w:t>
      </w:r>
    </w:p>
    <w:p>
      <w:pPr>
        <w:pStyle w:val="ListBullet"/>
        <w:spacing w:after="40" w:line="264" w:lineRule="auto"/>
      </w:pPr>
      <w:r>
        <w:rPr>
          <w:rFonts w:ascii="Times New Roman" w:hAnsi="Times New Roman"/>
          <w:sz w:val="20"/>
        </w:rPr>
        <w:t>Python Orchestrator: Central-Weighted Dynamic Move Compression (DMC) engine with a 4-Tier Intelligent Parsing Cascade.</w:t>
      </w:r>
    </w:p>
    <w:p>
      <w:pPr>
        <w:pStyle w:val="ListBullet"/>
        <w:spacing w:after="40" w:line="264" w:lineRule="auto"/>
      </w:pPr>
      <w:r>
        <w:rPr>
          <w:rFonts w:ascii="Times New Roman" w:hAnsi="Times New Roman"/>
          <w:sz w:val="20"/>
        </w:rPr>
        <w:t>Stockfish 18 Oracle: Live depth-12 evaluation measuring mathematical Centipawn Loss (ACPL) for every move.</w:t>
      </w:r>
    </w:p>
    <w:p>
      <w:pPr>
        <w:spacing w:before="280" w:after="80"/>
      </w:pPr>
      <w:r>
        <w:rPr>
          <w:rFonts w:ascii="Times New Roman" w:hAnsi="Times New Roman"/>
          <w:b/>
          <w:color w:val="1F497D"/>
          <w:sz w:val="26"/>
        </w:rPr>
        <w:t>III. Empirical Benchmark Results</w:t>
      </w:r>
    </w:p>
    <w:p>
      <w:pPr>
        <w:spacing w:after="80" w:line="276" w:lineRule="auto"/>
      </w:pPr>
      <w:r>
        <w:rPr>
          <w:rFonts w:ascii="Times New Roman" w:hAnsi="Times New Roman"/>
          <w:sz w:val="20"/>
        </w:rPr>
        <w:t>Table I summarizes aggregate performance across all experimental conditions evaluated against depth-12 Stockfish 18 ground truth:</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Experimental Condition</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Total Moves</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Legal Rate</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Cold-Start Load</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Warm Steady-State</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Stockfish ACPL</w:t>
            </w:r>
          </w:p>
        </w:tc>
        <w:tc>
          <w:tcPr>
            <w:tcW w:type="dxa" w:w="1337"/>
            <w:vAlign w:val="center"/>
            <w:shd w:fill="1F497D"/>
            <w:tcMar>
              <w:top w:w="140" w:type="dxa"/>
              <w:bottom w:w="140" w:type="dxa"/>
              <w:left w:w="180" w:type="dxa"/>
              <w:right w:w="180" w:type="dxa"/>
            </w:tcMar>
          </w:tcPr>
          <w:p>
            <w:pPr>
              <w:jc w:val="center"/>
            </w:pPr>
            <w:r>
              <w:rPr>
                <w:rFonts w:ascii="Times New Roman" w:hAnsi="Times New Roman"/>
                <w:b/>
                <w:color w:val="FFFFFF"/>
                <w:sz w:val="19"/>
              </w:rPr>
              <w:t>Game Completion</w:t>
            </w:r>
          </w:p>
        </w:tc>
      </w:tr>
      <w:tr>
        <w:tc>
          <w:tcPr>
            <w:tcW w:type="dxa" w:w="1337"/>
            <w:vAlign w:val="center"/>
            <w:tcMar>
              <w:top w:w="100" w:type="dxa"/>
              <w:bottom w:w="100" w:type="dxa"/>
              <w:left w:w="140" w:type="dxa"/>
              <w:right w:w="140" w:type="dxa"/>
            </w:tcMar>
          </w:tcPr>
          <w:p>
            <w:r>
              <w:rPr>
                <w:rFonts w:ascii="Times New Roman" w:hAnsi="Times New Roman"/>
                <w:sz w:val="18"/>
              </w:rPr>
              <w:t>T = 0.2 Unconstrained Baseline</w:t>
            </w:r>
          </w:p>
        </w:tc>
        <w:tc>
          <w:tcPr>
            <w:tcW w:type="dxa" w:w="1337"/>
            <w:vAlign w:val="center"/>
            <w:tcMar>
              <w:top w:w="100" w:type="dxa"/>
              <w:bottom w:w="100" w:type="dxa"/>
              <w:left w:w="140" w:type="dxa"/>
              <w:right w:w="140" w:type="dxa"/>
            </w:tcMar>
          </w:tcPr>
          <w:p>
            <w:r>
              <w:rPr>
                <w:rFonts w:ascii="Times New Roman" w:hAnsi="Times New Roman"/>
                <w:sz w:val="18"/>
              </w:rPr>
              <w:t>270</w:t>
            </w:r>
          </w:p>
        </w:tc>
        <w:tc>
          <w:tcPr>
            <w:tcW w:type="dxa" w:w="1337"/>
            <w:vAlign w:val="center"/>
            <w:tcMar>
              <w:top w:w="100" w:type="dxa"/>
              <w:bottom w:w="100" w:type="dxa"/>
              <w:left w:w="140" w:type="dxa"/>
              <w:right w:w="140" w:type="dxa"/>
            </w:tcMar>
          </w:tcPr>
          <w:p>
            <w:r>
              <w:rPr>
                <w:rFonts w:ascii="Times New Roman" w:hAnsi="Times New Roman"/>
                <w:sz w:val="18"/>
              </w:rPr>
              <w:t>51.85%</w:t>
            </w:r>
          </w:p>
        </w:tc>
        <w:tc>
          <w:tcPr>
            <w:tcW w:type="dxa" w:w="1337"/>
            <w:vAlign w:val="center"/>
            <w:tcMar>
              <w:top w:w="100" w:type="dxa"/>
              <w:bottom w:w="100" w:type="dxa"/>
              <w:left w:w="140" w:type="dxa"/>
              <w:right w:w="140" w:type="dxa"/>
            </w:tcMar>
          </w:tcPr>
          <w:p>
            <w:r>
              <w:rPr>
                <w:rFonts w:ascii="Times New Roman" w:hAnsi="Times New Roman"/>
                <w:sz w:val="18"/>
              </w:rPr>
              <w:t>12.4 s</w:t>
            </w:r>
          </w:p>
        </w:tc>
        <w:tc>
          <w:tcPr>
            <w:tcW w:type="dxa" w:w="1337"/>
            <w:vAlign w:val="center"/>
            <w:tcMar>
              <w:top w:w="100" w:type="dxa"/>
              <w:bottom w:w="100" w:type="dxa"/>
              <w:left w:w="140" w:type="dxa"/>
              <w:right w:w="140" w:type="dxa"/>
            </w:tcMar>
          </w:tcPr>
          <w:p>
            <w:r>
              <w:rPr>
                <w:rFonts w:ascii="Times New Roman" w:hAnsi="Times New Roman"/>
                <w:sz w:val="18"/>
              </w:rPr>
              <w:t>3.4 s (Aborted)</w:t>
            </w:r>
          </w:p>
        </w:tc>
        <w:tc>
          <w:tcPr>
            <w:tcW w:type="dxa" w:w="1337"/>
            <w:vAlign w:val="center"/>
            <w:tcMar>
              <w:top w:w="100" w:type="dxa"/>
              <w:bottom w:w="100" w:type="dxa"/>
              <w:left w:w="140" w:type="dxa"/>
              <w:right w:w="140" w:type="dxa"/>
            </w:tcMar>
          </w:tcPr>
          <w:p>
            <w:r>
              <w:rPr>
                <w:rFonts w:ascii="Times New Roman" w:hAnsi="Times New Roman"/>
                <w:sz w:val="18"/>
              </w:rPr>
              <w:t>14.3 cp (Bias)</w:t>
            </w:r>
          </w:p>
        </w:tc>
        <w:tc>
          <w:tcPr>
            <w:tcW w:type="dxa" w:w="1337"/>
            <w:vAlign w:val="center"/>
            <w:tcMar>
              <w:top w:w="100" w:type="dxa"/>
              <w:bottom w:w="100" w:type="dxa"/>
              <w:left w:w="140" w:type="dxa"/>
              <w:right w:w="140" w:type="dxa"/>
            </w:tcMar>
          </w:tcPr>
          <w:p>
            <w:r>
              <w:rPr>
                <w:rFonts w:ascii="Times New Roman" w:hAnsi="Times New Roman"/>
                <w:sz w:val="18"/>
              </w:rPr>
              <w:t>0% (All died on turn 2)</w:t>
            </w:r>
          </w:p>
        </w:tc>
      </w:tr>
      <w:tr>
        <w:tc>
          <w:tcPr>
            <w:tcW w:type="dxa" w:w="1337"/>
            <w:vAlign w:val="center"/>
            <w:shd w:fill="F2F4F7"/>
            <w:tcMar>
              <w:top w:w="100" w:type="dxa"/>
              <w:bottom w:w="100" w:type="dxa"/>
              <w:left w:w="140" w:type="dxa"/>
              <w:right w:w="140" w:type="dxa"/>
            </w:tcMar>
          </w:tcPr>
          <w:p>
            <w:r>
              <w:rPr>
                <w:rFonts w:ascii="Times New Roman" w:hAnsi="Times New Roman"/>
                <w:sz w:val="18"/>
              </w:rPr>
              <w:t>T = 0.8 Unconstrained Baseline</w:t>
            </w:r>
          </w:p>
        </w:tc>
        <w:tc>
          <w:tcPr>
            <w:tcW w:type="dxa" w:w="1337"/>
            <w:vAlign w:val="center"/>
            <w:shd w:fill="F2F4F7"/>
            <w:tcMar>
              <w:top w:w="100" w:type="dxa"/>
              <w:bottom w:w="100" w:type="dxa"/>
              <w:left w:w="140" w:type="dxa"/>
              <w:right w:w="140" w:type="dxa"/>
            </w:tcMar>
          </w:tcPr>
          <w:p>
            <w:r>
              <w:rPr>
                <w:rFonts w:ascii="Times New Roman" w:hAnsi="Times New Roman"/>
                <w:sz w:val="18"/>
              </w:rPr>
              <w:t>277</w:t>
            </w:r>
          </w:p>
        </w:tc>
        <w:tc>
          <w:tcPr>
            <w:tcW w:type="dxa" w:w="1337"/>
            <w:vAlign w:val="center"/>
            <w:shd w:fill="F2F4F7"/>
            <w:tcMar>
              <w:top w:w="100" w:type="dxa"/>
              <w:bottom w:w="100" w:type="dxa"/>
              <w:left w:w="140" w:type="dxa"/>
              <w:right w:w="140" w:type="dxa"/>
            </w:tcMar>
          </w:tcPr>
          <w:p>
            <w:r>
              <w:rPr>
                <w:rFonts w:ascii="Times New Roman" w:hAnsi="Times New Roman"/>
                <w:sz w:val="18"/>
              </w:rPr>
              <w:t>54.51%</w:t>
            </w:r>
          </w:p>
        </w:tc>
        <w:tc>
          <w:tcPr>
            <w:tcW w:type="dxa" w:w="1337"/>
            <w:vAlign w:val="center"/>
            <w:shd w:fill="F2F4F7"/>
            <w:tcMar>
              <w:top w:w="100" w:type="dxa"/>
              <w:bottom w:w="100" w:type="dxa"/>
              <w:left w:w="140" w:type="dxa"/>
              <w:right w:w="140" w:type="dxa"/>
            </w:tcMar>
          </w:tcPr>
          <w:p>
            <w:r>
              <w:rPr>
                <w:rFonts w:ascii="Times New Roman" w:hAnsi="Times New Roman"/>
                <w:sz w:val="18"/>
              </w:rPr>
              <w:t>14.1 s</w:t>
            </w:r>
          </w:p>
        </w:tc>
        <w:tc>
          <w:tcPr>
            <w:tcW w:type="dxa" w:w="1337"/>
            <w:vAlign w:val="center"/>
            <w:shd w:fill="F2F4F7"/>
            <w:tcMar>
              <w:top w:w="100" w:type="dxa"/>
              <w:bottom w:w="100" w:type="dxa"/>
              <w:left w:w="140" w:type="dxa"/>
              <w:right w:w="140" w:type="dxa"/>
            </w:tcMar>
          </w:tcPr>
          <w:p>
            <w:r>
              <w:rPr>
                <w:rFonts w:ascii="Times New Roman" w:hAnsi="Times New Roman"/>
                <w:sz w:val="18"/>
              </w:rPr>
              <w:t>2.8 s (Aborts)</w:t>
            </w:r>
          </w:p>
        </w:tc>
        <w:tc>
          <w:tcPr>
            <w:tcW w:type="dxa" w:w="1337"/>
            <w:vAlign w:val="center"/>
            <w:shd w:fill="F2F4F7"/>
            <w:tcMar>
              <w:top w:w="100" w:type="dxa"/>
              <w:bottom w:w="100" w:type="dxa"/>
              <w:left w:w="140" w:type="dxa"/>
              <w:right w:w="140" w:type="dxa"/>
            </w:tcMar>
          </w:tcPr>
          <w:p>
            <w:r>
              <w:rPr>
                <w:rFonts w:ascii="Times New Roman" w:hAnsi="Times New Roman"/>
                <w:sz w:val="18"/>
              </w:rPr>
              <w:t>268.6 cp (Blunders)</w:t>
            </w:r>
          </w:p>
        </w:tc>
        <w:tc>
          <w:tcPr>
            <w:tcW w:type="dxa" w:w="1337"/>
            <w:vAlign w:val="center"/>
            <w:shd w:fill="F2F4F7"/>
            <w:tcMar>
              <w:top w:w="100" w:type="dxa"/>
              <w:bottom w:w="100" w:type="dxa"/>
              <w:left w:w="140" w:type="dxa"/>
              <w:right w:w="140" w:type="dxa"/>
            </w:tcMar>
          </w:tcPr>
          <w:p>
            <w:r>
              <w:rPr>
                <w:rFonts w:ascii="Times New Roman" w:hAnsi="Times New Roman"/>
                <w:sz w:val="18"/>
              </w:rPr>
              <w:t>0% (All died on turn 2)</w:t>
            </w:r>
          </w:p>
        </w:tc>
      </w:tr>
      <w:tr>
        <w:tc>
          <w:tcPr>
            <w:tcW w:type="dxa" w:w="1337"/>
            <w:vAlign w:val="center"/>
            <w:tcMar>
              <w:top w:w="100" w:type="dxa"/>
              <w:bottom w:w="100" w:type="dxa"/>
              <w:left w:w="140" w:type="dxa"/>
              <w:right w:w="140" w:type="dxa"/>
            </w:tcMar>
          </w:tcPr>
          <w:p>
            <w:r>
              <w:rPr>
                <w:rFonts w:ascii="Times New Roman" w:hAnsi="Times New Roman"/>
                <w:sz w:val="18"/>
              </w:rPr>
              <w:t>Constrained (Raw JSON Array)</w:t>
            </w:r>
          </w:p>
        </w:tc>
        <w:tc>
          <w:tcPr>
            <w:tcW w:type="dxa" w:w="1337"/>
            <w:vAlign w:val="center"/>
            <w:tcMar>
              <w:top w:w="100" w:type="dxa"/>
              <w:bottom w:w="100" w:type="dxa"/>
              <w:left w:w="140" w:type="dxa"/>
              <w:right w:w="140" w:type="dxa"/>
            </w:tcMar>
          </w:tcPr>
          <w:p>
            <w:r>
              <w:rPr>
                <w:rFonts w:ascii="Times New Roman" w:hAnsi="Times New Roman"/>
                <w:sz w:val="18"/>
              </w:rPr>
              <w:t>110</w:t>
            </w:r>
          </w:p>
        </w:tc>
        <w:tc>
          <w:tcPr>
            <w:tcW w:type="dxa" w:w="1337"/>
            <w:vAlign w:val="center"/>
            <w:tcMar>
              <w:top w:w="100" w:type="dxa"/>
              <w:bottom w:w="100" w:type="dxa"/>
              <w:left w:w="140" w:type="dxa"/>
              <w:right w:w="140" w:type="dxa"/>
            </w:tcMar>
          </w:tcPr>
          <w:p>
            <w:r>
              <w:rPr>
                <w:rFonts w:ascii="Times New Roman" w:hAnsi="Times New Roman"/>
                <w:sz w:val="18"/>
              </w:rPr>
              <w:t>100.00%</w:t>
            </w:r>
          </w:p>
        </w:tc>
        <w:tc>
          <w:tcPr>
            <w:tcW w:type="dxa" w:w="1337"/>
            <w:vAlign w:val="center"/>
            <w:tcMar>
              <w:top w:w="100" w:type="dxa"/>
              <w:bottom w:w="100" w:type="dxa"/>
              <w:left w:w="140" w:type="dxa"/>
              <w:right w:w="140" w:type="dxa"/>
            </w:tcMar>
          </w:tcPr>
          <w:p>
            <w:r>
              <w:rPr>
                <w:rFonts w:ascii="Times New Roman" w:hAnsi="Times New Roman"/>
                <w:sz w:val="18"/>
              </w:rPr>
              <w:t>34.5 s</w:t>
            </w:r>
          </w:p>
        </w:tc>
        <w:tc>
          <w:tcPr>
            <w:tcW w:type="dxa" w:w="1337"/>
            <w:vAlign w:val="center"/>
            <w:tcMar>
              <w:top w:w="100" w:type="dxa"/>
              <w:bottom w:w="100" w:type="dxa"/>
              <w:left w:w="140" w:type="dxa"/>
              <w:right w:w="140" w:type="dxa"/>
            </w:tcMar>
          </w:tcPr>
          <w:p>
            <w:r>
              <w:rPr>
                <w:rFonts w:ascii="Times New Roman" w:hAnsi="Times New Roman"/>
                <w:sz w:val="18"/>
              </w:rPr>
              <w:t>7.3 s – 10.8 s</w:t>
            </w:r>
          </w:p>
        </w:tc>
        <w:tc>
          <w:tcPr>
            <w:tcW w:type="dxa" w:w="1337"/>
            <w:vAlign w:val="center"/>
            <w:tcMar>
              <w:top w:w="100" w:type="dxa"/>
              <w:bottom w:w="100" w:type="dxa"/>
              <w:left w:w="140" w:type="dxa"/>
              <w:right w:w="140" w:type="dxa"/>
            </w:tcMar>
          </w:tcPr>
          <w:p>
            <w:r>
              <w:rPr>
                <w:rFonts w:ascii="Times New Roman" w:hAnsi="Times New Roman"/>
                <w:sz w:val="18"/>
              </w:rPr>
              <w:t>59.8 cp</w:t>
            </w:r>
          </w:p>
        </w:tc>
        <w:tc>
          <w:tcPr>
            <w:tcW w:type="dxa" w:w="1337"/>
            <w:vAlign w:val="center"/>
            <w:tcMar>
              <w:top w:w="100" w:type="dxa"/>
              <w:bottom w:w="100" w:type="dxa"/>
              <w:left w:w="140" w:type="dxa"/>
              <w:right w:w="140" w:type="dxa"/>
            </w:tcMar>
          </w:tcPr>
          <w:p>
            <w:r>
              <w:rPr>
                <w:rFonts w:ascii="Times New Roman" w:hAnsi="Times New Roman"/>
                <w:sz w:val="18"/>
              </w:rPr>
              <w:t>100% Completed</w:t>
            </w:r>
          </w:p>
        </w:tc>
      </w:tr>
      <w:tr>
        <w:tc>
          <w:tcPr>
            <w:tcW w:type="dxa" w:w="1337"/>
            <w:vAlign w:val="center"/>
            <w:shd w:fill="F2F4F7"/>
            <w:tcMar>
              <w:top w:w="100" w:type="dxa"/>
              <w:bottom w:w="100" w:type="dxa"/>
              <w:left w:w="140" w:type="dxa"/>
              <w:right w:w="140" w:type="dxa"/>
            </w:tcMar>
          </w:tcPr>
          <w:p>
            <w:r>
              <w:rPr>
                <w:rFonts w:ascii="Times New Roman" w:hAnsi="Times New Roman"/>
                <w:sz w:val="18"/>
              </w:rPr>
              <w:t>Two-Stage Speculative Retry</w:t>
            </w:r>
          </w:p>
        </w:tc>
        <w:tc>
          <w:tcPr>
            <w:tcW w:type="dxa" w:w="1337"/>
            <w:vAlign w:val="center"/>
            <w:shd w:fill="F2F4F7"/>
            <w:tcMar>
              <w:top w:w="100" w:type="dxa"/>
              <w:bottom w:w="100" w:type="dxa"/>
              <w:left w:w="140" w:type="dxa"/>
              <w:right w:w="140" w:type="dxa"/>
            </w:tcMar>
          </w:tcPr>
          <w:p>
            <w:r>
              <w:rPr>
                <w:rFonts w:ascii="Times New Roman" w:hAnsi="Times New Roman"/>
                <w:sz w:val="18"/>
              </w:rPr>
              <w:t>110</w:t>
            </w:r>
          </w:p>
        </w:tc>
        <w:tc>
          <w:tcPr>
            <w:tcW w:type="dxa" w:w="1337"/>
            <w:vAlign w:val="center"/>
            <w:shd w:fill="F2F4F7"/>
            <w:tcMar>
              <w:top w:w="100" w:type="dxa"/>
              <w:bottom w:w="100" w:type="dxa"/>
              <w:left w:w="140" w:type="dxa"/>
              <w:right w:w="140" w:type="dxa"/>
            </w:tcMar>
          </w:tcPr>
          <w:p>
            <w:r>
              <w:rPr>
                <w:rFonts w:ascii="Times New Roman" w:hAnsi="Times New Roman"/>
                <w:sz w:val="18"/>
              </w:rPr>
              <w:t>98.18%</w:t>
            </w:r>
          </w:p>
        </w:tc>
        <w:tc>
          <w:tcPr>
            <w:tcW w:type="dxa" w:w="1337"/>
            <w:vAlign w:val="center"/>
            <w:shd w:fill="F2F4F7"/>
            <w:tcMar>
              <w:top w:w="100" w:type="dxa"/>
              <w:bottom w:w="100" w:type="dxa"/>
              <w:left w:w="140" w:type="dxa"/>
              <w:right w:w="140" w:type="dxa"/>
            </w:tcMar>
          </w:tcPr>
          <w:p>
            <w:r>
              <w:rPr>
                <w:rFonts w:ascii="Times New Roman" w:hAnsi="Times New Roman"/>
                <w:sz w:val="18"/>
              </w:rPr>
              <w:t>19.2 s</w:t>
            </w:r>
          </w:p>
        </w:tc>
        <w:tc>
          <w:tcPr>
            <w:tcW w:type="dxa" w:w="1337"/>
            <w:vAlign w:val="center"/>
            <w:shd w:fill="F2F4F7"/>
            <w:tcMar>
              <w:top w:w="100" w:type="dxa"/>
              <w:bottom w:w="100" w:type="dxa"/>
              <w:left w:w="140" w:type="dxa"/>
              <w:right w:w="140" w:type="dxa"/>
            </w:tcMar>
          </w:tcPr>
          <w:p>
            <w:r>
              <w:rPr>
                <w:rFonts w:ascii="Times New Roman" w:hAnsi="Times New Roman"/>
                <w:sz w:val="18"/>
              </w:rPr>
              <w:t>5.7 s (Tail: 11.0s)</w:t>
            </w:r>
          </w:p>
        </w:tc>
        <w:tc>
          <w:tcPr>
            <w:tcW w:type="dxa" w:w="1337"/>
            <w:vAlign w:val="center"/>
            <w:shd w:fill="F2F4F7"/>
            <w:tcMar>
              <w:top w:w="100" w:type="dxa"/>
              <w:bottom w:w="100" w:type="dxa"/>
              <w:left w:w="140" w:type="dxa"/>
              <w:right w:w="140" w:type="dxa"/>
            </w:tcMar>
          </w:tcPr>
          <w:p>
            <w:r>
              <w:rPr>
                <w:rFonts w:ascii="Times New Roman" w:hAnsi="Times New Roman"/>
                <w:sz w:val="18"/>
              </w:rPr>
              <w:t>55.8 cp</w:t>
            </w:r>
          </w:p>
        </w:tc>
        <w:tc>
          <w:tcPr>
            <w:tcW w:type="dxa" w:w="1337"/>
            <w:vAlign w:val="center"/>
            <w:shd w:fill="F2F4F7"/>
            <w:tcMar>
              <w:top w:w="100" w:type="dxa"/>
              <w:bottom w:w="100" w:type="dxa"/>
              <w:left w:w="140" w:type="dxa"/>
              <w:right w:w="140" w:type="dxa"/>
            </w:tcMar>
          </w:tcPr>
          <w:p>
            <w:r>
              <w:rPr>
                <w:rFonts w:ascii="Times New Roman" w:hAnsi="Times New Roman"/>
                <w:sz w:val="18"/>
              </w:rPr>
              <w:t>100% Completed</w:t>
            </w:r>
          </w:p>
        </w:tc>
      </w:tr>
      <w:tr>
        <w:tc>
          <w:tcPr>
            <w:tcW w:type="dxa" w:w="1337"/>
            <w:vAlign w:val="center"/>
            <w:tcMar>
              <w:top w:w="100" w:type="dxa"/>
              <w:bottom w:w="100" w:type="dxa"/>
              <w:left w:w="140" w:type="dxa"/>
              <w:right w:w="140" w:type="dxa"/>
            </w:tcMar>
          </w:tcPr>
          <w:p>
            <w:r>
              <w:rPr>
                <w:rFonts w:ascii="Times New Roman" w:hAnsi="Times New Roman"/>
                <w:sz w:val="18"/>
              </w:rPr>
              <w:t>Fast Clamped Quoted DMC (Ours)</w:t>
            </w:r>
          </w:p>
        </w:tc>
        <w:tc>
          <w:tcPr>
            <w:tcW w:type="dxa" w:w="1337"/>
            <w:vAlign w:val="center"/>
            <w:tcMar>
              <w:top w:w="100" w:type="dxa"/>
              <w:bottom w:w="100" w:type="dxa"/>
              <w:left w:w="140" w:type="dxa"/>
              <w:right w:w="140" w:type="dxa"/>
            </w:tcMar>
          </w:tcPr>
          <w:p>
            <w:r>
              <w:rPr>
                <w:rFonts w:ascii="Times New Roman" w:hAnsi="Times New Roman"/>
                <w:sz w:val="18"/>
              </w:rPr>
              <w:t>180</w:t>
            </w:r>
          </w:p>
        </w:tc>
        <w:tc>
          <w:tcPr>
            <w:tcW w:type="dxa" w:w="1337"/>
            <w:vAlign w:val="center"/>
            <w:tcMar>
              <w:top w:w="100" w:type="dxa"/>
              <w:bottom w:w="100" w:type="dxa"/>
              <w:left w:w="140" w:type="dxa"/>
              <w:right w:w="140" w:type="dxa"/>
            </w:tcMar>
          </w:tcPr>
          <w:p>
            <w:r>
              <w:rPr>
                <w:rFonts w:ascii="Times New Roman" w:hAnsi="Times New Roman"/>
                <w:sz w:val="18"/>
              </w:rPr>
              <w:t>100.00%</w:t>
            </w:r>
          </w:p>
        </w:tc>
        <w:tc>
          <w:tcPr>
            <w:tcW w:type="dxa" w:w="1337"/>
            <w:vAlign w:val="center"/>
            <w:tcMar>
              <w:top w:w="100" w:type="dxa"/>
              <w:bottom w:w="100" w:type="dxa"/>
              <w:left w:w="140" w:type="dxa"/>
              <w:right w:w="140" w:type="dxa"/>
            </w:tcMar>
          </w:tcPr>
          <w:p>
            <w:r>
              <w:rPr>
                <w:rFonts w:ascii="Times New Roman" w:hAnsi="Times New Roman"/>
                <w:sz w:val="18"/>
              </w:rPr>
              <w:t>18.0 s</w:t>
            </w:r>
          </w:p>
        </w:tc>
        <w:tc>
          <w:tcPr>
            <w:tcW w:type="dxa" w:w="1337"/>
            <w:vAlign w:val="center"/>
            <w:tcMar>
              <w:top w:w="100" w:type="dxa"/>
              <w:bottom w:w="100" w:type="dxa"/>
              <w:left w:w="140" w:type="dxa"/>
              <w:right w:w="140" w:type="dxa"/>
            </w:tcMar>
          </w:tcPr>
          <w:p>
            <w:r>
              <w:rPr>
                <w:rFonts w:ascii="Times New Roman" w:hAnsi="Times New Roman"/>
                <w:sz w:val="18"/>
              </w:rPr>
              <w:t>792 ms – 1,119 ms</w:t>
            </w:r>
          </w:p>
        </w:tc>
        <w:tc>
          <w:tcPr>
            <w:tcW w:type="dxa" w:w="1337"/>
            <w:vAlign w:val="center"/>
            <w:tcMar>
              <w:top w:w="100" w:type="dxa"/>
              <w:bottom w:w="100" w:type="dxa"/>
              <w:left w:w="140" w:type="dxa"/>
              <w:right w:w="140" w:type="dxa"/>
            </w:tcMar>
          </w:tcPr>
          <w:p>
            <w:r>
              <w:rPr>
                <w:rFonts w:ascii="Times New Roman" w:hAnsi="Times New Roman"/>
                <w:sz w:val="18"/>
              </w:rPr>
              <w:t>67.0 cp (Club-Level)</w:t>
            </w:r>
          </w:p>
        </w:tc>
        <w:tc>
          <w:tcPr>
            <w:tcW w:type="dxa" w:w="1337"/>
            <w:vAlign w:val="center"/>
            <w:tcMar>
              <w:top w:w="100" w:type="dxa"/>
              <w:bottom w:w="100" w:type="dxa"/>
              <w:left w:w="140" w:type="dxa"/>
              <w:right w:w="140" w:type="dxa"/>
            </w:tcMar>
          </w:tcPr>
          <w:p>
            <w:r>
              <w:rPr>
                <w:rFonts w:ascii="Times New Roman" w:hAnsi="Times New Roman"/>
                <w:sz w:val="18"/>
              </w:rPr>
              <w:t>100% Completed</w:t>
            </w:r>
          </w:p>
        </w:tc>
      </w:tr>
    </w:tbl>
    <w:p>
      <w:pPr>
        <w:spacing w:before="200" w:after="40"/>
        <w:jc w:val="center"/>
      </w:pPr>
    </w:p>
    <w:p>
      <w:pPr>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plot1_legality_rate.png"/>
                    <pic:cNvPicPr/>
                  </pic:nvPicPr>
                  <pic:blipFill>
                    <a:blip r:embed="rId9"/>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1: Move Legality Rate Across Experimental Conditions. Unconstrained models fail at 51.8%–54.5%, while Quoted DMC achieves 100.0% zero-hallucination compliance.</w:t>
      </w:r>
    </w:p>
    <w:p>
      <w:pPr>
        <w:spacing w:before="280" w:after="80"/>
      </w:pPr>
      <w:r>
        <w:rPr>
          <w:rFonts w:ascii="Times New Roman" w:hAnsi="Times New Roman"/>
          <w:b/>
          <w:color w:val="1F497D"/>
          <w:sz w:val="26"/>
        </w:rPr>
        <w:t>IV. Granular Latency Profiling &amp; Decomposition</w:t>
      </w:r>
    </w:p>
    <w:p>
      <w:pPr>
        <w:spacing w:after="80" w:line="276" w:lineRule="auto"/>
      </w:pPr>
      <w:r>
        <w:rPr>
          <w:rFonts w:ascii="Times New Roman" w:hAnsi="Times New Roman"/>
          <w:sz w:val="20"/>
        </w:rPr>
        <w:t>Table II decomposes per-turn inference latency, isolating initial model disk-to-RAM loading from steady-state in-memory execution: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Experimental Condition</w:t>
            </w:r>
          </w:p>
        </w:tc>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Initial Cold-Start</w:t>
            </w:r>
          </w:p>
        </w:tc>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Warm Steady-State Range</w:t>
            </w:r>
          </w:p>
        </w:tc>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Warm Mean Latency</w:t>
            </w:r>
          </w:p>
        </w:tc>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Overall Aggregate Mean</w:t>
            </w:r>
          </w:p>
        </w:tc>
        <w:tc>
          <w:tcPr>
            <w:tcW w:type="dxa" w:w="1560"/>
            <w:vAlign w:val="center"/>
            <w:shd w:fill="1F497D"/>
            <w:tcMar>
              <w:top w:w="140" w:type="dxa"/>
              <w:bottom w:w="140" w:type="dxa"/>
              <w:left w:w="180" w:type="dxa"/>
              <w:right w:w="180" w:type="dxa"/>
            </w:tcMar>
          </w:tcPr>
          <w:p>
            <w:pPr>
              <w:jc w:val="center"/>
            </w:pPr>
            <w:r>
              <w:rPr>
                <w:rFonts w:ascii="Times New Roman" w:hAnsi="Times New Roman"/>
                <w:b/>
                <w:color w:val="FFFFFF"/>
                <w:sz w:val="19"/>
              </w:rPr>
              <w:t>p95 Tail Latency</w:t>
            </w:r>
          </w:p>
        </w:tc>
      </w:tr>
      <w:tr>
        <w:tc>
          <w:tcPr>
            <w:tcW w:type="dxa" w:w="1560"/>
            <w:vAlign w:val="center"/>
            <w:tcMar>
              <w:top w:w="100" w:type="dxa"/>
              <w:bottom w:w="100" w:type="dxa"/>
              <w:left w:w="140" w:type="dxa"/>
              <w:right w:w="140" w:type="dxa"/>
            </w:tcMar>
          </w:tcPr>
          <w:p>
            <w:r>
              <w:rPr>
                <w:rFonts w:ascii="Times New Roman" w:hAnsi="Times New Roman"/>
                <w:sz w:val="18"/>
              </w:rPr>
              <w:t>Fast Clamped DMC (Ours)</w:t>
            </w:r>
          </w:p>
        </w:tc>
        <w:tc>
          <w:tcPr>
            <w:tcW w:type="dxa" w:w="1560"/>
            <w:vAlign w:val="center"/>
            <w:tcMar>
              <w:top w:w="100" w:type="dxa"/>
              <w:bottom w:w="100" w:type="dxa"/>
              <w:left w:w="140" w:type="dxa"/>
              <w:right w:w="140" w:type="dxa"/>
            </w:tcMar>
          </w:tcPr>
          <w:p>
            <w:r>
              <w:rPr>
                <w:rFonts w:ascii="Times New Roman" w:hAnsi="Times New Roman"/>
                <w:sz w:val="18"/>
              </w:rPr>
              <w:t>18,048 ms</w:t>
            </w:r>
          </w:p>
        </w:tc>
        <w:tc>
          <w:tcPr>
            <w:tcW w:type="dxa" w:w="1560"/>
            <w:vAlign w:val="center"/>
            <w:tcMar>
              <w:top w:w="100" w:type="dxa"/>
              <w:bottom w:w="100" w:type="dxa"/>
              <w:left w:w="140" w:type="dxa"/>
              <w:right w:w="140" w:type="dxa"/>
            </w:tcMar>
          </w:tcPr>
          <w:p>
            <w:r>
              <w:rPr>
                <w:rFonts w:ascii="Times New Roman" w:hAnsi="Times New Roman"/>
                <w:sz w:val="18"/>
              </w:rPr>
              <w:t>792 – 1,119 ms</w:t>
            </w:r>
          </w:p>
        </w:tc>
        <w:tc>
          <w:tcPr>
            <w:tcW w:type="dxa" w:w="1560"/>
            <w:vAlign w:val="center"/>
            <w:tcMar>
              <w:top w:w="100" w:type="dxa"/>
              <w:bottom w:w="100" w:type="dxa"/>
              <w:left w:w="140" w:type="dxa"/>
              <w:right w:w="140" w:type="dxa"/>
            </w:tcMar>
          </w:tcPr>
          <w:p>
            <w:r>
              <w:rPr>
                <w:rFonts w:ascii="Times New Roman" w:hAnsi="Times New Roman"/>
                <w:sz w:val="18"/>
              </w:rPr>
              <w:t>955.5 ms (Sub-Second)</w:t>
            </w:r>
          </w:p>
        </w:tc>
        <w:tc>
          <w:tcPr>
            <w:tcW w:type="dxa" w:w="1560"/>
            <w:vAlign w:val="center"/>
            <w:tcMar>
              <w:top w:w="100" w:type="dxa"/>
              <w:bottom w:w="100" w:type="dxa"/>
              <w:left w:w="140" w:type="dxa"/>
              <w:right w:w="140" w:type="dxa"/>
            </w:tcMar>
          </w:tcPr>
          <w:p>
            <w:r>
              <w:rPr>
                <w:rFonts w:ascii="Times New Roman" w:hAnsi="Times New Roman"/>
                <w:sz w:val="18"/>
              </w:rPr>
              <w:t>9,437.5 ms</w:t>
            </w:r>
          </w:p>
        </w:tc>
        <w:tc>
          <w:tcPr>
            <w:tcW w:type="dxa" w:w="1560"/>
            <w:vAlign w:val="center"/>
            <w:tcMar>
              <w:top w:w="100" w:type="dxa"/>
              <w:bottom w:w="100" w:type="dxa"/>
              <w:left w:w="140" w:type="dxa"/>
              <w:right w:w="140" w:type="dxa"/>
            </w:tcMar>
          </w:tcPr>
          <w:p>
            <w:r>
              <w:rPr>
                <w:rFonts w:ascii="Times New Roman" w:hAnsi="Times New Roman"/>
                <w:sz w:val="18"/>
              </w:rPr>
              <w:t>11,223.0 ms</w:t>
            </w:r>
          </w:p>
        </w:tc>
      </w:tr>
      <w:tr>
        <w:tc>
          <w:tcPr>
            <w:tcW w:type="dxa" w:w="1560"/>
            <w:vAlign w:val="center"/>
            <w:shd w:fill="F2F4F7"/>
            <w:tcMar>
              <w:top w:w="100" w:type="dxa"/>
              <w:bottom w:w="100" w:type="dxa"/>
              <w:left w:w="140" w:type="dxa"/>
              <w:right w:w="140" w:type="dxa"/>
            </w:tcMar>
          </w:tcPr>
          <w:p>
            <w:r>
              <w:rPr>
                <w:rFonts w:ascii="Times New Roman" w:hAnsi="Times New Roman"/>
                <w:sz w:val="18"/>
              </w:rPr>
              <w:t>Constrained Raw JSON</w:t>
            </w:r>
          </w:p>
        </w:tc>
        <w:tc>
          <w:tcPr>
            <w:tcW w:type="dxa" w:w="1560"/>
            <w:vAlign w:val="center"/>
            <w:shd w:fill="F2F4F7"/>
            <w:tcMar>
              <w:top w:w="100" w:type="dxa"/>
              <w:bottom w:w="100" w:type="dxa"/>
              <w:left w:w="140" w:type="dxa"/>
              <w:right w:w="140" w:type="dxa"/>
            </w:tcMar>
          </w:tcPr>
          <w:p>
            <w:r>
              <w:rPr>
                <w:rFonts w:ascii="Times New Roman" w:hAnsi="Times New Roman"/>
                <w:sz w:val="18"/>
              </w:rPr>
              <w:t>34,500 ms</w:t>
            </w:r>
          </w:p>
        </w:tc>
        <w:tc>
          <w:tcPr>
            <w:tcW w:type="dxa" w:w="1560"/>
            <w:vAlign w:val="center"/>
            <w:shd w:fill="F2F4F7"/>
            <w:tcMar>
              <w:top w:w="100" w:type="dxa"/>
              <w:bottom w:w="100" w:type="dxa"/>
              <w:left w:w="140" w:type="dxa"/>
              <w:right w:w="140" w:type="dxa"/>
            </w:tcMar>
          </w:tcPr>
          <w:p>
            <w:r>
              <w:rPr>
                <w:rFonts w:ascii="Times New Roman" w:hAnsi="Times New Roman"/>
                <w:sz w:val="18"/>
              </w:rPr>
              <w:t>7,316 – 10,802 ms</w:t>
            </w:r>
          </w:p>
        </w:tc>
        <w:tc>
          <w:tcPr>
            <w:tcW w:type="dxa" w:w="1560"/>
            <w:vAlign w:val="center"/>
            <w:shd w:fill="F2F4F7"/>
            <w:tcMar>
              <w:top w:w="100" w:type="dxa"/>
              <w:bottom w:w="100" w:type="dxa"/>
              <w:left w:w="140" w:type="dxa"/>
              <w:right w:w="140" w:type="dxa"/>
            </w:tcMar>
          </w:tcPr>
          <w:p>
            <w:r>
              <w:rPr>
                <w:rFonts w:ascii="Times New Roman" w:hAnsi="Times New Roman"/>
                <w:sz w:val="18"/>
              </w:rPr>
              <w:t>7,316.9 ms</w:t>
            </w:r>
          </w:p>
        </w:tc>
        <w:tc>
          <w:tcPr>
            <w:tcW w:type="dxa" w:w="1560"/>
            <w:vAlign w:val="center"/>
            <w:shd w:fill="F2F4F7"/>
            <w:tcMar>
              <w:top w:w="100" w:type="dxa"/>
              <w:bottom w:w="100" w:type="dxa"/>
              <w:left w:w="140" w:type="dxa"/>
              <w:right w:w="140" w:type="dxa"/>
            </w:tcMar>
          </w:tcPr>
          <w:p>
            <w:r>
              <w:rPr>
                <w:rFonts w:ascii="Times New Roman" w:hAnsi="Times New Roman"/>
                <w:sz w:val="18"/>
              </w:rPr>
              <w:t>11,758.0 ms</w:t>
            </w:r>
          </w:p>
        </w:tc>
        <w:tc>
          <w:tcPr>
            <w:tcW w:type="dxa" w:w="1560"/>
            <w:vAlign w:val="center"/>
            <w:shd w:fill="F2F4F7"/>
            <w:tcMar>
              <w:top w:w="100" w:type="dxa"/>
              <w:bottom w:w="100" w:type="dxa"/>
              <w:left w:w="140" w:type="dxa"/>
              <w:right w:w="140" w:type="dxa"/>
            </w:tcMar>
          </w:tcPr>
          <w:p>
            <w:r>
              <w:rPr>
                <w:rFonts w:ascii="Times New Roman" w:hAnsi="Times New Roman"/>
                <w:sz w:val="18"/>
              </w:rPr>
              <w:t>14,654.0 ms</w:t>
            </w:r>
          </w:p>
        </w:tc>
      </w:tr>
      <w:tr>
        <w:tc>
          <w:tcPr>
            <w:tcW w:type="dxa" w:w="1560"/>
            <w:vAlign w:val="center"/>
            <w:tcMar>
              <w:top w:w="100" w:type="dxa"/>
              <w:bottom w:w="100" w:type="dxa"/>
              <w:left w:w="140" w:type="dxa"/>
              <w:right w:w="140" w:type="dxa"/>
            </w:tcMar>
          </w:tcPr>
          <w:p>
            <w:r>
              <w:rPr>
                <w:rFonts w:ascii="Times New Roman" w:hAnsi="Times New Roman"/>
                <w:sz w:val="18"/>
              </w:rPr>
              <w:t>Speculative Retry</w:t>
            </w:r>
          </w:p>
        </w:tc>
        <w:tc>
          <w:tcPr>
            <w:tcW w:type="dxa" w:w="1560"/>
            <w:vAlign w:val="center"/>
            <w:tcMar>
              <w:top w:w="100" w:type="dxa"/>
              <w:bottom w:w="100" w:type="dxa"/>
              <w:left w:w="140" w:type="dxa"/>
              <w:right w:w="140" w:type="dxa"/>
            </w:tcMar>
          </w:tcPr>
          <w:p>
            <w:r>
              <w:rPr>
                <w:rFonts w:ascii="Times New Roman" w:hAnsi="Times New Roman"/>
                <w:sz w:val="18"/>
              </w:rPr>
              <w:t>19,200 ms</w:t>
            </w:r>
          </w:p>
        </w:tc>
        <w:tc>
          <w:tcPr>
            <w:tcW w:type="dxa" w:w="1560"/>
            <w:vAlign w:val="center"/>
            <w:tcMar>
              <w:top w:w="100" w:type="dxa"/>
              <w:bottom w:w="100" w:type="dxa"/>
              <w:left w:w="140" w:type="dxa"/>
              <w:right w:w="140" w:type="dxa"/>
            </w:tcMar>
          </w:tcPr>
          <w:p>
            <w:r>
              <w:rPr>
                <w:rFonts w:ascii="Times New Roman" w:hAnsi="Times New Roman"/>
                <w:sz w:val="18"/>
              </w:rPr>
              <w:t>5,511 – 6,414 ms</w:t>
            </w:r>
          </w:p>
        </w:tc>
        <w:tc>
          <w:tcPr>
            <w:tcW w:type="dxa" w:w="1560"/>
            <w:vAlign w:val="center"/>
            <w:tcMar>
              <w:top w:w="100" w:type="dxa"/>
              <w:bottom w:w="100" w:type="dxa"/>
              <w:left w:w="140" w:type="dxa"/>
              <w:right w:w="140" w:type="dxa"/>
            </w:tcMar>
          </w:tcPr>
          <w:p>
            <w:r>
              <w:rPr>
                <w:rFonts w:ascii="Times New Roman" w:hAnsi="Times New Roman"/>
                <w:sz w:val="18"/>
              </w:rPr>
              <w:t>5,732.7 ms</w:t>
            </w:r>
          </w:p>
        </w:tc>
        <w:tc>
          <w:tcPr>
            <w:tcW w:type="dxa" w:w="1560"/>
            <w:vAlign w:val="center"/>
            <w:tcMar>
              <w:top w:w="100" w:type="dxa"/>
              <w:bottom w:w="100" w:type="dxa"/>
              <w:left w:w="140" w:type="dxa"/>
              <w:right w:w="140" w:type="dxa"/>
            </w:tcMar>
          </w:tcPr>
          <w:p>
            <w:r>
              <w:rPr>
                <w:rFonts w:ascii="Times New Roman" w:hAnsi="Times New Roman"/>
                <w:sz w:val="18"/>
              </w:rPr>
              <w:t>6,414.1 ms</w:t>
            </w:r>
          </w:p>
        </w:tc>
        <w:tc>
          <w:tcPr>
            <w:tcW w:type="dxa" w:w="1560"/>
            <w:vAlign w:val="center"/>
            <w:tcMar>
              <w:top w:w="100" w:type="dxa"/>
              <w:bottom w:w="100" w:type="dxa"/>
              <w:left w:w="140" w:type="dxa"/>
              <w:right w:w="140" w:type="dxa"/>
            </w:tcMar>
          </w:tcPr>
          <w:p>
            <w:r>
              <w:rPr>
                <w:rFonts w:ascii="Times New Roman" w:hAnsi="Times New Roman"/>
                <w:sz w:val="18"/>
              </w:rPr>
              <w:t>11,006.0 ms (Spike)</w:t>
            </w:r>
          </w:p>
        </w:tc>
      </w:tr>
      <w:tr>
        <w:tc>
          <w:tcPr>
            <w:tcW w:type="dxa" w:w="1560"/>
            <w:vAlign w:val="center"/>
            <w:shd w:fill="F2F4F7"/>
            <w:tcMar>
              <w:top w:w="100" w:type="dxa"/>
              <w:bottom w:w="100" w:type="dxa"/>
              <w:left w:w="140" w:type="dxa"/>
              <w:right w:w="140" w:type="dxa"/>
            </w:tcMar>
          </w:tcPr>
          <w:p>
            <w:r>
              <w:rPr>
                <w:rFonts w:ascii="Times New Roman" w:hAnsi="Times New Roman"/>
                <w:sz w:val="18"/>
              </w:rPr>
              <w:t>T=0.2 Unconstrained</w:t>
            </w:r>
          </w:p>
        </w:tc>
        <w:tc>
          <w:tcPr>
            <w:tcW w:type="dxa" w:w="1560"/>
            <w:vAlign w:val="center"/>
            <w:shd w:fill="F2F4F7"/>
            <w:tcMar>
              <w:top w:w="100" w:type="dxa"/>
              <w:bottom w:w="100" w:type="dxa"/>
              <w:left w:w="140" w:type="dxa"/>
              <w:right w:w="140" w:type="dxa"/>
            </w:tcMar>
          </w:tcPr>
          <w:p>
            <w:r>
              <w:rPr>
                <w:rFonts w:ascii="Times New Roman" w:hAnsi="Times New Roman"/>
                <w:sz w:val="18"/>
              </w:rPr>
              <w:t>12,400 ms</w:t>
            </w:r>
          </w:p>
        </w:tc>
        <w:tc>
          <w:tcPr>
            <w:tcW w:type="dxa" w:w="1560"/>
            <w:vAlign w:val="center"/>
            <w:shd w:fill="F2F4F7"/>
            <w:tcMar>
              <w:top w:w="100" w:type="dxa"/>
              <w:bottom w:w="100" w:type="dxa"/>
              <w:left w:w="140" w:type="dxa"/>
              <w:right w:w="140" w:type="dxa"/>
            </w:tcMar>
          </w:tcPr>
          <w:p>
            <w:r>
              <w:rPr>
                <w:rFonts w:ascii="Times New Roman" w:hAnsi="Times New Roman"/>
                <w:sz w:val="18"/>
              </w:rPr>
              <w:t>3,091 – 3,456 ms</w:t>
            </w:r>
          </w:p>
        </w:tc>
        <w:tc>
          <w:tcPr>
            <w:tcW w:type="dxa" w:w="1560"/>
            <w:vAlign w:val="center"/>
            <w:shd w:fill="F2F4F7"/>
            <w:tcMar>
              <w:top w:w="100" w:type="dxa"/>
              <w:bottom w:w="100" w:type="dxa"/>
              <w:left w:w="140" w:type="dxa"/>
              <w:right w:w="140" w:type="dxa"/>
            </w:tcMar>
          </w:tcPr>
          <w:p>
            <w:r>
              <w:rPr>
                <w:rFonts w:ascii="Times New Roman" w:hAnsi="Times New Roman"/>
                <w:sz w:val="18"/>
              </w:rPr>
              <w:t>3,091.2 ms (Aborts)</w:t>
            </w:r>
          </w:p>
        </w:tc>
        <w:tc>
          <w:tcPr>
            <w:tcW w:type="dxa" w:w="1560"/>
            <w:vAlign w:val="center"/>
            <w:shd w:fill="F2F4F7"/>
            <w:tcMar>
              <w:top w:w="100" w:type="dxa"/>
              <w:bottom w:w="100" w:type="dxa"/>
              <w:left w:w="140" w:type="dxa"/>
              <w:right w:w="140" w:type="dxa"/>
            </w:tcMar>
          </w:tcPr>
          <w:p>
            <w:r>
              <w:rPr>
                <w:rFonts w:ascii="Times New Roman" w:hAnsi="Times New Roman"/>
                <w:sz w:val="18"/>
              </w:rPr>
              <w:t>3,752.8 ms</w:t>
            </w:r>
          </w:p>
        </w:tc>
        <w:tc>
          <w:tcPr>
            <w:tcW w:type="dxa" w:w="1560"/>
            <w:vAlign w:val="center"/>
            <w:shd w:fill="F2F4F7"/>
            <w:tcMar>
              <w:top w:w="100" w:type="dxa"/>
              <w:bottom w:w="100" w:type="dxa"/>
              <w:left w:w="140" w:type="dxa"/>
              <w:right w:w="140" w:type="dxa"/>
            </w:tcMar>
          </w:tcPr>
          <w:p>
            <w:r>
              <w:rPr>
                <w:rFonts w:ascii="Times New Roman" w:hAnsi="Times New Roman"/>
                <w:sz w:val="18"/>
              </w:rPr>
              <w:t>4,707.0 ms</w:t>
            </w:r>
          </w:p>
        </w:tc>
      </w:tr>
    </w:tbl>
    <w:p>
      <w:pPr>
        <w:spacing w:before="200" w:after="40"/>
        <w:jc w:val="center"/>
      </w:pPr>
    </w:p>
    <w:p>
      <w:pPr>
        <w:jc w:val="center"/>
      </w:pPr>
      <w:r>
        <w:drawing>
          <wp:inline xmlns:a="http://schemas.openxmlformats.org/drawingml/2006/main" xmlns:pic="http://schemas.openxmlformats.org/drawingml/2006/picture">
            <wp:extent cx="5303520" cy="2828544"/>
            <wp:docPr id="2" name="Picture 2"/>
            <wp:cNvGraphicFramePr>
              <a:graphicFrameLocks noChangeAspect="1"/>
            </wp:cNvGraphicFramePr>
            <a:graphic>
              <a:graphicData uri="http://schemas.openxmlformats.org/drawingml/2006/picture">
                <pic:pic>
                  <pic:nvPicPr>
                    <pic:cNvPr id="0" name="plot2_latency_decomposition.png"/>
                    <pic:cNvPicPr/>
                  </pic:nvPicPr>
                  <pic:blipFill>
                    <a:blip r:embed="rId10"/>
                    <a:stretch>
                      <a:fillRect/>
                    </a:stretch>
                  </pic:blipFill>
                  <pic:spPr>
                    <a:xfrm>
                      <a:off x="0" y="0"/>
                      <a:ext cx="5303520" cy="2828544"/>
                    </a:xfrm>
                    <a:prstGeom prst="rect"/>
                  </pic:spPr>
                </pic:pic>
              </a:graphicData>
            </a:graphic>
          </wp:inline>
        </w:drawing>
      </w:r>
    </w:p>
    <w:p>
      <w:pPr>
        <w:spacing w:after="200"/>
        <w:jc w:val="center"/>
      </w:pPr>
      <w:r>
        <w:rPr>
          <w:rFonts w:ascii="Times New Roman" w:hAnsi="Times New Roman"/>
          <w:i/>
          <w:color w:val="505050"/>
          <w:sz w:val="18"/>
        </w:rPr>
        <w:t>Figure 2: Latency Decomposition: Cold-Start Disk Load vs. Steady-State Warm Inference vs. p95 Tail Ceiling.</w:t>
      </w:r>
    </w:p>
    <w:p>
      <w:pPr>
        <w:spacing w:before="280" w:after="80"/>
      </w:pPr>
      <w:r>
        <w:rPr>
          <w:rFonts w:ascii="Times New Roman" w:hAnsi="Times New Roman"/>
          <w:b/>
          <w:color w:val="1F497D"/>
          <w:sz w:val="26"/>
        </w:rPr>
        <w:t>V. Tokenizer Ablation &amp; Centipawn Loss Analysis</w:t>
      </w:r>
    </w:p>
    <w:p>
      <w:pPr>
        <w:spacing w:after="80" w:line="276" w:lineRule="auto"/>
      </w:pPr>
      <w:r>
        <w:rPr>
          <w:rFonts w:ascii="Times New Roman" w:hAnsi="Times New Roman"/>
          <w:sz w:val="20"/>
        </w:rPr>
        <w:t>Table III presents the representation ablation study demonstrating the mechanism of Byte-Pair Encoding subword boundary isolation:</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shd w:fill="1F497D"/>
            <w:tcMar>
              <w:top w:w="140" w:type="dxa"/>
              <w:bottom w:w="140" w:type="dxa"/>
              <w:left w:w="180" w:type="dxa"/>
              <w:right w:w="180" w:type="dxa"/>
            </w:tcMar>
          </w:tcPr>
          <w:p>
            <w:pPr>
              <w:jc w:val="center"/>
            </w:pPr>
            <w:r>
              <w:rPr>
                <w:rFonts w:ascii="Times New Roman" w:hAnsi="Times New Roman"/>
                <w:b/>
                <w:color w:val="FFFFFF"/>
                <w:sz w:val="19"/>
              </w:rPr>
              <w:t>Representation Scheme</w:t>
            </w:r>
          </w:p>
        </w:tc>
        <w:tc>
          <w:tcPr>
            <w:tcW w:type="dxa" w:w="2340"/>
            <w:vAlign w:val="center"/>
            <w:shd w:fill="1F497D"/>
            <w:tcMar>
              <w:top w:w="140" w:type="dxa"/>
              <w:bottom w:w="140" w:type="dxa"/>
              <w:left w:w="180" w:type="dxa"/>
              <w:right w:w="180" w:type="dxa"/>
            </w:tcMar>
          </w:tcPr>
          <w:p>
            <w:pPr>
              <w:jc w:val="center"/>
            </w:pPr>
            <w:r>
              <w:rPr>
                <w:rFonts w:ascii="Times New Roman" w:hAnsi="Times New Roman"/>
                <w:b/>
                <w:color w:val="FFFFFF"/>
                <w:sz w:val="19"/>
              </w:rPr>
              <w:t>Example Format Injected into Prompt</w:t>
            </w:r>
          </w:p>
        </w:tc>
        <w:tc>
          <w:tcPr>
            <w:tcW w:type="dxa" w:w="2340"/>
            <w:vAlign w:val="center"/>
            <w:shd w:fill="1F497D"/>
            <w:tcMar>
              <w:top w:w="140" w:type="dxa"/>
              <w:bottom w:w="140" w:type="dxa"/>
              <w:left w:w="180" w:type="dxa"/>
              <w:right w:w="180" w:type="dxa"/>
            </w:tcMar>
          </w:tcPr>
          <w:p>
            <w:pPr>
              <w:jc w:val="center"/>
            </w:pPr>
            <w:r>
              <w:rPr>
                <w:rFonts w:ascii="Times New Roman" w:hAnsi="Times New Roman"/>
                <w:b/>
                <w:color w:val="FFFFFF"/>
                <w:sz w:val="19"/>
              </w:rPr>
              <w:t>Output Token Legality</w:t>
            </w:r>
          </w:p>
        </w:tc>
        <w:tc>
          <w:tcPr>
            <w:tcW w:type="dxa" w:w="2340"/>
            <w:vAlign w:val="center"/>
            <w:shd w:fill="1F497D"/>
            <w:tcMar>
              <w:top w:w="140" w:type="dxa"/>
              <w:bottom w:w="140" w:type="dxa"/>
              <w:left w:w="180" w:type="dxa"/>
              <w:right w:w="180" w:type="dxa"/>
            </w:tcMar>
          </w:tcPr>
          <w:p>
            <w:pPr>
              <w:jc w:val="center"/>
            </w:pPr>
            <w:r>
              <w:rPr>
                <w:rFonts w:ascii="Times New Roman" w:hAnsi="Times New Roman"/>
                <w:b/>
                <w:color w:val="FFFFFF"/>
                <w:sz w:val="19"/>
              </w:rPr>
              <w:t>Observed Failure Mode / Mechanism</w:t>
            </w:r>
          </w:p>
        </w:tc>
      </w:tr>
      <w:tr>
        <w:tc>
          <w:tcPr>
            <w:tcW w:type="dxa" w:w="2340"/>
            <w:vAlign w:val="center"/>
            <w:tcMar>
              <w:top w:w="100" w:type="dxa"/>
              <w:bottom w:w="100" w:type="dxa"/>
              <w:left w:w="140" w:type="dxa"/>
              <w:right w:w="140" w:type="dxa"/>
            </w:tcMar>
          </w:tcPr>
          <w:p>
            <w:r>
              <w:rPr>
                <w:rFonts w:ascii="Times New Roman" w:hAnsi="Times New Roman"/>
                <w:sz w:val="18"/>
              </w:rPr>
              <w:t>Grouped DMC (Verbose)</w:t>
            </w:r>
          </w:p>
        </w:tc>
        <w:tc>
          <w:tcPr>
            <w:tcW w:type="dxa" w:w="2340"/>
            <w:vAlign w:val="center"/>
            <w:tcMar>
              <w:top w:w="100" w:type="dxa"/>
              <w:bottom w:w="100" w:type="dxa"/>
              <w:left w:w="140" w:type="dxa"/>
              <w:right w:w="140" w:type="dxa"/>
            </w:tcMar>
          </w:tcPr>
          <w:p>
            <w:r>
              <w:rPr>
                <w:rFonts w:ascii="Times New Roman" w:hAnsi="Times New Roman"/>
                <w:sz w:val="18"/>
              </w:rPr>
              <w:t>a7:["a5","a6"]|b8:["a6","c6"]</w:t>
            </w:r>
          </w:p>
        </w:tc>
        <w:tc>
          <w:tcPr>
            <w:tcW w:type="dxa" w:w="2340"/>
            <w:vAlign w:val="center"/>
            <w:tcMar>
              <w:top w:w="100" w:type="dxa"/>
              <w:bottom w:w="100" w:type="dxa"/>
              <w:left w:w="140" w:type="dxa"/>
              <w:right w:w="140" w:type="dxa"/>
            </w:tcMar>
          </w:tcPr>
          <w:p>
            <w:r>
              <w:rPr>
                <w:rFonts w:ascii="Times New Roman" w:hAnsi="Times New Roman"/>
                <w:sz w:val="18"/>
              </w:rPr>
              <w:t>80.0%</w:t>
            </w:r>
          </w:p>
        </w:tc>
        <w:tc>
          <w:tcPr>
            <w:tcW w:type="dxa" w:w="2340"/>
            <w:vAlign w:val="center"/>
            <w:tcMar>
              <w:top w:w="100" w:type="dxa"/>
              <w:bottom w:w="100" w:type="dxa"/>
              <w:left w:w="140" w:type="dxa"/>
              <w:right w:w="140" w:type="dxa"/>
            </w:tcMar>
          </w:tcPr>
          <w:p>
            <w:r>
              <w:rPr>
                <w:rFonts w:ascii="Times New Roman" w:hAnsi="Times New Roman"/>
                <w:sz w:val="18"/>
              </w:rPr>
              <w:t>Compositional Hallucination: Concatenated origin square with target (e.g. e72e4).</w:t>
            </w:r>
          </w:p>
        </w:tc>
      </w:tr>
      <w:tr>
        <w:tc>
          <w:tcPr>
            <w:tcW w:type="dxa" w:w="2340"/>
            <w:vAlign w:val="center"/>
            <w:shd w:fill="F2F4F7"/>
            <w:tcMar>
              <w:top w:w="100" w:type="dxa"/>
              <w:bottom w:w="100" w:type="dxa"/>
              <w:left w:w="140" w:type="dxa"/>
              <w:right w:w="140" w:type="dxa"/>
            </w:tcMar>
          </w:tcPr>
          <w:p>
            <w:r>
              <w:rPr>
                <w:rFonts w:ascii="Times New Roman" w:hAnsi="Times New Roman"/>
                <w:sz w:val="18"/>
              </w:rPr>
              <w:t>Space-Delimited Atomic</w:t>
            </w:r>
          </w:p>
        </w:tc>
        <w:tc>
          <w:tcPr>
            <w:tcW w:type="dxa" w:w="2340"/>
            <w:vAlign w:val="center"/>
            <w:shd w:fill="F2F4F7"/>
            <w:tcMar>
              <w:top w:w="100" w:type="dxa"/>
              <w:bottom w:w="100" w:type="dxa"/>
              <w:left w:w="140" w:type="dxa"/>
              <w:right w:w="140" w:type="dxa"/>
            </w:tcMar>
          </w:tcPr>
          <w:p>
            <w:r>
              <w:rPr>
                <w:rFonts w:ascii="Times New Roman" w:hAnsi="Times New Roman"/>
                <w:sz w:val="18"/>
              </w:rPr>
              <w:t>a7a5 a7a6 b7b5 b7b6 c7c5</w:t>
            </w:r>
          </w:p>
        </w:tc>
        <w:tc>
          <w:tcPr>
            <w:tcW w:type="dxa" w:w="2340"/>
            <w:vAlign w:val="center"/>
            <w:shd w:fill="F2F4F7"/>
            <w:tcMar>
              <w:top w:w="100" w:type="dxa"/>
              <w:bottom w:w="100" w:type="dxa"/>
              <w:left w:w="140" w:type="dxa"/>
              <w:right w:w="140" w:type="dxa"/>
            </w:tcMar>
          </w:tcPr>
          <w:p>
            <w:r>
              <w:rPr>
                <w:rFonts w:ascii="Times New Roman" w:hAnsi="Times New Roman"/>
                <w:sz w:val="18"/>
              </w:rPr>
              <w:t>73.3%</w:t>
            </w:r>
          </w:p>
        </w:tc>
        <w:tc>
          <w:tcPr>
            <w:tcW w:type="dxa" w:w="2340"/>
            <w:vAlign w:val="center"/>
            <w:shd w:fill="F2F4F7"/>
            <w:tcMar>
              <w:top w:w="100" w:type="dxa"/>
              <w:bottom w:w="100" w:type="dxa"/>
              <w:left w:w="140" w:type="dxa"/>
              <w:right w:w="140" w:type="dxa"/>
            </w:tcMar>
          </w:tcPr>
          <w:p>
            <w:r>
              <w:rPr>
                <w:rFonts w:ascii="Times New Roman" w:hAnsi="Times New Roman"/>
                <w:sz w:val="18"/>
              </w:rPr>
              <w:t>BPE Token Merging: Merged adjacent coordinates across spaces (b72, e72-3).</w:t>
            </w:r>
          </w:p>
        </w:tc>
      </w:tr>
      <w:tr>
        <w:tc>
          <w:tcPr>
            <w:tcW w:type="dxa" w:w="2340"/>
            <w:vAlign w:val="center"/>
            <w:tcMar>
              <w:top w:w="100" w:type="dxa"/>
              <w:bottom w:w="100" w:type="dxa"/>
              <w:left w:w="140" w:type="dxa"/>
              <w:right w:w="140" w:type="dxa"/>
            </w:tcMar>
          </w:tcPr>
          <w:p>
            <w:r>
              <w:rPr>
                <w:rFonts w:ascii="Times New Roman" w:hAnsi="Times New Roman"/>
                <w:sz w:val="18"/>
              </w:rPr>
              <w:t>Quoted Atomic (Proposed)</w:t>
            </w:r>
          </w:p>
        </w:tc>
        <w:tc>
          <w:tcPr>
            <w:tcW w:type="dxa" w:w="2340"/>
            <w:vAlign w:val="center"/>
            <w:tcMar>
              <w:top w:w="100" w:type="dxa"/>
              <w:bottom w:w="100" w:type="dxa"/>
              <w:left w:w="140" w:type="dxa"/>
              <w:right w:w="140" w:type="dxa"/>
            </w:tcMar>
          </w:tcPr>
          <w:p>
            <w:r>
              <w:rPr>
                <w:rFonts w:ascii="Times New Roman" w:hAnsi="Times New Roman"/>
                <w:sz w:val="18"/>
              </w:rPr>
              <w:t>"a7a5", "a7a6", "b7b5", "b7b6"</w:t>
            </w:r>
          </w:p>
        </w:tc>
        <w:tc>
          <w:tcPr>
            <w:tcW w:type="dxa" w:w="2340"/>
            <w:vAlign w:val="center"/>
            <w:tcMar>
              <w:top w:w="100" w:type="dxa"/>
              <w:bottom w:w="100" w:type="dxa"/>
              <w:left w:w="140" w:type="dxa"/>
              <w:right w:w="140" w:type="dxa"/>
            </w:tcMar>
          </w:tcPr>
          <w:p>
            <w:r>
              <w:rPr>
                <w:rFonts w:ascii="Times New Roman" w:hAnsi="Times New Roman"/>
                <w:sz w:val="18"/>
              </w:rPr>
              <w:t>100.0%</w:t>
            </w:r>
          </w:p>
        </w:tc>
        <w:tc>
          <w:tcPr>
            <w:tcW w:type="dxa" w:w="2340"/>
            <w:vAlign w:val="center"/>
            <w:tcMar>
              <w:top w:w="100" w:type="dxa"/>
              <w:bottom w:w="100" w:type="dxa"/>
              <w:left w:w="140" w:type="dxa"/>
              <w:right w:w="140" w:type="dxa"/>
            </w:tcMar>
          </w:tcPr>
          <w:p>
            <w:r>
              <w:rPr>
                <w:rFonts w:ascii="Times New Roman" w:hAnsi="Times New Roman"/>
                <w:sz w:val="18"/>
              </w:rPr>
              <w:t>None (Zero Errors): Quotation delimiters act as physical attention barriers.</w:t>
            </w:r>
          </w:p>
        </w:tc>
      </w:tr>
    </w:tbl>
    <w:p>
      <w:pPr>
        <w:spacing w:before="200" w:after="40"/>
        <w:jc w:val="center"/>
      </w:pPr>
    </w:p>
    <w:p>
      <w:pPr>
        <w:jc w:val="center"/>
      </w:pPr>
      <w:r>
        <w:drawing>
          <wp:inline xmlns:a="http://schemas.openxmlformats.org/drawingml/2006/main" xmlns:pic="http://schemas.openxmlformats.org/drawingml/2006/picture">
            <wp:extent cx="5303520" cy="2807746"/>
            <wp:docPr id="3" name="Picture 3"/>
            <wp:cNvGraphicFramePr>
              <a:graphicFrameLocks noChangeAspect="1"/>
            </wp:cNvGraphicFramePr>
            <a:graphic>
              <a:graphicData uri="http://schemas.openxmlformats.org/drawingml/2006/picture">
                <pic:pic>
                  <pic:nvPicPr>
                    <pic:cNvPr id="0" name="plot3_acpl_quality.png"/>
                    <pic:cNvPicPr/>
                  </pic:nvPicPr>
                  <pic:blipFill>
                    <a:blip r:embed="rId11"/>
                    <a:stretch>
                      <a:fillRect/>
                    </a:stretch>
                  </pic:blipFill>
                  <pic:spPr>
                    <a:xfrm>
                      <a:off x="0" y="0"/>
                      <a:ext cx="5303520" cy="2807746"/>
                    </a:xfrm>
                    <a:prstGeom prst="rect"/>
                  </pic:spPr>
                </pic:pic>
              </a:graphicData>
            </a:graphic>
          </wp:inline>
        </w:drawing>
      </w:r>
    </w:p>
    <w:p>
      <w:pPr>
        <w:spacing w:after="200"/>
        <w:jc w:val="center"/>
      </w:pPr>
      <w:r>
        <w:rPr>
          <w:rFonts w:ascii="Times New Roman" w:hAnsi="Times New Roman"/>
          <w:i/>
          <w:color w:val="505050"/>
          <w:sz w:val="18"/>
        </w:rPr>
        <w:t>Figure 3: Stockfish 18 Average Centipawn Loss (ACPL). Constrained play sustains authentic club-level quality (55.8–67.0 cp) across full multi-turn games.</w:t>
      </w:r>
    </w:p>
    <w:p>
      <w:pPr>
        <w:spacing w:before="200" w:after="40"/>
        <w:jc w:val="center"/>
      </w:pP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plot4_token_compression.png"/>
                    <pic:cNvPicPr/>
                  </pic:nvPicPr>
                  <pic:blipFill>
                    <a:blip r:embed="rId12"/>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4: Prompt Token Footprint Comparison. Dynamic Move Compression cuts prefill compute payload by 45%.</w:t>
      </w:r>
    </w:p>
    <w:p>
      <w:pPr>
        <w:spacing w:before="280" w:after="80"/>
      </w:pPr>
      <w:r>
        <w:rPr>
          <w:rFonts w:ascii="Times New Roman" w:hAnsi="Times New Roman"/>
          <w:b/>
          <w:color w:val="1F497D"/>
          <w:sz w:val="26"/>
        </w:rPr>
        <w:t>VI. Conclusion</w:t>
      </w:r>
    </w:p>
    <w:p>
      <w:pPr>
        <w:spacing w:after="80" w:line="276" w:lineRule="auto"/>
      </w:pPr>
      <w:r>
        <w:rPr>
          <w:rFonts w:ascii="Times New Roman" w:hAnsi="Times New Roman"/>
          <w:sz w:val="20"/>
        </w:rPr>
        <w:t>We demonstrated that prompt-level candidate injection with BPE token boundary isolation eliminates hallucinated illegal moves in general-purpose LLMs without task-specific fine-tuning. Our Fast Clamped DMC architecture delivers 100.0% legal compliance, sub-second steady-state execution (792 ms – 1,119 ms), and authentic club-level chess play (67.0 cp ACPL) on commodity CPU hardware.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