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i w:val="0"/>
          <w:sz w:val="32"/>
        </w:rPr>
        <w:t>Constraining Large Language Model Chess Move Generation: A Prompt-Level Legal Move Injection Approach to Eliminating Hallucinations</w:t>
      </w:r>
    </w:p>
    <w:p>
      <w:pPr>
        <w:spacing w:after="40"/>
        <w:jc w:val="center"/>
      </w:pPr>
      <w:r>
        <w:rPr>
          <w:rFonts w:ascii="Times New Roman" w:hAnsi="Times New Roman"/>
          <w:b/>
          <w:i w:val="0"/>
          <w:sz w:val="24"/>
        </w:rPr>
        <w:t>Arpit Panigrahi</w:t>
      </w:r>
    </w:p>
    <w:p>
      <w:pPr>
        <w:spacing w:after="40"/>
        <w:jc w:val="center"/>
      </w:pPr>
      <w:r>
        <w:rPr>
          <w:rFonts w:ascii="Times New Roman" w:hAnsi="Times New Roman"/>
          <w:b w:val="0"/>
          <w:i/>
          <w:sz w:val="20"/>
        </w:rPr>
        <w:t>School of Computer Science and Engineering, Vellore Institute of Technology (VIT), Chennai, Tamil Nadu, India</w:t>
      </w:r>
    </w:p>
    <w:p>
      <w:pPr>
        <w:spacing w:after="40"/>
        <w:jc w:val="center"/>
      </w:pPr>
      <w:r>
        <w:rPr>
          <w:rFonts w:ascii="Times New Roman" w:hAnsi="Times New Roman"/>
          <w:b w:val="0"/>
          <w:i w:val="0"/>
          <w:sz w:val="20"/>
        </w:rPr>
        <w:t>Email: arpitpanigrahi06@gmail.com</w:t>
      </w:r>
    </w:p>
    <w:p>
      <w:pPr>
        <w:spacing w:after="240"/>
        <w:jc w:val="center"/>
      </w:pPr>
      <w:r>
        <w:rPr>
          <w:rFonts w:ascii="Times New Roman" w:hAnsi="Times New Roman"/>
          <w:b w:val="0"/>
          <w:i w:val="0"/>
          <w:sz w:val="20"/>
        </w:rPr>
        <w:t>GitHub: https://github.com/Arpit-Panigrahi/llm-chess-engine</w:t>
      </w:r>
    </w:p>
    <w:p>
      <w:r>
        <w:rPr>
          <w:sz w:val="12"/>
        </w:rPr>
        <w:t>────────────────────────────────────────────────────────────────────────────────</w:t>
      </w:r>
    </w:p>
    <w:p>
      <w:pPr>
        <w:spacing w:after="120" w:before="120"/>
        <w:jc w:val="center"/>
      </w:pPr>
      <w:r>
        <w:rPr>
          <w:rFonts w:ascii="Times New Roman" w:hAnsi="Times New Roman"/>
          <w:b/>
          <w:i w:val="0"/>
          <w:sz w:val="22"/>
        </w:rPr>
        <w:t>Abstract</w:t>
      </w:r>
    </w:p>
    <w:p>
      <w:pPr>
        <w:spacing w:after="120"/>
        <w:jc w:val="both"/>
      </w:pPr>
      <w:r>
        <w:rPr>
          <w:rFonts w:ascii="Times New Roman" w:hAnsi="Times New Roman"/>
          <w:b w:val="0"/>
          <w:i/>
          <w:sz w:val="18"/>
        </w:rPr>
        <w:t>Large Language Models (LLMs) demonstrate broad linguistic competence but struggle with tasks requiring strict adherence to formal rule systems, such as legal chess move generation. This paper investigates the efficacy of prompt-level constrained decoding—injecting the complete list of legal UCI moves into the prompt context—as a method for eliminating hallucinated (illegal) chess moves produced by the Llama 3.1 8B model. We present a reproducible experimental platform integrating the VICE chess engine with the Ollama inference server and a Python-based orchestrator. Across a standardized three-condition experiment matrix (N=220 games, 641 LLM calls), we find that unconstrained generation reaches a hard ceiling of approximately 52% legal move rate regardless of sampling temperature (T=0.2: 52.6%, T=0.8: 52.4%), while prompt-level constraint injection achieves a perfect 100.0% legal move rate. Furthermore, constrained decoding increases move diversity from 11 unique moves (unconstrained) to 40 unique moves, demonstrating that structured constraints not only eliminate hallucinations but also unlock richer strategic exploration. The entire experimental platform, telemetry, and analysis pipeline are released as open-source software for full reproducibility.</w:t>
      </w:r>
    </w:p>
    <w:p>
      <w:pPr>
        <w:spacing w:after="240"/>
      </w:pPr>
      <w:r>
        <w:rPr>
          <w:rFonts w:ascii="Times New Roman" w:hAnsi="Times New Roman"/>
          <w:b/>
          <w:sz w:val="18"/>
        </w:rPr>
        <w:t xml:space="preserve">Keywords: </w:t>
      </w:r>
      <w:r>
        <w:rPr>
          <w:rFonts w:ascii="Times New Roman" w:hAnsi="Times New Roman"/>
          <w:i/>
          <w:sz w:val="18"/>
        </w:rPr>
        <w:t>Large Language Models, Chess, Hallucination, Constrained Decoding, Prompt Engineering, Llama, UCI Protocol, Move Legality</w:t>
      </w:r>
    </w:p>
    <w:p>
      <w:r>
        <w:rPr>
          <w:sz w:val="12"/>
        </w:rPr>
        <w:t>────────────────────────────────────────────────────────────────────────────────</w:t>
      </w:r>
    </w:p>
    <w:p>
      <w:pPr>
        <w:spacing w:after="120" w:before="240"/>
      </w:pPr>
      <w:r>
        <w:rPr>
          <w:rFonts w:ascii="Times New Roman" w:hAnsi="Times New Roman"/>
          <w:b/>
          <w:i w:val="0"/>
          <w:sz w:val="24"/>
        </w:rPr>
        <w:t>I. Introduction</w:t>
      </w:r>
    </w:p>
    <w:p>
      <w:pPr>
        <w:spacing w:after="120"/>
        <w:jc w:val="both"/>
      </w:pPr>
      <w:r>
        <w:rPr>
          <w:rFonts w:ascii="Times New Roman" w:hAnsi="Times New Roman"/>
          <w:b w:val="0"/>
          <w:i w:val="0"/>
          <w:sz w:val="20"/>
        </w:rPr>
        <w:t>Large Language Models (LLMs) have demonstrated remarkable capabilities across diverse natural language processing tasks, from text generation and summarization to code synthesis and logical reasoning [1]. However, their application to domains governed by strict formal rules—such as board games, mathematical proofs, and protocol-compliant communication—reveals a fundamental limitation: LLMs frequently generate outputs that violate the underlying rule system, a phenomenon commonly referred to as hallucination [2].</w:t>
      </w:r>
    </w:p>
    <w:p>
      <w:pPr>
        <w:spacing w:after="120"/>
        <w:jc w:val="both"/>
      </w:pPr>
      <w:r>
        <w:rPr>
          <w:rFonts w:ascii="Times New Roman" w:hAnsi="Times New Roman"/>
          <w:b w:val="0"/>
          <w:i w:val="0"/>
          <w:sz w:val="20"/>
        </w:rPr>
        <w:t>Chess serves as an ideal testbed for studying this limitation. The game is fully deterministic, has well-defined rules for legal move generation given any board position encoded in Forsyth–Edwards Notation (FEN), and moves can be unambiguously represented in Universal Chess Interface (UCI) format (e.g., e2e4, g8f6). When an LLM is prompted with a FEN position and asked to produce a UCI move, the output can be immediately validated against the complete set of legal moves for that position.</w:t>
      </w:r>
    </w:p>
    <w:p>
      <w:pPr>
        <w:spacing w:after="120"/>
        <w:jc w:val="both"/>
      </w:pPr>
      <w:r>
        <w:rPr>
          <w:rFonts w:ascii="Times New Roman" w:hAnsi="Times New Roman"/>
          <w:b w:val="0"/>
          <w:i w:val="0"/>
          <w:sz w:val="20"/>
        </w:rPr>
        <w:t>Prior work has explored LLM chess capabilities through direct prompting [3], fine-tuning on game databases [4], and integration with classical search algorithms [5]. However, the quantitative relationship between sampling temperature, prompt-level constraint injection, and legal move rates has not been systematically evaluated under controlled experimental conditions.</w:t>
      </w:r>
    </w:p>
    <w:p>
      <w:pPr>
        <w:spacing w:after="120"/>
        <w:jc w:val="both"/>
      </w:pPr>
      <w:r>
        <w:rPr>
          <w:rFonts w:ascii="Times New Roman" w:hAnsi="Times New Roman"/>
          <w:b w:val="0"/>
          <w:i w:val="0"/>
          <w:sz w:val="20"/>
        </w:rPr>
        <w:t>This paper makes the following contributions:</w:t>
      </w:r>
    </w:p>
    <w:p>
      <w:pPr>
        <w:pStyle w:val="ListNumber"/>
        <w:spacing w:after="60"/>
      </w:pPr>
      <w:r>
        <w:rPr>
          <w:rFonts w:ascii="Times New Roman" w:hAnsi="Times New Roman"/>
          <w:sz w:val="20"/>
        </w:rPr>
        <w:t>An open-source experimental platform integrating the VICE chess engine [6] with the Ollama inference server [7] and a Python-based orchestrator for automated, reproducible experiment execution.</w:t>
      </w:r>
    </w:p>
    <w:p>
      <w:pPr>
        <w:pStyle w:val="ListNumber"/>
        <w:spacing w:after="60"/>
      </w:pPr>
      <w:r>
        <w:rPr>
          <w:rFonts w:ascii="Times New Roman" w:hAnsi="Times New Roman"/>
          <w:sz w:val="20"/>
        </w:rPr>
        <w:t>A standardized three-condition experiment matrix isolating the effects of sampling temperature and prompt-level legal move injection on move legality.</w:t>
      </w:r>
    </w:p>
    <w:p>
      <w:pPr>
        <w:pStyle w:val="ListNumber"/>
        <w:spacing w:after="60"/>
      </w:pPr>
      <w:r>
        <w:rPr>
          <w:rFonts w:ascii="Times New Roman" w:hAnsi="Times New Roman"/>
          <w:sz w:val="20"/>
        </w:rPr>
        <w:t>Empirical evidence that unconstrained LLM chess move generation reaches a hard ceiling of approximately 52% legality regardless of temperature, while prompt-level constraint injection achieves 100% legality with significantly increased move diversity.</w:t>
      </w:r>
    </w:p>
    <w:p>
      <w:pPr>
        <w:spacing w:after="120" w:before="240"/>
      </w:pPr>
      <w:r>
        <w:rPr>
          <w:rFonts w:ascii="Times New Roman" w:hAnsi="Times New Roman"/>
          <w:b/>
          <w:i w:val="0"/>
          <w:sz w:val="24"/>
        </w:rPr>
        <w:t>II. Related Work</w:t>
      </w:r>
    </w:p>
    <w:p>
      <w:pPr>
        <w:spacing w:after="80"/>
      </w:pPr>
      <w:r>
        <w:rPr>
          <w:rFonts w:ascii="Times New Roman" w:hAnsi="Times New Roman"/>
          <w:b/>
          <w:i/>
          <w:sz w:val="22"/>
        </w:rPr>
        <w:t>A. LLM Chess Capabilities</w:t>
      </w:r>
    </w:p>
    <w:p>
      <w:pPr>
        <w:spacing w:after="120"/>
        <w:jc w:val="both"/>
      </w:pPr>
      <w:r>
        <w:rPr>
          <w:rFonts w:ascii="Times New Roman" w:hAnsi="Times New Roman"/>
          <w:b w:val="0"/>
          <w:i w:val="0"/>
          <w:sz w:val="20"/>
        </w:rPr>
        <w:t>Recent studies have evaluated LLMs on chess tasks, including position evaluation, move prediction, and full game play. Toshniwal et al. [3] demonstrated that GPT-3.5 and GPT-4 can play legal chess when given careful prompting, though legality rates degrade significantly in complex positions. Feng et al. [4] fine-tuned language models on PGN game databases and achieved competitive play, but required extensive training data. Our work differs by evaluating a general-purpose, unmodified LLM (Llama 3.1 8B) without fine-tuning, focusing specifically on the prompt-level constraint mechanism.</w:t>
      </w:r>
    </w:p>
    <w:p>
      <w:pPr>
        <w:spacing w:after="80"/>
      </w:pPr>
      <w:r>
        <w:rPr>
          <w:rFonts w:ascii="Times New Roman" w:hAnsi="Times New Roman"/>
          <w:b/>
          <w:i/>
          <w:sz w:val="22"/>
        </w:rPr>
        <w:t>B. Hallucination in LLMs</w:t>
      </w:r>
    </w:p>
    <w:p>
      <w:pPr>
        <w:spacing w:after="120"/>
        <w:jc w:val="both"/>
      </w:pPr>
      <w:r>
        <w:rPr>
          <w:rFonts w:ascii="Times New Roman" w:hAnsi="Times New Roman"/>
          <w:b w:val="0"/>
          <w:i w:val="0"/>
          <w:sz w:val="20"/>
        </w:rPr>
        <w:t>Hallucination—the generation of outputs that are factually incorrect, inconsistent, or violate domain constraints—is a well-documented challenge in LLM research [2]. In the chess domain, hallucination manifests as the generation of illegal moves: moves that reference non-existent squares, move pieces that do not exist at the claimed origin, or violate movement rules. Our work provides a controlled environment to measure hallucination rates precisely, as legality is binary and deterministic.</w:t>
      </w:r>
    </w:p>
    <w:p>
      <w:pPr>
        <w:spacing w:after="80"/>
      </w:pPr>
      <w:r>
        <w:rPr>
          <w:rFonts w:ascii="Times New Roman" w:hAnsi="Times New Roman"/>
          <w:b/>
          <w:i/>
          <w:sz w:val="22"/>
        </w:rPr>
        <w:t>C. Constrained Decoding</w:t>
      </w:r>
    </w:p>
    <w:p>
      <w:pPr>
        <w:spacing w:after="120"/>
        <w:jc w:val="both"/>
      </w:pPr>
      <w:r>
        <w:rPr>
          <w:rFonts w:ascii="Times New Roman" w:hAnsi="Times New Roman"/>
          <w:b w:val="0"/>
          <w:i w:val="0"/>
          <w:sz w:val="20"/>
        </w:rPr>
        <w:t>Constrained decoding techniques restrict the output space of language models to satisfy specified constraints. Token-level approaches modify the decoding algorithm directly [8], while prompt-level approaches provide structural constraints within the input context. Our method falls into the latter category: we inject the complete list of legal UCI moves into the prompt, instructing the model to select from this list. This approach requires no model modification and is compatible with any inference API.</w:t>
      </w:r>
    </w:p>
    <w:p>
      <w:pPr>
        <w:spacing w:after="120" w:before="240"/>
      </w:pPr>
      <w:r>
        <w:rPr>
          <w:rFonts w:ascii="Times New Roman" w:hAnsi="Times New Roman"/>
          <w:b/>
          <w:i w:val="0"/>
          <w:sz w:val="24"/>
        </w:rPr>
        <w:t>III. System Architecture</w:t>
      </w:r>
    </w:p>
    <w:p>
      <w:pPr>
        <w:spacing w:after="80"/>
      </w:pPr>
      <w:r>
        <w:rPr>
          <w:rFonts w:ascii="Times New Roman" w:hAnsi="Times New Roman"/>
          <w:b/>
          <w:i/>
          <w:sz w:val="22"/>
        </w:rPr>
        <w:t>A. Overview</w:t>
      </w:r>
    </w:p>
    <w:p>
      <w:pPr>
        <w:spacing w:after="80"/>
        <w:jc w:val="both"/>
      </w:pPr>
      <w:r>
        <w:rPr>
          <w:rFonts w:ascii="Times New Roman" w:hAnsi="Times New Roman"/>
          <w:b/>
          <w:sz w:val="20"/>
        </w:rPr>
        <w:t xml:space="preserve">1. VICE Chess Engine (C): </w:t>
      </w:r>
      <w:r>
        <w:rPr>
          <w:rFonts w:ascii="Times New Roman" w:hAnsi="Times New Roman"/>
          <w:sz w:val="20"/>
        </w:rPr>
        <w:t>A modified version of the open-source VICE engine [6] by Bluefever Software/Richard Allbert, extended with four custom modules: llm_search.c (LLM search entry point), http_client.c (Ollama HTTP integration via libcurl), llm_parser.c (UCI move extraction), and telemetry.c (CSV telemetry logging).</w:t>
      </w:r>
    </w:p>
    <w:p>
      <w:pPr>
        <w:spacing w:after="80"/>
        <w:jc w:val="both"/>
      </w:pPr>
      <w:r>
        <w:rPr>
          <w:rFonts w:ascii="Times New Roman" w:hAnsi="Times New Roman"/>
          <w:b/>
          <w:sz w:val="20"/>
        </w:rPr>
        <w:t xml:space="preserve">2. Ollama Inference Server: </w:t>
      </w:r>
      <w:r>
        <w:rPr>
          <w:rFonts w:ascii="Times New Roman" w:hAnsi="Times New Roman"/>
          <w:sz w:val="20"/>
        </w:rPr>
        <w:t>A locally-hosted LLM server [7] running the Llama 3.1 8B model (4-bit quantization, Q4_0). All inference is performed via the /api/generate REST endpoint with configurable temperature and seed parameters.</w:t>
      </w:r>
    </w:p>
    <w:p>
      <w:pPr>
        <w:spacing w:after="80"/>
        <w:jc w:val="both"/>
      </w:pPr>
      <w:r>
        <w:rPr>
          <w:rFonts w:ascii="Times New Roman" w:hAnsi="Times New Roman"/>
          <w:b/>
          <w:sz w:val="20"/>
        </w:rPr>
        <w:t xml:space="preserve">3. Python Orchestrator (run_game.py): </w:t>
      </w:r>
      <w:r>
        <w:rPr>
          <w:rFonts w:ascii="Times New Roman" w:hAnsi="Times New Roman"/>
          <w:sz w:val="20"/>
        </w:rPr>
        <w:t>A pure-Python game runner providing full programmatic control over temperature, constrained decoding, seed, and model parameters. White plays random legal moves (seeded); Black plays via LLM.</w:t>
      </w:r>
    </w:p>
    <w:p>
      <w:pPr>
        <w:spacing w:after="80"/>
        <w:jc w:val="both"/>
      </w:pPr>
      <w:r>
        <w:rPr>
          <w:rFonts w:ascii="Times New Roman" w:hAnsi="Times New Roman"/>
          <w:b/>
          <w:sz w:val="20"/>
        </w:rPr>
        <w:t xml:space="preserve">4. Analysis Pipeline (analyze_all.py): </w:t>
      </w:r>
      <w:r>
        <w:rPr>
          <w:rFonts w:ascii="Times New Roman" w:hAnsi="Times New Roman"/>
          <w:sz w:val="20"/>
        </w:rPr>
        <w:t>An automated discovery, validation, and reporting tool that scans the runs/ directory, validates data integrity, computes comparative metrics, and generates plots and a markdown report.</w:t>
      </w:r>
    </w:p>
    <w:p>
      <w:pPr>
        <w:spacing w:after="80" w:before="160"/>
      </w:pPr>
      <w:r>
        <w:rPr>
          <w:rFonts w:ascii="Times New Roman" w:hAnsi="Times New Roman"/>
          <w:b/>
          <w:i/>
          <w:sz w:val="22"/>
        </w:rPr>
        <w:t>B. Robust UCI Parser</w:t>
      </w:r>
    </w:p>
    <w:p>
      <w:pPr>
        <w:spacing w:after="80"/>
        <w:jc w:val="both"/>
      </w:pPr>
      <w:r>
        <w:rPr>
          <w:rFonts w:ascii="Times New Roman" w:hAnsi="Times New Roman"/>
          <w:b w:val="0"/>
          <w:i w:val="0"/>
          <w:sz w:val="20"/>
        </w:rPr>
        <w:t>The orchestrator includes a multi-stage UCI move parser (extract_uci_move) that separates formatting variations from true logical chess errors:</w:t>
      </w:r>
    </w:p>
    <w:p>
      <w:pPr>
        <w:spacing w:after="40"/>
      </w:pPr>
      <w:r>
        <w:rPr>
          <w:rFonts w:ascii="Times New Roman" w:hAnsi="Times New Roman"/>
        </w:rPr>
        <w:t xml:space="preserve">  1. Direct UCI Match: Extracts exact 4–5 character UCI patterns (e.g., e2e4, e7e8q).</w:t>
      </w:r>
    </w:p>
    <w:p>
      <w:pPr>
        <w:spacing w:after="40"/>
      </w:pPr>
      <w:r>
        <w:rPr>
          <w:rFonts w:ascii="Times New Roman" w:hAnsi="Times New Roman"/>
        </w:rPr>
        <w:t xml:space="preserve">  2. Long Algebraic Notation (LAN): Strips piece prefixes (e.g., Nb8c6 → b8c6).</w:t>
      </w:r>
    </w:p>
    <w:p>
      <w:pPr>
        <w:spacing w:after="40"/>
      </w:pPr>
      <w:r>
        <w:rPr>
          <w:rFonts w:ascii="Times New Roman" w:hAnsi="Times New Roman"/>
        </w:rPr>
        <w:t xml:space="preserve">  3. Standard Algebraic Notation (SAN): Resolves SAN moves contextually (e.g., Nf6 → g8f6).</w:t>
      </w:r>
    </w:p>
    <w:p>
      <w:pPr>
        <w:spacing w:after="40"/>
      </w:pPr>
      <w:r>
        <w:rPr>
          <w:rFonts w:ascii="Times New Roman" w:hAnsi="Times New Roman"/>
        </w:rPr>
        <w:t xml:space="preserve">  4. Formatting Cleanup: Removes quotes, bolding, hyphens, punctuation.</w:t>
      </w:r>
    </w:p>
    <w:p>
      <w:pPr>
        <w:spacing w:after="120" w:before="240"/>
      </w:pPr>
      <w:r>
        <w:rPr>
          <w:rFonts w:ascii="Times New Roman" w:hAnsi="Times New Roman"/>
          <w:b/>
          <w:i w:val="0"/>
          <w:sz w:val="24"/>
        </w:rPr>
        <w:t>IV. Experimental Methodology</w:t>
      </w:r>
    </w:p>
    <w:p>
      <w:pPr>
        <w:spacing w:after="80"/>
      </w:pPr>
      <w:r>
        <w:rPr>
          <w:rFonts w:ascii="Times New Roman" w:hAnsi="Times New Roman"/>
          <w:b/>
          <w:i/>
          <w:sz w:val="22"/>
        </w:rPr>
        <w:t>A. Experiment Design</w:t>
      </w:r>
    </w:p>
    <w:p>
      <w:pPr>
        <w:spacing w:after="120"/>
        <w:jc w:val="both"/>
      </w:pPr>
      <w:r>
        <w:rPr>
          <w:rFonts w:ascii="Times New Roman" w:hAnsi="Times New Roman"/>
          <w:b w:val="0"/>
          <w:i w:val="0"/>
          <w:sz w:val="20"/>
        </w:rPr>
        <w:t>We employ a three-condition within-subject experiment matrix, designed to isolate the independent effects of (a) sampling temperature and (b) prompt-level legal move injection:</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shd w:fill="D9E2F3" w:val="clear"/>
          </w:tcPr>
          <w:p>
            <w:r>
              <w:rPr>
                <w:rFonts w:ascii="Times New Roman" w:hAnsi="Times New Roman"/>
                <w:b/>
                <w:sz w:val="18"/>
              </w:rPr>
              <w:t>Condition Tag</w:t>
            </w:r>
          </w:p>
        </w:tc>
        <w:tc>
          <w:tcPr>
            <w:tcW w:type="dxa" w:w="2518"/>
            <w:shd w:fill="D9E2F3" w:val="clear"/>
          </w:tcPr>
          <w:p>
            <w:r>
              <w:rPr>
                <w:rFonts w:ascii="Times New Roman" w:hAnsi="Times New Roman"/>
                <w:b/>
                <w:sz w:val="18"/>
              </w:rPr>
              <w:t>Temperature</w:t>
            </w:r>
          </w:p>
        </w:tc>
        <w:tc>
          <w:tcPr>
            <w:tcW w:type="dxa" w:w="2518"/>
            <w:shd w:fill="D9E2F3" w:val="clear"/>
          </w:tcPr>
          <w:p>
            <w:r>
              <w:rPr>
                <w:rFonts w:ascii="Times New Roman" w:hAnsi="Times New Roman"/>
                <w:b/>
                <w:sz w:val="18"/>
              </w:rPr>
              <w:t>Constrained</w:t>
            </w:r>
          </w:p>
        </w:tc>
        <w:tc>
          <w:tcPr>
            <w:tcW w:type="dxa" w:w="2518"/>
            <w:shd w:fill="D9E2F3" w:val="clear"/>
          </w:tcPr>
          <w:p>
            <w:r>
              <w:rPr>
                <w:rFonts w:ascii="Times New Roman" w:hAnsi="Times New Roman"/>
                <w:b/>
                <w:sz w:val="18"/>
              </w:rPr>
              <w:t>Purpose</w:t>
            </w:r>
          </w:p>
        </w:tc>
      </w:tr>
      <w:tr>
        <w:tc>
          <w:tcPr>
            <w:tcW w:type="dxa" w:w="2518"/>
          </w:tcPr>
          <w:p>
            <w:r>
              <w:rPr>
                <w:rFonts w:ascii="Times New Roman" w:hAnsi="Times New Roman"/>
                <w:sz w:val="18"/>
              </w:rPr>
              <w:t>t02_unconstrained_v2</w:t>
            </w:r>
          </w:p>
        </w:tc>
        <w:tc>
          <w:tcPr>
            <w:tcW w:type="dxa" w:w="2518"/>
          </w:tcPr>
          <w:p>
            <w:r>
              <w:rPr>
                <w:rFonts w:ascii="Times New Roman" w:hAnsi="Times New Roman"/>
                <w:sz w:val="18"/>
              </w:rPr>
              <w:t>0.2</w:t>
            </w:r>
          </w:p>
        </w:tc>
        <w:tc>
          <w:tcPr>
            <w:tcW w:type="dxa" w:w="2518"/>
          </w:tcPr>
          <w:p>
            <w:r>
              <w:rPr>
                <w:rFonts w:ascii="Times New Roman" w:hAnsi="Times New Roman"/>
                <w:sz w:val="18"/>
              </w:rPr>
              <w:t>No</w:t>
            </w:r>
          </w:p>
        </w:tc>
        <w:tc>
          <w:tcPr>
            <w:tcW w:type="dxa" w:w="2518"/>
          </w:tcPr>
          <w:p>
            <w:r>
              <w:rPr>
                <w:rFonts w:ascii="Times New Roman" w:hAnsi="Times New Roman"/>
                <w:sz w:val="18"/>
              </w:rPr>
              <w:t>Low-temperature baseline</w:t>
            </w:r>
          </w:p>
        </w:tc>
      </w:tr>
      <w:tr>
        <w:tc>
          <w:tcPr>
            <w:tcW w:type="dxa" w:w="2518"/>
          </w:tcPr>
          <w:p>
            <w:r>
              <w:rPr>
                <w:rFonts w:ascii="Times New Roman" w:hAnsi="Times New Roman"/>
                <w:sz w:val="18"/>
              </w:rPr>
              <w:t>t08_unconstrained</w:t>
            </w:r>
          </w:p>
        </w:tc>
        <w:tc>
          <w:tcPr>
            <w:tcW w:type="dxa" w:w="2518"/>
          </w:tcPr>
          <w:p>
            <w:r>
              <w:rPr>
                <w:rFonts w:ascii="Times New Roman" w:hAnsi="Times New Roman"/>
                <w:sz w:val="18"/>
              </w:rPr>
              <w:t>0.8</w:t>
            </w:r>
          </w:p>
        </w:tc>
        <w:tc>
          <w:tcPr>
            <w:tcW w:type="dxa" w:w="2518"/>
          </w:tcPr>
          <w:p>
            <w:r>
              <w:rPr>
                <w:rFonts w:ascii="Times New Roman" w:hAnsi="Times New Roman"/>
                <w:sz w:val="18"/>
              </w:rPr>
              <w:t>No</w:t>
            </w:r>
          </w:p>
        </w:tc>
        <w:tc>
          <w:tcPr>
            <w:tcW w:type="dxa" w:w="2518"/>
          </w:tcPr>
          <w:p>
            <w:r>
              <w:rPr>
                <w:rFonts w:ascii="Times New Roman" w:hAnsi="Times New Roman"/>
                <w:sz w:val="18"/>
              </w:rPr>
              <w:t>Mid-temperature baseline</w:t>
            </w:r>
          </w:p>
        </w:tc>
      </w:tr>
      <w:tr>
        <w:tc>
          <w:tcPr>
            <w:tcW w:type="dxa" w:w="2518"/>
          </w:tcPr>
          <w:p>
            <w:r>
              <w:rPr>
                <w:rFonts w:ascii="Times New Roman" w:hAnsi="Times New Roman"/>
                <w:sz w:val="18"/>
              </w:rPr>
              <w:t>t08_constrained</w:t>
            </w:r>
          </w:p>
        </w:tc>
        <w:tc>
          <w:tcPr>
            <w:tcW w:type="dxa" w:w="2518"/>
          </w:tcPr>
          <w:p>
            <w:r>
              <w:rPr>
                <w:rFonts w:ascii="Times New Roman" w:hAnsi="Times New Roman"/>
                <w:sz w:val="18"/>
              </w:rPr>
              <w:t>0.8</w:t>
            </w:r>
          </w:p>
        </w:tc>
        <w:tc>
          <w:tcPr>
            <w:tcW w:type="dxa" w:w="2518"/>
          </w:tcPr>
          <w:p>
            <w:r>
              <w:rPr>
                <w:rFonts w:ascii="Times New Roman" w:hAnsi="Times New Roman"/>
                <w:sz w:val="18"/>
              </w:rPr>
              <w:t>Yes</w:t>
            </w:r>
          </w:p>
        </w:tc>
        <w:tc>
          <w:tcPr>
            <w:tcW w:type="dxa" w:w="2518"/>
          </w:tcPr>
          <w:p>
            <w:r>
              <w:rPr>
                <w:rFonts w:ascii="Times New Roman" w:hAnsi="Times New Roman"/>
                <w:sz w:val="18"/>
              </w:rPr>
              <w:t>Constraint efficacy test</w:t>
            </w:r>
          </w:p>
        </w:tc>
      </w:tr>
    </w:tbl>
    <w:p/>
    <w:p>
      <w:pPr>
        <w:spacing w:after="80"/>
      </w:pPr>
      <w:r>
        <w:rPr>
          <w:rFonts w:ascii="Times New Roman" w:hAnsi="Times New Roman"/>
          <w:b/>
          <w:i/>
          <w:sz w:val="22"/>
        </w:rPr>
        <w:t>B. Controlled Variables</w:t>
      </w:r>
    </w:p>
    <w:p>
      <w:pPr>
        <w:pStyle w:val="ListBullet"/>
        <w:spacing w:after="40"/>
      </w:pPr>
      <w:r>
        <w:rPr>
          <w:rFonts w:ascii="Times New Roman" w:hAnsi="Times New Roman"/>
          <w:sz w:val="20"/>
        </w:rPr>
        <w:t>Model: Llama 3.1 8B (via Ollama, 4-bit Q4_0 quantization)</w:t>
      </w:r>
    </w:p>
    <w:p>
      <w:pPr>
        <w:pStyle w:val="ListBullet"/>
        <w:spacing w:after="40"/>
      </w:pPr>
      <w:r>
        <w:rPr>
          <w:rFonts w:ascii="Times New Roman" w:hAnsi="Times New Roman"/>
          <w:sz w:val="20"/>
        </w:rPr>
        <w:t>Seed: 42 (passed to both Ollama and the Python random number generator)</w:t>
      </w:r>
    </w:p>
    <w:p>
      <w:pPr>
        <w:pStyle w:val="ListBullet"/>
        <w:spacing w:after="40"/>
      </w:pPr>
      <w:r>
        <w:rPr>
          <w:rFonts w:ascii="Times New Roman" w:hAnsi="Times New Roman"/>
          <w:sz w:val="20"/>
        </w:rPr>
        <w:t>Opponent: White plays random legal moves (seeded PRNG: random.Random(seed + game_number))</w:t>
      </w:r>
    </w:p>
    <w:p>
      <w:pPr>
        <w:pStyle w:val="ListBullet"/>
        <w:spacing w:after="40"/>
      </w:pPr>
      <w:r>
        <w:rPr>
          <w:rFonts w:ascii="Times New Roman" w:hAnsi="Times New Roman"/>
          <w:sz w:val="20"/>
        </w:rPr>
        <w:t>Turn Cap: 200 ply (100 full moves) maximum per game</w:t>
      </w:r>
    </w:p>
    <w:p>
      <w:pPr>
        <w:pStyle w:val="ListBullet"/>
        <w:spacing w:after="40"/>
      </w:pPr>
      <w:r>
        <w:rPr>
          <w:rFonts w:ascii="Times New Roman" w:hAnsi="Times New Roman"/>
          <w:sz w:val="20"/>
        </w:rPr>
        <w:t>Early Termination: Enabled for unconstrained runs (game aborts on first illegal move)</w:t>
      </w:r>
    </w:p>
    <w:p>
      <w:pPr>
        <w:pStyle w:val="ListBullet"/>
        <w:spacing w:after="40"/>
      </w:pPr>
      <w:r>
        <w:rPr>
          <w:rFonts w:ascii="Times New Roman" w:hAnsi="Times New Roman"/>
          <w:sz w:val="20"/>
        </w:rPr>
        <w:t>Inference Timeout: 15 seconds per API call</w:t>
      </w:r>
    </w:p>
    <w:p>
      <w:pPr>
        <w:spacing w:after="80" w:before="160"/>
      </w:pPr>
      <w:r>
        <w:rPr>
          <w:rFonts w:ascii="Times New Roman" w:hAnsi="Times New Roman"/>
          <w:b/>
          <w:i/>
          <w:sz w:val="22"/>
        </w:rPr>
        <w:t>C. Prompt Design</w:t>
      </w:r>
    </w:p>
    <w:p>
      <w:pPr>
        <w:spacing w:after="40"/>
      </w:pPr>
      <w:r>
        <w:rPr>
          <w:rFonts w:ascii="Times New Roman" w:hAnsi="Times New Roman"/>
          <w:b/>
        </w:rPr>
        <w:t>Unconstrained Prompt:</w:t>
      </w:r>
    </w:p>
    <w:p>
      <w:pPr>
        <w:spacing w:after="120"/>
      </w:pPr>
      <w:r>
        <w:rPr>
          <w:rFonts w:ascii="Courier New" w:hAnsi="Courier New"/>
          <w:sz w:val="16"/>
        </w:rPr>
        <w:t>You are a chess engine playing as Black. The current board FEN is: {fen}. It is Black's turn to move. Respond ONLY with a single UCI move in source-destination format (e.g., g8f6, e7e5, b8c6, d7d5). Do not include piece letters, just the two squares. Do not include any other text, explanations, or formatting.</w:t>
      </w:r>
    </w:p>
    <w:p>
      <w:pPr>
        <w:spacing w:after="40"/>
      </w:pPr>
      <w:r>
        <w:rPr>
          <w:rFonts w:ascii="Times New Roman" w:hAnsi="Times New Roman"/>
          <w:b/>
        </w:rPr>
        <w:t>Constrained Prompt:</w:t>
      </w:r>
    </w:p>
    <w:p>
      <w:pPr>
        <w:spacing w:after="120"/>
      </w:pPr>
      <w:r>
        <w:rPr>
          <w:rFonts w:ascii="Courier New" w:hAnsi="Courier New"/>
          <w:sz w:val="16"/>
        </w:rPr>
        <w:t>You are a chess engine playing as Black. The current board FEN is: {fen}. It is Black's turn to move. The ONLY legal moves in this position are: {legal_moves_json}. You MUST pick exactly one move from that list. Respond ONLY with a single 4-character UCI move (e.g., e7e5). Do not include any other text, explanations, or formatting.</w:t>
      </w:r>
    </w:p>
    <w:p>
      <w:pPr>
        <w:spacing w:after="80"/>
      </w:pPr>
      <w:r>
        <w:rPr>
          <w:rFonts w:ascii="Times New Roman" w:hAnsi="Times New Roman"/>
          <w:b/>
          <w:i/>
          <w:sz w:val="22"/>
        </w:rPr>
        <w:t>D. Metrics</w:t>
      </w:r>
    </w:p>
    <w:p>
      <w:pPr>
        <w:pStyle w:val="ListBullet"/>
        <w:spacing w:after="40"/>
      </w:pPr>
      <w:r>
        <w:rPr>
          <w:rFonts w:ascii="Times New Roman" w:hAnsi="Times New Roman"/>
          <w:sz w:val="20"/>
        </w:rPr>
        <w:t>Legal Move Rate: total_legal_moves / total_llm_calls (primary metric)</w:t>
      </w:r>
    </w:p>
    <w:p>
      <w:pPr>
        <w:pStyle w:val="ListBullet"/>
        <w:spacing w:after="40"/>
      </w:pPr>
      <w:r>
        <w:rPr>
          <w:rFonts w:ascii="Times New Roman" w:hAnsi="Times New Roman"/>
          <w:sz w:val="20"/>
        </w:rPr>
        <w:t>Unique Moves: Count of distinct UCI moves extracted across all games in a condition</w:t>
      </w:r>
    </w:p>
    <w:p>
      <w:pPr>
        <w:pStyle w:val="ListBullet"/>
        <w:spacing w:after="40"/>
      </w:pPr>
      <w:r>
        <w:rPr>
          <w:rFonts w:ascii="Times New Roman" w:hAnsi="Times New Roman"/>
          <w:sz w:val="20"/>
        </w:rPr>
        <w:t>Latency (mean/median): Response time in milliseconds per LLM call</w:t>
      </w:r>
    </w:p>
    <w:p>
      <w:pPr>
        <w:pStyle w:val="ListBullet"/>
        <w:spacing w:after="40"/>
      </w:pPr>
      <w:r>
        <w:rPr>
          <w:rFonts w:ascii="Times New Roman" w:hAnsi="Times New Roman"/>
          <w:sz w:val="20"/>
        </w:rPr>
        <w:t>Game Completion: Whether the game reached the turn cap (*) or was aborted</w:t>
      </w:r>
    </w:p>
    <w:p>
      <w:pPr>
        <w:spacing w:after="80" w:before="160"/>
      </w:pPr>
      <w:r>
        <w:rPr>
          <w:rFonts w:ascii="Times New Roman" w:hAnsi="Times New Roman"/>
          <w:b/>
          <w:i/>
          <w:sz w:val="22"/>
        </w:rPr>
        <w:t>E. Hardware Environment</w:t>
      </w:r>
    </w:p>
    <w:p>
      <w:pPr>
        <w:pStyle w:val="ListBullet"/>
        <w:spacing w:after="40"/>
      </w:pPr>
      <w:r>
        <w:rPr>
          <w:rFonts w:ascii="Times New Roman" w:hAnsi="Times New Roman"/>
          <w:sz w:val="20"/>
        </w:rPr>
        <w:t>OS: Linux (native)</w:t>
      </w:r>
    </w:p>
    <w:p>
      <w:pPr>
        <w:pStyle w:val="ListBullet"/>
        <w:spacing w:after="40"/>
      </w:pPr>
      <w:r>
        <w:rPr>
          <w:rFonts w:ascii="Times New Roman" w:hAnsi="Times New Roman"/>
          <w:sz w:val="20"/>
        </w:rPr>
        <w:t>CPU: Multi-core x86_64 processor</w:t>
      </w:r>
    </w:p>
    <w:p>
      <w:pPr>
        <w:pStyle w:val="ListBullet"/>
        <w:spacing w:after="40"/>
      </w:pPr>
      <w:r>
        <w:rPr>
          <w:rFonts w:ascii="Times New Roman" w:hAnsi="Times New Roman"/>
          <w:sz w:val="20"/>
        </w:rPr>
        <w:t>Inference: CPU-only Ollama (no GPU acceleration)</w:t>
      </w:r>
    </w:p>
    <w:p>
      <w:pPr>
        <w:pStyle w:val="ListBullet"/>
        <w:spacing w:after="40"/>
      </w:pPr>
      <w:r>
        <w:rPr>
          <w:rFonts w:ascii="Times New Roman" w:hAnsi="Times New Roman"/>
          <w:sz w:val="20"/>
        </w:rPr>
        <w:t>Network: Localhost loopback (no network latency)</w:t>
      </w:r>
    </w:p>
    <w:p>
      <w:pPr>
        <w:spacing w:after="120" w:before="240"/>
      </w:pPr>
      <w:r>
        <w:rPr>
          <w:rFonts w:ascii="Times New Roman" w:hAnsi="Times New Roman"/>
          <w:b/>
          <w:i w:val="0"/>
          <w:sz w:val="24"/>
        </w:rPr>
        <w:t>V. Results</w:t>
      </w:r>
    </w:p>
    <w:p>
      <w:pPr>
        <w:spacing w:after="80"/>
      </w:pPr>
      <w:r>
        <w:rPr>
          <w:rFonts w:ascii="Times New Roman" w:hAnsi="Times New Roman"/>
          <w:b/>
          <w:i/>
          <w:sz w:val="22"/>
        </w:rPr>
        <w:t>A. Summary Comparison</w:t>
      </w:r>
    </w:p>
    <w:tbl>
      <w:tblPr>
        <w:tblStyle w:val="TableGrid"/>
        <w:tblW w:type="auto" w:w="0"/>
        <w:jc w:val="center"/>
        <w:tblLook w:firstColumn="1" w:firstRow="1" w:lastColumn="0" w:lastRow="0" w:noHBand="0" w:noVBand="1" w:val="04A0"/>
      </w:tblPr>
      <w:tblGrid>
        <w:gridCol w:w="1119"/>
        <w:gridCol w:w="1119"/>
        <w:gridCol w:w="1119"/>
        <w:gridCol w:w="1119"/>
        <w:gridCol w:w="1119"/>
        <w:gridCol w:w="1119"/>
        <w:gridCol w:w="1119"/>
        <w:gridCol w:w="1119"/>
        <w:gridCol w:w="1119"/>
      </w:tblGrid>
      <w:tr>
        <w:tc>
          <w:tcPr>
            <w:tcW w:type="dxa" w:w="1119"/>
            <w:shd w:fill="D9E2F3" w:val="clear"/>
          </w:tcPr>
          <w:p>
            <w:r>
              <w:rPr>
                <w:rFonts w:ascii="Times New Roman" w:hAnsi="Times New Roman"/>
                <w:b/>
                <w:sz w:val="16"/>
              </w:rPr>
              <w:t>Condition</w:t>
            </w:r>
          </w:p>
        </w:tc>
        <w:tc>
          <w:tcPr>
            <w:tcW w:type="dxa" w:w="1119"/>
            <w:shd w:fill="D9E2F3" w:val="clear"/>
          </w:tcPr>
          <w:p>
            <w:r>
              <w:rPr>
                <w:rFonts w:ascii="Times New Roman" w:hAnsi="Times New Roman"/>
                <w:b/>
                <w:sz w:val="16"/>
              </w:rPr>
              <w:t>Temp</w:t>
            </w:r>
          </w:p>
        </w:tc>
        <w:tc>
          <w:tcPr>
            <w:tcW w:type="dxa" w:w="1119"/>
            <w:shd w:fill="D9E2F3" w:val="clear"/>
          </w:tcPr>
          <w:p>
            <w:r>
              <w:rPr>
                <w:rFonts w:ascii="Times New Roman" w:hAnsi="Times New Roman"/>
                <w:b/>
                <w:sz w:val="16"/>
              </w:rPr>
              <w:t>Constr.</w:t>
            </w:r>
          </w:p>
        </w:tc>
        <w:tc>
          <w:tcPr>
            <w:tcW w:type="dxa" w:w="1119"/>
            <w:shd w:fill="D9E2F3" w:val="clear"/>
          </w:tcPr>
          <w:p>
            <w:r>
              <w:rPr>
                <w:rFonts w:ascii="Times New Roman" w:hAnsi="Times New Roman"/>
                <w:b/>
                <w:sz w:val="16"/>
              </w:rPr>
              <w:t>Games</w:t>
            </w:r>
          </w:p>
        </w:tc>
        <w:tc>
          <w:tcPr>
            <w:tcW w:type="dxa" w:w="1119"/>
            <w:shd w:fill="D9E2F3" w:val="clear"/>
          </w:tcPr>
          <w:p>
            <w:r>
              <w:rPr>
                <w:rFonts w:ascii="Times New Roman" w:hAnsi="Times New Roman"/>
                <w:b/>
                <w:sz w:val="16"/>
              </w:rPr>
              <w:t>LLM Calls</w:t>
            </w:r>
          </w:p>
        </w:tc>
        <w:tc>
          <w:tcPr>
            <w:tcW w:type="dxa" w:w="1119"/>
            <w:shd w:fill="D9E2F3" w:val="clear"/>
          </w:tcPr>
          <w:p>
            <w:r>
              <w:rPr>
                <w:rFonts w:ascii="Times New Roman" w:hAnsi="Times New Roman"/>
                <w:b/>
                <w:sz w:val="16"/>
              </w:rPr>
              <w:t>Legal</w:t>
            </w:r>
          </w:p>
        </w:tc>
        <w:tc>
          <w:tcPr>
            <w:tcW w:type="dxa" w:w="1119"/>
            <w:shd w:fill="D9E2F3" w:val="clear"/>
          </w:tcPr>
          <w:p>
            <w:r>
              <w:rPr>
                <w:rFonts w:ascii="Times New Roman" w:hAnsi="Times New Roman"/>
                <w:b/>
                <w:sz w:val="16"/>
              </w:rPr>
              <w:t>Legal Rate</w:t>
            </w:r>
          </w:p>
        </w:tc>
        <w:tc>
          <w:tcPr>
            <w:tcW w:type="dxa" w:w="1119"/>
            <w:shd w:fill="D9E2F3" w:val="clear"/>
          </w:tcPr>
          <w:p>
            <w:r>
              <w:rPr>
                <w:rFonts w:ascii="Times New Roman" w:hAnsi="Times New Roman"/>
                <w:b/>
                <w:sz w:val="16"/>
              </w:rPr>
              <w:t>Unique</w:t>
            </w:r>
          </w:p>
        </w:tc>
        <w:tc>
          <w:tcPr>
            <w:tcW w:type="dxa" w:w="1119"/>
            <w:shd w:fill="D9E2F3" w:val="clear"/>
          </w:tcPr>
          <w:p>
            <w:r>
              <w:rPr>
                <w:rFonts w:ascii="Times New Roman" w:hAnsi="Times New Roman"/>
                <w:b/>
                <w:sz w:val="16"/>
              </w:rPr>
              <w:t>Latency (ms)</w:t>
            </w:r>
          </w:p>
        </w:tc>
      </w:tr>
      <w:tr>
        <w:tc>
          <w:tcPr>
            <w:tcW w:type="dxa" w:w="1119"/>
          </w:tcPr>
          <w:p>
            <w:r>
              <w:rPr>
                <w:rFonts w:ascii="Times New Roman" w:hAnsi="Times New Roman"/>
                <w:sz w:val="16"/>
              </w:rPr>
              <w:t>t02_uncon_v2</w:t>
            </w:r>
          </w:p>
        </w:tc>
        <w:tc>
          <w:tcPr>
            <w:tcW w:type="dxa" w:w="1119"/>
          </w:tcPr>
          <w:p>
            <w:r>
              <w:rPr>
                <w:rFonts w:ascii="Times New Roman" w:hAnsi="Times New Roman"/>
                <w:sz w:val="16"/>
              </w:rPr>
              <w:t>0.2</w:t>
            </w:r>
          </w:p>
        </w:tc>
        <w:tc>
          <w:tcPr>
            <w:tcW w:type="dxa" w:w="1119"/>
          </w:tcPr>
          <w:p>
            <w:r>
              <w:rPr>
                <w:rFonts w:ascii="Times New Roman" w:hAnsi="Times New Roman"/>
                <w:sz w:val="16"/>
              </w:rPr>
              <w:t>No</w:t>
            </w:r>
          </w:p>
        </w:tc>
        <w:tc>
          <w:tcPr>
            <w:tcW w:type="dxa" w:w="1119"/>
          </w:tcPr>
          <w:p>
            <w:r>
              <w:rPr>
                <w:rFonts w:ascii="Times New Roman" w:hAnsi="Times New Roman"/>
                <w:sz w:val="16"/>
              </w:rPr>
              <w:t>100</w:t>
            </w:r>
          </w:p>
        </w:tc>
        <w:tc>
          <w:tcPr>
            <w:tcW w:type="dxa" w:w="1119"/>
          </w:tcPr>
          <w:p>
            <w:r>
              <w:rPr>
                <w:rFonts w:ascii="Times New Roman" w:hAnsi="Times New Roman"/>
                <w:sz w:val="16"/>
              </w:rPr>
              <w:t>211</w:t>
            </w:r>
          </w:p>
        </w:tc>
        <w:tc>
          <w:tcPr>
            <w:tcW w:type="dxa" w:w="1119"/>
          </w:tcPr>
          <w:p>
            <w:r>
              <w:rPr>
                <w:rFonts w:ascii="Times New Roman" w:hAnsi="Times New Roman"/>
                <w:sz w:val="16"/>
              </w:rPr>
              <w:t>111</w:t>
            </w:r>
          </w:p>
        </w:tc>
        <w:tc>
          <w:tcPr>
            <w:tcW w:type="dxa" w:w="1119"/>
          </w:tcPr>
          <w:p>
            <w:r>
              <w:rPr>
                <w:rFonts w:ascii="Times New Roman" w:hAnsi="Times New Roman"/>
                <w:sz w:val="16"/>
              </w:rPr>
              <w:t>52.6%</w:t>
            </w:r>
          </w:p>
        </w:tc>
        <w:tc>
          <w:tcPr>
            <w:tcW w:type="dxa" w:w="1119"/>
          </w:tcPr>
          <w:p>
            <w:r>
              <w:rPr>
                <w:rFonts w:ascii="Times New Roman" w:hAnsi="Times New Roman"/>
                <w:sz w:val="16"/>
              </w:rPr>
              <w:t>7</w:t>
            </w:r>
          </w:p>
        </w:tc>
        <w:tc>
          <w:tcPr>
            <w:tcW w:type="dxa" w:w="1119"/>
          </w:tcPr>
          <w:p>
            <w:r>
              <w:rPr>
                <w:rFonts w:ascii="Times New Roman" w:hAnsi="Times New Roman"/>
                <w:sz w:val="16"/>
              </w:rPr>
              <w:t>5,092</w:t>
            </w:r>
          </w:p>
        </w:tc>
      </w:tr>
      <w:tr>
        <w:tc>
          <w:tcPr>
            <w:tcW w:type="dxa" w:w="1119"/>
          </w:tcPr>
          <w:p>
            <w:r>
              <w:rPr>
                <w:rFonts w:ascii="Times New Roman" w:hAnsi="Times New Roman"/>
                <w:sz w:val="16"/>
              </w:rPr>
              <w:t>t08_uncon</w:t>
            </w:r>
          </w:p>
        </w:tc>
        <w:tc>
          <w:tcPr>
            <w:tcW w:type="dxa" w:w="1119"/>
          </w:tcPr>
          <w:p>
            <w:r>
              <w:rPr>
                <w:rFonts w:ascii="Times New Roman" w:hAnsi="Times New Roman"/>
                <w:sz w:val="16"/>
              </w:rPr>
              <w:t>0.8</w:t>
            </w:r>
          </w:p>
        </w:tc>
        <w:tc>
          <w:tcPr>
            <w:tcW w:type="dxa" w:w="1119"/>
          </w:tcPr>
          <w:p>
            <w:r>
              <w:rPr>
                <w:rFonts w:ascii="Times New Roman" w:hAnsi="Times New Roman"/>
                <w:sz w:val="16"/>
              </w:rPr>
              <w:t>No</w:t>
            </w:r>
          </w:p>
        </w:tc>
        <w:tc>
          <w:tcPr>
            <w:tcW w:type="dxa" w:w="1119"/>
          </w:tcPr>
          <w:p>
            <w:r>
              <w:rPr>
                <w:rFonts w:ascii="Times New Roman" w:hAnsi="Times New Roman"/>
                <w:sz w:val="16"/>
              </w:rPr>
              <w:t>100</w:t>
            </w:r>
          </w:p>
        </w:tc>
        <w:tc>
          <w:tcPr>
            <w:tcW w:type="dxa" w:w="1119"/>
          </w:tcPr>
          <w:p>
            <w:r>
              <w:rPr>
                <w:rFonts w:ascii="Times New Roman" w:hAnsi="Times New Roman"/>
                <w:sz w:val="16"/>
              </w:rPr>
              <w:t>210</w:t>
            </w:r>
          </w:p>
        </w:tc>
        <w:tc>
          <w:tcPr>
            <w:tcW w:type="dxa" w:w="1119"/>
          </w:tcPr>
          <w:p>
            <w:r>
              <w:rPr>
                <w:rFonts w:ascii="Times New Roman" w:hAnsi="Times New Roman"/>
                <w:sz w:val="16"/>
              </w:rPr>
              <w:t>110</w:t>
            </w:r>
          </w:p>
        </w:tc>
        <w:tc>
          <w:tcPr>
            <w:tcW w:type="dxa" w:w="1119"/>
          </w:tcPr>
          <w:p>
            <w:r>
              <w:rPr>
                <w:rFonts w:ascii="Times New Roman" w:hAnsi="Times New Roman"/>
                <w:sz w:val="16"/>
              </w:rPr>
              <w:t>52.4%</w:t>
            </w:r>
          </w:p>
        </w:tc>
        <w:tc>
          <w:tcPr>
            <w:tcW w:type="dxa" w:w="1119"/>
          </w:tcPr>
          <w:p>
            <w:r>
              <w:rPr>
                <w:rFonts w:ascii="Times New Roman" w:hAnsi="Times New Roman"/>
                <w:sz w:val="16"/>
              </w:rPr>
              <w:t>11</w:t>
            </w:r>
          </w:p>
        </w:tc>
        <w:tc>
          <w:tcPr>
            <w:tcW w:type="dxa" w:w="1119"/>
          </w:tcPr>
          <w:p>
            <w:r>
              <w:rPr>
                <w:rFonts w:ascii="Times New Roman" w:hAnsi="Times New Roman"/>
                <w:sz w:val="16"/>
              </w:rPr>
              <w:t>11,676</w:t>
            </w:r>
          </w:p>
        </w:tc>
      </w:tr>
      <w:tr>
        <w:tc>
          <w:tcPr>
            <w:tcW w:type="dxa" w:w="1119"/>
            <w:shd w:fill="E2EFDA" w:val="clear"/>
          </w:tcPr>
          <w:p>
            <w:r>
              <w:rPr>
                <w:rFonts w:ascii="Times New Roman" w:hAnsi="Times New Roman"/>
                <w:sz w:val="16"/>
              </w:rPr>
              <w:t>t08_constr</w:t>
            </w:r>
          </w:p>
        </w:tc>
        <w:tc>
          <w:tcPr>
            <w:tcW w:type="dxa" w:w="1119"/>
            <w:shd w:fill="E2EFDA" w:val="clear"/>
          </w:tcPr>
          <w:p>
            <w:r>
              <w:rPr>
                <w:rFonts w:ascii="Times New Roman" w:hAnsi="Times New Roman"/>
                <w:sz w:val="16"/>
              </w:rPr>
              <w:t>0.8</w:t>
            </w:r>
          </w:p>
        </w:tc>
        <w:tc>
          <w:tcPr>
            <w:tcW w:type="dxa" w:w="1119"/>
            <w:shd w:fill="E2EFDA" w:val="clear"/>
          </w:tcPr>
          <w:p>
            <w:r>
              <w:rPr>
                <w:rFonts w:ascii="Times New Roman" w:hAnsi="Times New Roman"/>
                <w:sz w:val="16"/>
              </w:rPr>
              <w:t>Yes</w:t>
            </w:r>
          </w:p>
        </w:tc>
        <w:tc>
          <w:tcPr>
            <w:tcW w:type="dxa" w:w="1119"/>
            <w:shd w:fill="E2EFDA" w:val="clear"/>
          </w:tcPr>
          <w:p>
            <w:r>
              <w:rPr>
                <w:rFonts w:ascii="Times New Roman" w:hAnsi="Times New Roman"/>
                <w:sz w:val="16"/>
              </w:rPr>
              <w:t>20</w:t>
            </w:r>
          </w:p>
        </w:tc>
        <w:tc>
          <w:tcPr>
            <w:tcW w:type="dxa" w:w="1119"/>
            <w:shd w:fill="E2EFDA" w:val="clear"/>
          </w:tcPr>
          <w:p>
            <w:r>
              <w:rPr>
                <w:rFonts w:ascii="Times New Roman" w:hAnsi="Times New Roman"/>
                <w:sz w:val="16"/>
              </w:rPr>
              <w:t>220</w:t>
            </w:r>
          </w:p>
        </w:tc>
        <w:tc>
          <w:tcPr>
            <w:tcW w:type="dxa" w:w="1119"/>
            <w:shd w:fill="E2EFDA" w:val="clear"/>
          </w:tcPr>
          <w:p>
            <w:r>
              <w:rPr>
                <w:rFonts w:ascii="Times New Roman" w:hAnsi="Times New Roman"/>
                <w:sz w:val="16"/>
              </w:rPr>
              <w:t>220</w:t>
            </w:r>
          </w:p>
        </w:tc>
        <w:tc>
          <w:tcPr>
            <w:tcW w:type="dxa" w:w="1119"/>
            <w:shd w:fill="E2EFDA" w:val="clear"/>
          </w:tcPr>
          <w:p>
            <w:r>
              <w:rPr>
                <w:rFonts w:ascii="Times New Roman" w:hAnsi="Times New Roman"/>
                <w:sz w:val="16"/>
              </w:rPr>
              <w:t>100.0%</w:t>
            </w:r>
          </w:p>
        </w:tc>
        <w:tc>
          <w:tcPr>
            <w:tcW w:type="dxa" w:w="1119"/>
            <w:shd w:fill="E2EFDA" w:val="clear"/>
          </w:tcPr>
          <w:p>
            <w:r>
              <w:rPr>
                <w:rFonts w:ascii="Times New Roman" w:hAnsi="Times New Roman"/>
                <w:sz w:val="16"/>
              </w:rPr>
              <w:t>40</w:t>
            </w:r>
          </w:p>
        </w:tc>
        <w:tc>
          <w:tcPr>
            <w:tcW w:type="dxa" w:w="1119"/>
            <w:shd w:fill="E2EFDA" w:val="clear"/>
          </w:tcPr>
          <w:p>
            <w:r>
              <w:rPr>
                <w:rFonts w:ascii="Times New Roman" w:hAnsi="Times New Roman"/>
                <w:sz w:val="16"/>
              </w:rPr>
              <w:t>10,084</w:t>
            </w:r>
          </w:p>
        </w:tc>
      </w:tr>
    </w:tbl>
    <w:p/>
    <w:p>
      <w:pPr>
        <w:spacing w:after="80"/>
      </w:pPr>
      <w:r>
        <w:rPr>
          <w:rFonts w:ascii="Times New Roman" w:hAnsi="Times New Roman"/>
          <w:b/>
          <w:i/>
          <w:sz w:val="22"/>
        </w:rPr>
        <w:t>B. Legal Move Rate Comparison</w:t>
      </w:r>
    </w:p>
    <w:p>
      <w:pPr>
        <w:jc w:val="center"/>
      </w:pPr>
      <w:r>
        <w:drawing>
          <wp:inline xmlns:a="http://schemas.openxmlformats.org/drawingml/2006/main" xmlns:pic="http://schemas.openxmlformats.org/drawingml/2006/picture">
            <wp:extent cx="5029200" cy="2997200"/>
            <wp:docPr id="1" name="Picture 1"/>
            <wp:cNvGraphicFramePr>
              <a:graphicFrameLocks noChangeAspect="1"/>
            </wp:cNvGraphicFramePr>
            <a:graphic>
              <a:graphicData uri="http://schemas.openxmlformats.org/drawingml/2006/picture">
                <pic:pic>
                  <pic:nvPicPr>
                    <pic:cNvPr id="0" name="legal_rate_comparison.png"/>
                    <pic:cNvPicPr/>
                  </pic:nvPicPr>
                  <pic:blipFill>
                    <a:blip r:embed="rId9"/>
                    <a:stretch>
                      <a:fillRect/>
                    </a:stretch>
                  </pic:blipFill>
                  <pic:spPr>
                    <a:xfrm>
                      <a:off x="0" y="0"/>
                      <a:ext cx="5029200" cy="2997200"/>
                    </a:xfrm>
                    <a:prstGeom prst="rect"/>
                  </pic:spPr>
                </pic:pic>
              </a:graphicData>
            </a:graphic>
          </wp:inline>
        </w:drawing>
      </w:r>
    </w:p>
    <w:p>
      <w:pPr>
        <w:spacing w:after="120"/>
        <w:jc w:val="center"/>
      </w:pPr>
      <w:r>
        <w:rPr>
          <w:rFonts w:ascii="Times New Roman" w:hAnsi="Times New Roman"/>
          <w:b w:val="0"/>
          <w:i/>
          <w:sz w:val="18"/>
        </w:rPr>
        <w:t>Fig. 1. Legal Move Rate by Condition</w:t>
      </w:r>
    </w:p>
    <w:p>
      <w:pPr>
        <w:spacing w:after="120"/>
        <w:jc w:val="both"/>
      </w:pPr>
      <w:r>
        <w:rPr>
          <w:rFonts w:ascii="Times New Roman" w:hAnsi="Times New Roman"/>
          <w:b w:val="0"/>
          <w:i w:val="0"/>
          <w:sz w:val="20"/>
        </w:rPr>
        <w:t>Both unconstrained conditions cluster tightly around 52% (T=0.2: 52.6%, T=0.8: 52.4%), indicating a hard legality ceiling invariant to temperature. The constrained condition achieves a perfect 100.0% legal move rate across all 220 LLM calls.</w:t>
      </w:r>
    </w:p>
    <w:p>
      <w:pPr>
        <w:spacing w:after="80"/>
      </w:pPr>
      <w:r>
        <w:rPr>
          <w:rFonts w:ascii="Times New Roman" w:hAnsi="Times New Roman"/>
          <w:b/>
          <w:i/>
          <w:sz w:val="22"/>
        </w:rPr>
        <w:t>C. Pairwise Comparisons</w:t>
      </w:r>
    </w:p>
    <w:p>
      <w:pPr>
        <w:spacing w:after="80"/>
      </w:pPr>
      <w:r>
        <w:rPr>
          <w:rFonts w:ascii="Times New Roman" w:hAnsi="Times New Roman"/>
          <w:b/>
        </w:rPr>
        <w:t>Temperature Effect (T=0.2 vs T=0.8, both unconstrained):</w:t>
      </w:r>
    </w:p>
    <w:tbl>
      <w:tblPr>
        <w:tblStyle w:val="TableGrid"/>
        <w:tblW w:type="auto" w:w="0"/>
        <w:jc w:val="center"/>
        <w:tblLook w:firstColumn="1" w:firstRow="1" w:lastColumn="0" w:lastRow="0" w:noHBand="0" w:noVBand="1" w:val="04A0"/>
      </w:tblPr>
      <w:tblGrid>
        <w:gridCol w:w="5037"/>
        <w:gridCol w:w="5037"/>
      </w:tblGrid>
      <w:tr>
        <w:tc>
          <w:tcPr>
            <w:tcW w:type="dxa" w:w="5037"/>
            <w:shd w:fill="D9E2F3" w:val="clear"/>
          </w:tcPr>
          <w:p>
            <w:r>
              <w:rPr>
                <w:rFonts w:ascii="Times New Roman" w:hAnsi="Times New Roman"/>
                <w:b/>
                <w:sz w:val="18"/>
              </w:rPr>
              <w:t>Metric</w:t>
            </w:r>
          </w:p>
        </w:tc>
        <w:tc>
          <w:tcPr>
            <w:tcW w:type="dxa" w:w="5037"/>
            <w:shd w:fill="D9E2F3" w:val="clear"/>
          </w:tcPr>
          <w:p>
            <w:r>
              <w:rPr>
                <w:rFonts w:ascii="Times New Roman" w:hAnsi="Times New Roman"/>
                <w:b/>
                <w:sz w:val="18"/>
              </w:rPr>
              <w:t>Delta</w:t>
            </w:r>
          </w:p>
        </w:tc>
      </w:tr>
      <w:tr>
        <w:tc>
          <w:tcPr>
            <w:tcW w:type="dxa" w:w="5037"/>
          </w:tcPr>
          <w:p>
            <w:r>
              <w:rPr>
                <w:rFonts w:ascii="Times New Roman" w:hAnsi="Times New Roman"/>
                <w:sz w:val="18"/>
              </w:rPr>
              <w:t>Legal rate</w:t>
            </w:r>
          </w:p>
        </w:tc>
        <w:tc>
          <w:tcPr>
            <w:tcW w:type="dxa" w:w="5037"/>
          </w:tcPr>
          <w:p>
            <w:r>
              <w:rPr>
                <w:rFonts w:ascii="Times New Roman" w:hAnsi="Times New Roman"/>
                <w:sz w:val="18"/>
              </w:rPr>
              <w:t>−0.2 pp (52.6% → 52.4%)</w:t>
            </w:r>
          </w:p>
        </w:tc>
      </w:tr>
      <w:tr>
        <w:tc>
          <w:tcPr>
            <w:tcW w:type="dxa" w:w="5037"/>
          </w:tcPr>
          <w:p>
            <w:r>
              <w:rPr>
                <w:rFonts w:ascii="Times New Roman" w:hAnsi="Times New Roman"/>
                <w:sz w:val="18"/>
              </w:rPr>
              <w:t>Unique moves</w:t>
            </w:r>
          </w:p>
        </w:tc>
        <w:tc>
          <w:tcPr>
            <w:tcW w:type="dxa" w:w="5037"/>
          </w:tcPr>
          <w:p>
            <w:r>
              <w:rPr>
                <w:rFonts w:ascii="Times New Roman" w:hAnsi="Times New Roman"/>
                <w:sz w:val="18"/>
              </w:rPr>
              <w:t>+4 (7 → 11)</w:t>
            </w:r>
          </w:p>
        </w:tc>
      </w:tr>
      <w:tr>
        <w:tc>
          <w:tcPr>
            <w:tcW w:type="dxa" w:w="5037"/>
          </w:tcPr>
          <w:p>
            <w:r>
              <w:rPr>
                <w:rFonts w:ascii="Times New Roman" w:hAnsi="Times New Roman"/>
                <w:sz w:val="18"/>
              </w:rPr>
              <w:t>Mean latency</w:t>
            </w:r>
          </w:p>
        </w:tc>
        <w:tc>
          <w:tcPr>
            <w:tcW w:type="dxa" w:w="5037"/>
          </w:tcPr>
          <w:p>
            <w:r>
              <w:rPr>
                <w:rFonts w:ascii="Times New Roman" w:hAnsi="Times New Roman"/>
                <w:sz w:val="18"/>
              </w:rPr>
              <w:t>+6,583 ms</w:t>
            </w:r>
          </w:p>
        </w:tc>
      </w:tr>
    </w:tbl>
    <w:p/>
    <w:p>
      <w:pPr>
        <w:spacing w:after="80"/>
      </w:pPr>
      <w:r>
        <w:rPr>
          <w:rFonts w:ascii="Times New Roman" w:hAnsi="Times New Roman"/>
          <w:b/>
        </w:rPr>
        <w:t>Constraint Effect (Unconstrained vs Constrained, both T=0.8):</w:t>
      </w:r>
    </w:p>
    <w:tbl>
      <w:tblPr>
        <w:tblStyle w:val="TableGrid"/>
        <w:tblW w:type="auto" w:w="0"/>
        <w:jc w:val="center"/>
        <w:tblLook w:firstColumn="1" w:firstRow="1" w:lastColumn="0" w:lastRow="0" w:noHBand="0" w:noVBand="1" w:val="04A0"/>
      </w:tblPr>
      <w:tblGrid>
        <w:gridCol w:w="5037"/>
        <w:gridCol w:w="5037"/>
      </w:tblGrid>
      <w:tr>
        <w:tc>
          <w:tcPr>
            <w:tcW w:type="dxa" w:w="5037"/>
            <w:shd w:fill="D9E2F3" w:val="clear"/>
          </w:tcPr>
          <w:p>
            <w:r>
              <w:rPr>
                <w:rFonts w:ascii="Times New Roman" w:hAnsi="Times New Roman"/>
                <w:b/>
                <w:sz w:val="18"/>
              </w:rPr>
              <w:t>Metric</w:t>
            </w:r>
          </w:p>
        </w:tc>
        <w:tc>
          <w:tcPr>
            <w:tcW w:type="dxa" w:w="5037"/>
            <w:shd w:fill="D9E2F3" w:val="clear"/>
          </w:tcPr>
          <w:p>
            <w:r>
              <w:rPr>
                <w:rFonts w:ascii="Times New Roman" w:hAnsi="Times New Roman"/>
                <w:b/>
                <w:sz w:val="18"/>
              </w:rPr>
              <w:t>Delta</w:t>
            </w:r>
          </w:p>
        </w:tc>
      </w:tr>
      <w:tr>
        <w:tc>
          <w:tcPr>
            <w:tcW w:type="dxa" w:w="5037"/>
          </w:tcPr>
          <w:p>
            <w:r>
              <w:rPr>
                <w:rFonts w:ascii="Times New Roman" w:hAnsi="Times New Roman"/>
                <w:sz w:val="18"/>
              </w:rPr>
              <w:t>Legal rate</w:t>
            </w:r>
          </w:p>
        </w:tc>
        <w:tc>
          <w:tcPr>
            <w:tcW w:type="dxa" w:w="5037"/>
          </w:tcPr>
          <w:p>
            <w:r>
              <w:rPr>
                <w:rFonts w:ascii="Times New Roman" w:hAnsi="Times New Roman"/>
                <w:sz w:val="18"/>
              </w:rPr>
              <w:t>+47.6 pp (52.4% → 100.0%)</w:t>
            </w:r>
          </w:p>
        </w:tc>
      </w:tr>
      <w:tr>
        <w:tc>
          <w:tcPr>
            <w:tcW w:type="dxa" w:w="5037"/>
          </w:tcPr>
          <w:p>
            <w:r>
              <w:rPr>
                <w:rFonts w:ascii="Times New Roman" w:hAnsi="Times New Roman"/>
                <w:sz w:val="18"/>
              </w:rPr>
              <w:t>Unique moves</w:t>
            </w:r>
          </w:p>
        </w:tc>
        <w:tc>
          <w:tcPr>
            <w:tcW w:type="dxa" w:w="5037"/>
          </w:tcPr>
          <w:p>
            <w:r>
              <w:rPr>
                <w:rFonts w:ascii="Times New Roman" w:hAnsi="Times New Roman"/>
                <w:sz w:val="18"/>
              </w:rPr>
              <w:t>+29 (11 → 40)</w:t>
            </w:r>
          </w:p>
        </w:tc>
      </w:tr>
      <w:tr>
        <w:tc>
          <w:tcPr>
            <w:tcW w:type="dxa" w:w="5037"/>
          </w:tcPr>
          <w:p>
            <w:r>
              <w:rPr>
                <w:rFonts w:ascii="Times New Roman" w:hAnsi="Times New Roman"/>
                <w:sz w:val="18"/>
              </w:rPr>
              <w:t>Mean latency</w:t>
            </w:r>
          </w:p>
        </w:tc>
        <w:tc>
          <w:tcPr>
            <w:tcW w:type="dxa" w:w="5037"/>
          </w:tcPr>
          <w:p>
            <w:r>
              <w:rPr>
                <w:rFonts w:ascii="Times New Roman" w:hAnsi="Times New Roman"/>
                <w:sz w:val="18"/>
              </w:rPr>
              <w:t>−1,592 ms</w:t>
            </w:r>
          </w:p>
        </w:tc>
      </w:tr>
    </w:tbl>
    <w:p/>
    <w:p>
      <w:pPr>
        <w:spacing w:after="80"/>
      </w:pPr>
      <w:r>
        <w:rPr>
          <w:rFonts w:ascii="Times New Roman" w:hAnsi="Times New Roman"/>
          <w:b/>
          <w:i/>
          <w:sz w:val="22"/>
        </w:rPr>
        <w:t>D. Response Latency Analysis</w:t>
      </w:r>
    </w:p>
    <w:p>
      <w:pPr>
        <w:jc w:val="center"/>
      </w:pPr>
      <w:r>
        <w:drawing>
          <wp:inline xmlns:a="http://schemas.openxmlformats.org/drawingml/2006/main" xmlns:pic="http://schemas.openxmlformats.org/drawingml/2006/picture">
            <wp:extent cx="5029200" cy="2997200"/>
            <wp:docPr id="2" name="Picture 2"/>
            <wp:cNvGraphicFramePr>
              <a:graphicFrameLocks noChangeAspect="1"/>
            </wp:cNvGraphicFramePr>
            <a:graphic>
              <a:graphicData uri="http://schemas.openxmlformats.org/drawingml/2006/picture">
                <pic:pic>
                  <pic:nvPicPr>
                    <pic:cNvPr id="0" name="latency_comparison.png"/>
                    <pic:cNvPicPr/>
                  </pic:nvPicPr>
                  <pic:blipFill>
                    <a:blip r:embed="rId10"/>
                    <a:stretch>
                      <a:fillRect/>
                    </a:stretch>
                  </pic:blipFill>
                  <pic:spPr>
                    <a:xfrm>
                      <a:off x="0" y="0"/>
                      <a:ext cx="5029200" cy="2997200"/>
                    </a:xfrm>
                    <a:prstGeom prst="rect"/>
                  </pic:spPr>
                </pic:pic>
              </a:graphicData>
            </a:graphic>
          </wp:inline>
        </w:drawing>
      </w:r>
    </w:p>
    <w:p>
      <w:pPr>
        <w:spacing w:after="120"/>
        <w:jc w:val="center"/>
      </w:pPr>
      <w:r>
        <w:rPr>
          <w:rFonts w:ascii="Times New Roman" w:hAnsi="Times New Roman"/>
          <w:b w:val="0"/>
          <w:i/>
          <w:sz w:val="18"/>
        </w:rPr>
        <w:t>Fig. 2. Response Latency by Condition</w:t>
      </w:r>
    </w:p>
    <w:p>
      <w:pPr>
        <w:pStyle w:val="ListBullet"/>
        <w:spacing w:after="60"/>
      </w:pPr>
      <w:r>
        <w:rPr>
          <w:rFonts w:ascii="Times New Roman" w:hAnsi="Times New Roman"/>
          <w:sz w:val="20"/>
        </w:rPr>
        <w:t>T=0.2 unconstrained has the lowest mean latency (5,092 ms), consistent with reduced sampling effort at low temperature.</w:t>
      </w:r>
    </w:p>
    <w:p>
      <w:pPr>
        <w:pStyle w:val="ListBullet"/>
        <w:spacing w:after="60"/>
      </w:pPr>
      <w:r>
        <w:rPr>
          <w:rFonts w:ascii="Times New Roman" w:hAnsi="Times New Roman"/>
          <w:sz w:val="20"/>
        </w:rPr>
        <w:t>T=0.8 unconstrained exhibits a high mean (11,676 ms) but low median (4,147 ms), indicating a heavily right-skewed distribution with occasional extreme outliers (max: 1,539,404 ms).</w:t>
      </w:r>
    </w:p>
    <w:p>
      <w:pPr>
        <w:pStyle w:val="ListBullet"/>
        <w:spacing w:after="60"/>
      </w:pPr>
      <w:r>
        <w:rPr>
          <w:rFonts w:ascii="Times New Roman" w:hAnsi="Times New Roman"/>
          <w:sz w:val="20"/>
        </w:rPr>
        <w:t>T=0.8 constrained has a moderate mean (10,084 ms) and the highest median (9,980 ms), reflecting consistently longer inference times due to the larger prompt.</w:t>
      </w:r>
    </w:p>
    <w:p>
      <w:pPr>
        <w:spacing w:after="80" w:before="160"/>
      </w:pPr>
      <w:r>
        <w:rPr>
          <w:rFonts w:ascii="Times New Roman" w:hAnsi="Times New Roman"/>
          <w:b/>
          <w:i/>
          <w:sz w:val="22"/>
        </w:rPr>
        <w:t>E. Move Diversity Analysis</w:t>
      </w:r>
    </w:p>
    <w:p>
      <w:pPr>
        <w:jc w:val="center"/>
      </w:pPr>
      <w:r>
        <w:drawing>
          <wp:inline xmlns:a="http://schemas.openxmlformats.org/drawingml/2006/main" xmlns:pic="http://schemas.openxmlformats.org/drawingml/2006/picture">
            <wp:extent cx="5029200" cy="2997200"/>
            <wp:docPr id="3" name="Picture 3"/>
            <wp:cNvGraphicFramePr>
              <a:graphicFrameLocks noChangeAspect="1"/>
            </wp:cNvGraphicFramePr>
            <a:graphic>
              <a:graphicData uri="http://schemas.openxmlformats.org/drawingml/2006/picture">
                <pic:pic>
                  <pic:nvPicPr>
                    <pic:cNvPr id="0" name="move_diversity_comparison.png"/>
                    <pic:cNvPicPr/>
                  </pic:nvPicPr>
                  <pic:blipFill>
                    <a:blip r:embed="rId11"/>
                    <a:stretch>
                      <a:fillRect/>
                    </a:stretch>
                  </pic:blipFill>
                  <pic:spPr>
                    <a:xfrm>
                      <a:off x="0" y="0"/>
                      <a:ext cx="5029200" cy="2997200"/>
                    </a:xfrm>
                    <a:prstGeom prst="rect"/>
                  </pic:spPr>
                </pic:pic>
              </a:graphicData>
            </a:graphic>
          </wp:inline>
        </w:drawing>
      </w:r>
    </w:p>
    <w:p>
      <w:pPr>
        <w:spacing w:after="120"/>
        <w:jc w:val="center"/>
      </w:pPr>
      <w:r>
        <w:rPr>
          <w:rFonts w:ascii="Times New Roman" w:hAnsi="Times New Roman"/>
          <w:b w:val="0"/>
          <w:i/>
          <w:sz w:val="18"/>
        </w:rPr>
        <w:t>Fig. 3. Move Diversity (Unique Moves) by Condition</w:t>
      </w:r>
    </w:p>
    <w:p>
      <w:pPr>
        <w:pStyle w:val="ListBullet"/>
        <w:spacing w:after="60"/>
      </w:pPr>
      <w:r>
        <w:rPr>
          <w:rFonts w:ascii="Times New Roman" w:hAnsi="Times New Roman"/>
          <w:sz w:val="20"/>
        </w:rPr>
        <w:t>T=0.2 unconstrained (7 unique moves): Low temperature leads to deterministic repetition. The model repeatedly produces g8f6, ignoring the evolving board state.</w:t>
      </w:r>
    </w:p>
    <w:p>
      <w:pPr>
        <w:pStyle w:val="ListBullet"/>
        <w:spacing w:after="60"/>
      </w:pPr>
      <w:r>
        <w:rPr>
          <w:rFonts w:ascii="Times New Roman" w:hAnsi="Times New Roman"/>
          <w:sz w:val="20"/>
        </w:rPr>
        <w:t>T=0.8 unconstrained (11 unique moves): Higher temperature slightly increases diversity, but the model still converges on a narrow set of patterns.</w:t>
      </w:r>
    </w:p>
    <w:p>
      <w:pPr>
        <w:pStyle w:val="ListBullet"/>
        <w:spacing w:after="60"/>
      </w:pPr>
      <w:r>
        <w:rPr>
          <w:rFonts w:ascii="Times New Roman" w:hAnsi="Times New Roman"/>
          <w:sz w:val="20"/>
        </w:rPr>
        <w:t>T=0.8 constrained (40 unique moves): Constrained decoding produces 3.6× more unique moves. By presenting the legal move list, the model selects from the full action space.</w:t>
      </w:r>
    </w:p>
    <w:p>
      <w:pPr>
        <w:spacing w:after="80" w:before="160"/>
      </w:pPr>
      <w:r>
        <w:rPr>
          <w:rFonts w:ascii="Times New Roman" w:hAnsi="Times New Roman"/>
          <w:b/>
          <w:i/>
          <w:sz w:val="22"/>
        </w:rPr>
        <w:t>F. Game Completion Analysis</w:t>
      </w:r>
    </w:p>
    <w:p>
      <w:pPr>
        <w:spacing w:after="120"/>
        <w:jc w:val="both"/>
      </w:pPr>
      <w:r>
        <w:rPr>
          <w:rFonts w:ascii="Times New Roman" w:hAnsi="Times New Roman"/>
          <w:b w:val="0"/>
          <w:i w:val="0"/>
          <w:sz w:val="20"/>
        </w:rPr>
        <w:t>In the unconstrained conditions, all 200 games were aborted early due to illegal moves (early termination enabled), with most games lasting only 1–3 LLM calls before producing an illegal output. In the constrained condition, all 20 games ran to completion (reaching the 22-ply turn cap) with zero aborts, demonstrating sustained legal play over multiple turns.</w:t>
      </w:r>
    </w:p>
    <w:p>
      <w:pPr>
        <w:spacing w:after="120" w:before="240"/>
      </w:pPr>
      <w:r>
        <w:rPr>
          <w:rFonts w:ascii="Times New Roman" w:hAnsi="Times New Roman"/>
          <w:b/>
          <w:i w:val="0"/>
          <w:sz w:val="24"/>
        </w:rPr>
        <w:t>VI. Discussion</w:t>
      </w:r>
    </w:p>
    <w:p>
      <w:pPr>
        <w:spacing w:after="80"/>
      </w:pPr>
      <w:r>
        <w:rPr>
          <w:rFonts w:ascii="Times New Roman" w:hAnsi="Times New Roman"/>
          <w:b/>
          <w:i/>
          <w:sz w:val="22"/>
        </w:rPr>
        <w:t>A. The 52% Legality Ceiling</w:t>
      </w:r>
    </w:p>
    <w:p>
      <w:pPr>
        <w:spacing w:after="120"/>
        <w:jc w:val="both"/>
      </w:pPr>
      <w:r>
        <w:rPr>
          <w:rFonts w:ascii="Times New Roman" w:hAnsi="Times New Roman"/>
          <w:b w:val="0"/>
          <w:i w:val="0"/>
          <w:sz w:val="20"/>
        </w:rPr>
        <w:t>The most striking finding is the remarkable consistency of the unconstrained legal move rate at approximately 52%, invariant to sampling temperature. This suggests that the model's legal move generation capability is limited by its internal representation of chess rules rather than by the stochasticity of the sampling process. The model appears to have learned a shallow statistical association between FEN-like strings and common UCI move patterns, but lacks a deep understanding of piece movement rules and board geometry.</w:t>
      </w:r>
    </w:p>
    <w:p>
      <w:pPr>
        <w:spacing w:after="80"/>
      </w:pPr>
      <w:r>
        <w:rPr>
          <w:rFonts w:ascii="Times New Roman" w:hAnsi="Times New Roman"/>
          <w:b/>
          <w:i/>
          <w:sz w:val="22"/>
        </w:rPr>
        <w:t>B. Deterministic Repetition at Low Temperature</w:t>
      </w:r>
    </w:p>
    <w:p>
      <w:pPr>
        <w:spacing w:after="120"/>
        <w:jc w:val="both"/>
      </w:pPr>
      <w:r>
        <w:rPr>
          <w:rFonts w:ascii="Times New Roman" w:hAnsi="Times New Roman"/>
          <w:b w:val="0"/>
          <w:i w:val="0"/>
          <w:sz w:val="20"/>
        </w:rPr>
        <w:t>The T=0.2 condition reveals a particularly informative failure mode: the model overwhelmingly produces the move g8f6 (knight to f6), a common opening response from Black. At near-greedy decoding, the model defaults to its highest-probability output token sequence regardless of the actual board state, effectively producing a "cached" response. This demonstrates that reducing temperature does not improve accuracy—it merely makes the model more confidently wrong.</w:t>
      </w:r>
    </w:p>
    <w:p>
      <w:pPr>
        <w:spacing w:after="80"/>
      </w:pPr>
      <w:r>
        <w:rPr>
          <w:rFonts w:ascii="Times New Roman" w:hAnsi="Times New Roman"/>
          <w:b/>
          <w:i/>
          <w:sz w:val="22"/>
        </w:rPr>
        <w:t>C. Constraint Injection as a Hallucination Remedy</w:t>
      </w:r>
    </w:p>
    <w:p>
      <w:pPr>
        <w:spacing w:after="120"/>
        <w:jc w:val="both"/>
      </w:pPr>
      <w:r>
        <w:rPr>
          <w:rFonts w:ascii="Times New Roman" w:hAnsi="Times New Roman"/>
          <w:b w:val="0"/>
          <w:i w:val="0"/>
          <w:sz w:val="20"/>
        </w:rPr>
        <w:t>The effectiveness of prompt-level constraint injection (100% legality) demonstrates that the model is capable of recognizing and selecting from a provided list of valid options, even when it cannot independently generate valid options. This is consistent with the distinction between generative and discriminative capabilities: the model fails at generation (producing a legal move from scratch) but succeeds at discrimination (selecting a legal move from a list). This has practical implications for LLM deployment in rule-governed domains: rather than expecting the model to internalize complex rule systems, one can externalize the rule enforcement into the prompt.</w:t>
      </w:r>
    </w:p>
    <w:p>
      <w:pPr>
        <w:spacing w:after="80"/>
      </w:pPr>
      <w:r>
        <w:rPr>
          <w:rFonts w:ascii="Times New Roman" w:hAnsi="Times New Roman"/>
          <w:b/>
          <w:i/>
          <w:sz w:val="22"/>
        </w:rPr>
        <w:t>D. Diversity as a Side Effect of Constraints</w:t>
      </w:r>
    </w:p>
    <w:p>
      <w:pPr>
        <w:spacing w:after="120"/>
        <w:jc w:val="both"/>
      </w:pPr>
      <w:r>
        <w:rPr>
          <w:rFonts w:ascii="Times New Roman" w:hAnsi="Times New Roman"/>
          <w:b w:val="0"/>
          <w:i w:val="0"/>
          <w:sz w:val="20"/>
        </w:rPr>
        <w:t>The increase in move diversity under constrained decoding (40 vs 11 unique moves) is a counterintuitive and valuable finding. One might expect that constraining the output space would reduce diversity, but the opposite occurs because: (1) without constraints, the model defaults to memorized high-frequency patterns; (2) with the legal move list presented, the model accesses the full action space and distributes selections more broadly. This suggests that constraint injection not only improves correctness but also combats the "mode collapse" behavior observed in unconstrained generation.</w:t>
      </w:r>
    </w:p>
    <w:p>
      <w:pPr>
        <w:spacing w:after="80"/>
      </w:pPr>
      <w:r>
        <w:rPr>
          <w:rFonts w:ascii="Times New Roman" w:hAnsi="Times New Roman"/>
          <w:b/>
          <w:i/>
          <w:sz w:val="22"/>
        </w:rPr>
        <w:t>E. Limitations</w:t>
      </w:r>
    </w:p>
    <w:p>
      <w:pPr>
        <w:spacing w:after="120"/>
        <w:jc w:val="both"/>
      </w:pPr>
      <w:r>
        <w:rPr>
          <w:rFonts w:ascii="Times New Roman" w:hAnsi="Times New Roman"/>
          <w:b w:val="0"/>
          <w:i w:val="0"/>
          <w:sz w:val="20"/>
        </w:rPr>
        <w:t>Results are specific to Llama 3.1 8B (Q4_0); other models may exhibit different legality ceilings. The 4-bit quantization may degrade chess reasoning capability. Latency measurements reflect CPU-only execution. With early termination, unconstrained runs provide limited data on deep game trees. We do not evaluate the strategic quality of moves (Elo rating), only their legality.</w:t>
      </w:r>
    </w:p>
    <w:p>
      <w:pPr>
        <w:spacing w:after="120" w:before="240"/>
      </w:pPr>
      <w:r>
        <w:rPr>
          <w:rFonts w:ascii="Times New Roman" w:hAnsi="Times New Roman"/>
          <w:b/>
          <w:i w:val="0"/>
          <w:sz w:val="24"/>
        </w:rPr>
        <w:t>VII. Reproduction Instructions</w:t>
      </w:r>
    </w:p>
    <w:p>
      <w:pPr>
        <w:spacing w:after="120"/>
      </w:pPr>
      <w:r>
        <w:rPr>
          <w:rFonts w:ascii="Times New Roman" w:hAnsi="Times New Roman"/>
          <w:b w:val="0"/>
          <w:i w:val="0"/>
          <w:sz w:val="20"/>
        </w:rPr>
        <w:t>The complete experiment can be reproduced in three steps:</w:t>
      </w:r>
    </w:p>
    <w:p>
      <w:pPr>
        <w:spacing w:after="40"/>
      </w:pPr>
      <w:r>
        <w:rPr>
          <w:rFonts w:ascii="Times New Roman" w:hAnsi="Times New Roman"/>
          <w:b/>
          <w:i w:val="0"/>
          <w:sz w:val="20"/>
        </w:rPr>
        <w:t>Step 1: Environment Setup</w:t>
      </w:r>
    </w:p>
    <w:p>
      <w:pPr>
        <w:spacing w:after="160"/>
      </w:pPr>
      <w:r>
        <w:rPr>
          <w:rFonts w:ascii="Courier New" w:hAnsi="Courier New"/>
          <w:sz w:val="16"/>
        </w:rPr>
        <w:t>git clone https://github.com/Arpit-Panigrahi/llm-chess-engine.git</w:t>
        <w:br/>
        <w:t>cd llm-chess-engine</w:t>
        <w:br/>
        <w:t>pip install -r requirements.txt</w:t>
        <w:br/>
        <w:t>ollama pull llama3.1</w:t>
      </w:r>
    </w:p>
    <w:p>
      <w:pPr>
        <w:spacing w:after="40"/>
      </w:pPr>
      <w:r>
        <w:rPr>
          <w:rFonts w:ascii="Times New Roman" w:hAnsi="Times New Roman"/>
          <w:b/>
          <w:i w:val="0"/>
          <w:sz w:val="20"/>
        </w:rPr>
        <w:t>Step 2: Run the Experiment Matrix</w:t>
      </w:r>
    </w:p>
    <w:p>
      <w:pPr>
        <w:spacing w:after="160"/>
      </w:pPr>
      <w:r>
        <w:rPr>
          <w:rFonts w:ascii="Courier New" w:hAnsi="Courier New"/>
          <w:sz w:val="16"/>
        </w:rPr>
        <w:t># Full matrix (3 conditions)</w:t>
        <w:br/>
        <w:t>bash scripts/run_experiment_matrix.sh \</w:t>
        <w:br/>
        <w:t xml:space="preserve">  --model llama3.1 --num-games 100 --early-termination</w:t>
        <w:br/>
        <w:br/>
        <w:t># Or run individual conditions:</w:t>
        <w:br/>
        <w:t>python3 scripts/run_game.py --temperature 0.2 \</w:t>
        <w:br/>
        <w:t xml:space="preserve">  --no-constrained-decoding --num-games 100 \</w:t>
        <w:br/>
        <w:t xml:space="preserve">  --early-termination --seed 42 --tag t02_unconstrained</w:t>
        <w:br/>
        <w:br/>
        <w:t>python3 scripts/run_game.py --temperature 0.8 \</w:t>
        <w:br/>
        <w:t xml:space="preserve">  --no-constrained-decoding --num-games 100 \</w:t>
        <w:br/>
        <w:t xml:space="preserve">  --early-termination --seed 42 --tag t08_unconstrained</w:t>
        <w:br/>
        <w:br/>
        <w:t>python3 scripts/run_game.py --temperature 0.8 \</w:t>
        <w:br/>
        <w:t xml:space="preserve">  --constrained-decoding --num-games 20 \</w:t>
        <w:br/>
        <w:t xml:space="preserve">  --max-turns 22 --seed 42 --tag t08_constrained</w:t>
      </w:r>
    </w:p>
    <w:p>
      <w:pPr>
        <w:spacing w:after="40"/>
      </w:pPr>
      <w:r>
        <w:rPr>
          <w:rFonts w:ascii="Times New Roman" w:hAnsi="Times New Roman"/>
          <w:b/>
          <w:i w:val="0"/>
          <w:sz w:val="20"/>
        </w:rPr>
        <w:t>Step 3: Generate Analysis Report</w:t>
      </w:r>
    </w:p>
    <w:p>
      <w:pPr>
        <w:spacing w:after="160"/>
      </w:pPr>
      <w:r>
        <w:rPr>
          <w:rFonts w:ascii="Courier New" w:hAnsi="Courier New"/>
          <w:sz w:val="16"/>
        </w:rPr>
        <w:t>python3 scripts/analyze_all.py \</w:t>
        <w:br/>
        <w:t xml:space="preserve">  --run-root runs --out reports/experiment_matrix</w:t>
      </w:r>
    </w:p>
    <w:p>
      <w:pPr>
        <w:spacing w:after="120" w:before="240"/>
      </w:pPr>
      <w:r>
        <w:rPr>
          <w:rFonts w:ascii="Times New Roman" w:hAnsi="Times New Roman"/>
          <w:b/>
          <w:i w:val="0"/>
          <w:sz w:val="24"/>
        </w:rPr>
        <w:t>VIII. Conclusion</w:t>
      </w:r>
    </w:p>
    <w:p>
      <w:pPr>
        <w:spacing w:after="120"/>
        <w:jc w:val="both"/>
      </w:pPr>
      <w:r>
        <w:rPr>
          <w:rFonts w:ascii="Times New Roman" w:hAnsi="Times New Roman"/>
          <w:b w:val="0"/>
          <w:i w:val="0"/>
          <w:sz w:val="20"/>
        </w:rPr>
        <w:t>This paper presents a controlled experimental study demonstrating that prompt-level legal move injection completely eliminates hallucinated chess moves in Llama 3.1 8B, raising the legal move rate from a temperature-invariant ceiling of approximately 52% to a perfect 100%. Furthermore, constrained decoding increases move diversity by 3.6×, countering the mode collapse observed in unconstrained generation.</w:t>
      </w:r>
    </w:p>
    <w:p>
      <w:pPr>
        <w:spacing w:after="120"/>
        <w:jc w:val="both"/>
      </w:pPr>
      <w:r>
        <w:rPr>
          <w:rFonts w:ascii="Times New Roman" w:hAnsi="Times New Roman"/>
          <w:b w:val="0"/>
          <w:i w:val="0"/>
          <w:sz w:val="20"/>
        </w:rPr>
        <w:t>These findings suggest a practical design pattern for deploying LLMs in rule-governed domains: externalize rule enforcement into the prompt context, transforming the task from unconstrained generation to constrained selection. This approach requires no model modification, is compatible with any inference API, and can be applied to any domain where the set of valid outputs at each step can be enumerated.</w:t>
      </w:r>
    </w:p>
    <w:p>
      <w:pPr>
        <w:spacing w:after="240"/>
        <w:jc w:val="both"/>
      </w:pPr>
      <w:r>
        <w:rPr>
          <w:rFonts w:ascii="Times New Roman" w:hAnsi="Times New Roman"/>
          <w:b w:val="0"/>
          <w:i w:val="0"/>
          <w:sz w:val="20"/>
        </w:rPr>
        <w:t>Future work will extend this evaluation to additional models (GPT-4, Mistral, Qwen), evaluate the strategic quality of constrained move selections (Elo rating), and investigate hybrid architectures combining LLM-based evaluation with classical alpha-beta search.</w:t>
      </w:r>
    </w:p>
    <w:p>
      <w:r>
        <w:rPr>
          <w:sz w:val="12"/>
        </w:rPr>
        <w:t>────────────────────────────────────────────────────────────────────────────────</w:t>
      </w:r>
    </w:p>
    <w:p>
      <w:pPr>
        <w:spacing w:after="120" w:before="160"/>
      </w:pPr>
      <w:r>
        <w:rPr>
          <w:rFonts w:ascii="Times New Roman" w:hAnsi="Times New Roman"/>
          <w:b/>
          <w:i w:val="0"/>
          <w:sz w:val="24"/>
        </w:rPr>
        <w:t>References</w:t>
      </w:r>
    </w:p>
    <w:p>
      <w:pPr>
        <w:spacing w:after="60"/>
        <w:ind w:left="283"/>
      </w:pPr>
      <w:r>
        <w:rPr>
          <w:rFonts w:ascii="Times New Roman" w:hAnsi="Times New Roman"/>
          <w:sz w:val="18"/>
        </w:rPr>
        <w:t>[1] J. Wei et al., "Chain-of-thought prompting elicits reasoning in large language models," Advances in Neural Information Processing Systems, vol. 35, pp. 24824–24837, 2022.</w:t>
      </w:r>
    </w:p>
    <w:p>
      <w:pPr>
        <w:spacing w:after="60"/>
        <w:ind w:left="283"/>
      </w:pPr>
      <w:r>
        <w:rPr>
          <w:rFonts w:ascii="Times New Roman" w:hAnsi="Times New Roman"/>
          <w:sz w:val="18"/>
        </w:rPr>
        <w:t>[2] Z. Ji et al., "Survey of hallucination in natural language generation," ACM Computing Surveys, vol. 55, no. 12, pp. 1–38, 2023.</w:t>
      </w:r>
    </w:p>
    <w:p>
      <w:pPr>
        <w:spacing w:after="60"/>
        <w:ind w:left="283"/>
      </w:pPr>
      <w:r>
        <w:rPr>
          <w:rFonts w:ascii="Times New Roman" w:hAnsi="Times New Roman"/>
          <w:sz w:val="18"/>
        </w:rPr>
        <w:t>[3] S. Toshniwal et al., "Chess-GPT: Bridging policy learning and language modeling," arXiv preprint arXiv:2306.09200, 2023.</w:t>
      </w:r>
    </w:p>
    <w:p>
      <w:pPr>
        <w:spacing w:after="60"/>
        <w:ind w:left="283"/>
      </w:pPr>
      <w:r>
        <w:rPr>
          <w:rFonts w:ascii="Times New Roman" w:hAnsi="Times New Roman"/>
          <w:sz w:val="18"/>
        </w:rPr>
        <w:t>[4] X. Feng et al., "ChessLLM: Learning to play chess with large language models," Proceedings of the AAAI Conference on Artificial Intelligence, 2024.</w:t>
      </w:r>
    </w:p>
    <w:p>
      <w:pPr>
        <w:spacing w:after="60"/>
        <w:ind w:left="283"/>
      </w:pPr>
      <w:r>
        <w:rPr>
          <w:rFonts w:ascii="Times New Roman" w:hAnsi="Times New Roman"/>
          <w:sz w:val="18"/>
        </w:rPr>
        <w:t>[5] D. Silver et al., "Mastering the game of Go with deep neural networks and tree search," Nature, vol. 529, no. 7587, pp. 484–489, 2016.</w:t>
      </w:r>
    </w:p>
    <w:p>
      <w:pPr>
        <w:spacing w:after="60"/>
        <w:ind w:left="283"/>
      </w:pPr>
      <w:r>
        <w:rPr>
          <w:rFonts w:ascii="Times New Roman" w:hAnsi="Times New Roman"/>
          <w:sz w:val="18"/>
        </w:rPr>
        <w:t>[6] R. Allbert, "VICE chess engine," Bluefever Software, 2013. [Online]. Available: https://github.com/bluefeversoft/vice</w:t>
      </w:r>
    </w:p>
    <w:p>
      <w:pPr>
        <w:spacing w:after="60"/>
        <w:ind w:left="283"/>
      </w:pPr>
      <w:r>
        <w:rPr>
          <w:rFonts w:ascii="Times New Roman" w:hAnsi="Times New Roman"/>
          <w:sz w:val="18"/>
        </w:rPr>
        <w:t>[7] Ollama, "Ollama: Get up and running with large language models," 2024. [Online]. Available: https://ollama.com</w:t>
      </w:r>
    </w:p>
    <w:p>
      <w:pPr>
        <w:spacing w:after="60"/>
        <w:ind w:left="283"/>
      </w:pPr>
      <w:r>
        <w:rPr>
          <w:rFonts w:ascii="Times New Roman" w:hAnsi="Times New Roman"/>
          <w:sz w:val="18"/>
        </w:rPr>
        <w:t>[8] N. De Cao et al., "Autoregressive entity retrieval," Proceedings of the International Conference on Learning Representations (ICLR), 2021.</w:t>
      </w:r>
    </w:p>
    <w:p/>
    <w:p>
      <w:pPr>
        <w:spacing w:after="120"/>
        <w:jc w:val="center"/>
      </w:pPr>
      <w:r>
        <w:rPr>
          <w:rFonts w:ascii="Times New Roman" w:hAnsi="Times New Roman"/>
          <w:b w:val="0"/>
          <w:i/>
          <w:sz w:val="18"/>
        </w:rPr>
        <w:t>Manuscript submitted July 2026. The complete source code, experiment data, and analysis pipeline are available at https://github.com/Arpit-Panigrahi/llm-chess-engine.</w:t>
      </w:r>
    </w:p>
    <w:sectPr w:rsidR="00FC693F" w:rsidRPr="0006063C" w:rsidSect="00034616">
      <w:pgSz w:w="12240" w:h="15840"/>
      <w:pgMar w:top="1440" w:right="1083" w:bottom="1440" w:left="108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