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A365D"/>
          <w:sz w:val="48"/>
        </w:rPr>
        <w:t>FEDNE: Surrogate-Assisted Federated Neighbor Embedding</w:t>
      </w:r>
    </w:p>
    <w:p>
      <w:pPr>
        <w:spacing w:after="480"/>
        <w:jc w:val="center"/>
      </w:pPr>
      <w:r>
        <w:rPr>
          <w:i/>
          <w:color w:val="4A5568"/>
          <w:sz w:val="28"/>
        </w:rPr>
        <w:t>Implementation, Verification, and Performance Analysis Report</w:t>
      </w:r>
    </w:p>
    <w:p>
      <w:pPr>
        <w:spacing w:before="2400"/>
        <w:jc w:val="center"/>
      </w:pPr>
      <w:r>
        <w:rPr>
          <w:color w:val="718096"/>
          <w:sz w:val="20"/>
        </w:rPr>
        <w:t>Document generated for: Pair-Programming Collaboration</w:t>
        <w:br/>
        <w:t>Workspace: FEDNE Repository</w:t>
        <w:br/>
        <w:t>Date: July 2026</w:t>
      </w:r>
    </w:p>
    <w:p>
      <w:r>
        <w:br w:type="page"/>
      </w:r>
    </w:p>
    <w:p>
      <w:pPr>
        <w:pStyle w:val="Heading1"/>
        <w:spacing w:before="360" w:after="120"/>
      </w:pPr>
      <w:r>
        <w:rPr>
          <w:rFonts w:ascii="Arial" w:hAnsi="Arial"/>
          <w:color w:val="1A365D"/>
          <w:sz w:val="36"/>
        </w:rPr>
        <w:t>Executive Summary</w:t>
      </w:r>
    </w:p>
    <w:p>
      <w:pPr>
        <w:spacing w:line="276" w:lineRule="auto" w:after="200"/>
      </w:pPr>
      <w:r>
        <w:t>This report provides a thorough documentation of the FEDNE framework implementation, corresponding test suites, and empirical validation results. FEDNE represents a state-of-the-art collaborative dimensionality reduction technique designed to produce 2D embedding visualizations of distributed, high-dimensional datasets without requiring clients to share private raw samples. By using local surrogate repulsion networks trained on 2D grid query points, FEDNE resolves the lack of inter-client repulsion in federated manifold learning settings.</w:t>
      </w:r>
    </w:p>
    <w:p>
      <w:pPr>
        <w:pStyle w:val="Heading1"/>
        <w:spacing w:before="360" w:after="120"/>
      </w:pPr>
      <w:r>
        <w:rPr>
          <w:rFonts w:ascii="Arial" w:hAnsi="Arial"/>
          <w:color w:val="1A365D"/>
          <w:sz w:val="36"/>
        </w:rPr>
        <w:t>1. Background &amp; Methodology</w:t>
      </w:r>
    </w:p>
    <w:p>
      <w:r>
        <w:t>Neighbor embedding techniques (such as t-SNE and UMAP) compute low-dimensional coordinates by modeling attraction forces between nearby points and repulsion forces between distant points. In a Federated Learning (FL) paradigm, distributing this process presents a fundamental challenge: since clients only have access to their local partition, there are no cross-client pairs to compute repulsion. As a result, the embedding models collapse, overlapping different clients' classes in the low-dimensional visualization space.</w:t>
      </w:r>
    </w:p>
    <w:p>
      <w:r>
        <w:t>FEDNE (NeurIPS 2024) addresses this by introducing a surrogate-assisted repulsion system. Each client constructs a local k-Nearest Neighbor (kNN) graph and trains a local encoder. To represent its data distribution's repulsion landscape, each client trains a lightweight MLP (the Surrogate) in 2D space. The training objective for the surrogate model is to fit true repulsion targets evaluated over 2D grid points covering the embedding workspace. Once trained, these surrogates are uploaded to the server and broadcasted to all other clients, enabling them to evaluate out-of-client repulsion without inspecting raw data samples.</w:t>
      </w:r>
    </w:p>
    <w:p>
      <w:pPr>
        <w:pStyle w:val="Heading1"/>
        <w:spacing w:before="360" w:after="120"/>
      </w:pPr>
      <w:r>
        <w:rPr>
          <w:rFonts w:ascii="Arial" w:hAnsi="Arial"/>
          <w:color w:val="1A365D"/>
          <w:sz w:val="36"/>
        </w:rPr>
        <w:t>2. Repository Architecture</w:t>
      </w:r>
    </w:p>
    <w:p>
      <w:r>
        <w:t>The codebase is structured modularly. Below is a detailed summary of the main files and modules:</w:t>
      </w:r>
    </w:p>
    <w:tbl>
      <w:tblPr>
        <w:tblW w:type="auto" w:w="0"/>
        <w:jc w:val="center"/>
        <w:tblLayout w:type="fixed"/>
        <w:tblLook w:firstColumn="1" w:firstRow="1" w:lastColumn="0" w:lastRow="0" w:noHBand="0" w:noVBand="1" w:val="04A0"/>
      </w:tblPr>
      <w:tblGrid>
        <w:gridCol w:w="4680"/>
        <w:gridCol w:w="4680"/>
      </w:tblGrid>
      <w:tr>
        <w:tc>
          <w:tcPr>
            <w:tcW w:type="dxa" w:w="3312"/>
            <w:shd w:fill="1A365D"/>
            <w:tcMar>
              <w:top w:w="140" w:type="dxa"/>
              <w:bottom w:w="140" w:type="dxa"/>
              <w:left w:w="180" w:type="dxa"/>
              <w:right w:w="180" w:type="dxa"/>
            </w:tcMar>
          </w:tcPr>
          <w:p>
            <w:r>
              <w:rPr>
                <w:b/>
                <w:color w:val="FFFFFF"/>
                <w:sz w:val="21"/>
              </w:rPr>
              <w:t>File / Directory Path</w:t>
            </w:r>
          </w:p>
        </w:tc>
        <w:tc>
          <w:tcPr>
            <w:tcW w:type="dxa" w:w="6048"/>
            <w:shd w:fill="1A365D"/>
            <w:tcMar>
              <w:top w:w="140" w:type="dxa"/>
              <w:bottom w:w="140" w:type="dxa"/>
              <w:left w:w="180" w:type="dxa"/>
              <w:right w:w="180" w:type="dxa"/>
            </w:tcMar>
          </w:tcPr>
          <w:p>
            <w:r>
              <w:rPr>
                <w:b/>
                <w:color w:val="FFFFFF"/>
                <w:sz w:val="21"/>
              </w:rPr>
              <w:t>Functional Description</w:t>
            </w:r>
          </w:p>
        </w:tc>
      </w:tr>
      <w:tr>
        <w:tc>
          <w:tcPr>
            <w:tcW w:type="dxa" w:w="3312"/>
            <w:shd w:fill="F7FAFC"/>
            <w:tcMar>
              <w:top w:w="100" w:type="dxa"/>
              <w:bottom w:w="100" w:type="dxa"/>
              <w:left w:w="150" w:type="dxa"/>
              <w:right w:w="150" w:type="dxa"/>
            </w:tcMar>
          </w:tcPr>
          <w:p>
            <w:r>
              <w:rPr>
                <w:b/>
                <w:color w:val="2B6CB0"/>
                <w:sz w:val="19"/>
              </w:rPr>
              <w:t>fedne/configs/mnist_default.yaml</w:t>
            </w:r>
          </w:p>
        </w:tc>
        <w:tc>
          <w:tcPr>
            <w:tcW w:type="dxa" w:w="6048"/>
            <w:shd w:fill="F7FAFC"/>
            <w:tcMar>
              <w:top w:w="100" w:type="dxa"/>
              <w:bottom w:w="100" w:type="dxa"/>
              <w:left w:w="150" w:type="dxa"/>
              <w:right w:w="150" w:type="dxa"/>
            </w:tcMar>
          </w:tcPr>
          <w:p>
            <w:r>
              <w:rPr>
                <w:sz w:val="19"/>
              </w:rPr>
              <w:t>Default hyperparameters configuration file including learning rate decay rounds, dataset settings, grid step size, and logging directories.</w:t>
            </w:r>
          </w:p>
        </w:tc>
      </w:tr>
      <w:tr>
        <w:tc>
          <w:tcPr>
            <w:tcW w:type="dxa" w:w="3312"/>
            <w:shd w:fill="FFFFFF"/>
            <w:tcMar>
              <w:top w:w="100" w:type="dxa"/>
              <w:bottom w:w="100" w:type="dxa"/>
              <w:left w:w="150" w:type="dxa"/>
              <w:right w:w="150" w:type="dxa"/>
            </w:tcMar>
          </w:tcPr>
          <w:p>
            <w:r>
              <w:rPr>
                <w:b/>
                <w:color w:val="2B6CB0"/>
                <w:sz w:val="19"/>
              </w:rPr>
              <w:t>fedne/datasets/loader.py</w:t>
            </w:r>
          </w:p>
        </w:tc>
        <w:tc>
          <w:tcPr>
            <w:tcW w:type="dxa" w:w="6048"/>
            <w:shd w:fill="FFFFFF"/>
            <w:tcMar>
              <w:top w:w="100" w:type="dxa"/>
              <w:bottom w:w="100" w:type="dxa"/>
              <w:left w:w="150" w:type="dxa"/>
              <w:right w:w="150" w:type="dxa"/>
            </w:tcMar>
          </w:tcPr>
          <w:p>
            <w:r>
              <w:rPr>
                <w:sz w:val="19"/>
              </w:rPr>
              <w:t>Data loaders for MNIST and FashionMNIST. Implements three data partitioning modes: IID, Dirichlet (alpha-imbalanced), and Shards (class-grouped class assignment).</w:t>
            </w:r>
          </w:p>
        </w:tc>
      </w:tr>
      <w:tr>
        <w:tc>
          <w:tcPr>
            <w:tcW w:type="dxa" w:w="3312"/>
            <w:shd w:fill="F7FAFC"/>
            <w:tcMar>
              <w:top w:w="100" w:type="dxa"/>
              <w:bottom w:w="100" w:type="dxa"/>
              <w:left w:w="150" w:type="dxa"/>
              <w:right w:w="150" w:type="dxa"/>
            </w:tcMar>
          </w:tcPr>
          <w:p>
            <w:r>
              <w:rPr>
                <w:b/>
                <w:color w:val="2B6CB0"/>
                <w:sz w:val="19"/>
              </w:rPr>
              <w:t>fedne/models/encoder.py</w:t>
            </w:r>
          </w:p>
        </w:tc>
        <w:tc>
          <w:tcPr>
            <w:tcW w:type="dxa" w:w="6048"/>
            <w:shd w:fill="F7FAFC"/>
            <w:tcMar>
              <w:top w:w="100" w:type="dxa"/>
              <w:bottom w:w="100" w:type="dxa"/>
              <w:left w:w="150" w:type="dxa"/>
              <w:right w:w="150" w:type="dxa"/>
            </w:tcMar>
          </w:tcPr>
          <w:p>
            <w:r>
              <w:rPr>
                <w:sz w:val="19"/>
              </w:rPr>
              <w:t>Parametric MLP encoder mapping high-dimensional input features (e.g. 784-dim vector for MNIST) to a 2D embedding space.</w:t>
            </w:r>
          </w:p>
        </w:tc>
      </w:tr>
      <w:tr>
        <w:tc>
          <w:tcPr>
            <w:tcW w:type="dxa" w:w="3312"/>
            <w:shd w:fill="FFFFFF"/>
            <w:tcMar>
              <w:top w:w="100" w:type="dxa"/>
              <w:bottom w:w="100" w:type="dxa"/>
              <w:left w:w="150" w:type="dxa"/>
              <w:right w:w="150" w:type="dxa"/>
            </w:tcMar>
          </w:tcPr>
          <w:p>
            <w:r>
              <w:rPr>
                <w:b/>
                <w:color w:val="2B6CB0"/>
                <w:sz w:val="19"/>
              </w:rPr>
              <w:t>fedne/models/surrogate.py</w:t>
            </w:r>
          </w:p>
        </w:tc>
        <w:tc>
          <w:tcPr>
            <w:tcW w:type="dxa" w:w="6048"/>
            <w:shd w:fill="FFFFFF"/>
            <w:tcMar>
              <w:top w:w="100" w:type="dxa"/>
              <w:bottom w:w="100" w:type="dxa"/>
              <w:left w:w="150" w:type="dxa"/>
              <w:right w:w="150" w:type="dxa"/>
            </w:tcMar>
          </w:tcPr>
          <w:p>
            <w:r>
              <w:rPr>
                <w:sz w:val="19"/>
              </w:rPr>
              <w:t>Surrogate MLP repulsion model. Includes grid query points sampler (with bounding box limits and step bounds) and the target repulsion calculation module.</w:t>
            </w:r>
          </w:p>
        </w:tc>
      </w:tr>
      <w:tr>
        <w:tc>
          <w:tcPr>
            <w:tcW w:type="dxa" w:w="3312"/>
            <w:shd w:fill="F7FAFC"/>
            <w:tcMar>
              <w:top w:w="100" w:type="dxa"/>
              <w:bottom w:w="100" w:type="dxa"/>
              <w:left w:w="150" w:type="dxa"/>
              <w:right w:w="150" w:type="dxa"/>
            </w:tcMar>
          </w:tcPr>
          <w:p>
            <w:r>
              <w:rPr>
                <w:b/>
                <w:color w:val="2B6CB0"/>
                <w:sz w:val="19"/>
              </w:rPr>
              <w:t>fedne/losses/attraction.py</w:t>
            </w:r>
          </w:p>
        </w:tc>
        <w:tc>
          <w:tcPr>
            <w:tcW w:type="dxa" w:w="6048"/>
            <w:shd w:fill="F7FAFC"/>
            <w:tcMar>
              <w:top w:w="100" w:type="dxa"/>
              <w:bottom w:w="100" w:type="dxa"/>
              <w:left w:w="150" w:type="dxa"/>
              <w:right w:w="150" w:type="dxa"/>
            </w:tcMar>
          </w:tcPr>
          <w:p>
            <w:r>
              <w:rPr>
                <w:sz w:val="19"/>
              </w:rPr>
              <w:t>Computes the positive attraction term between graph neighbors (phi_pos).</w:t>
            </w:r>
          </w:p>
        </w:tc>
      </w:tr>
      <w:tr>
        <w:tc>
          <w:tcPr>
            <w:tcW w:type="dxa" w:w="3312"/>
            <w:shd w:fill="FFFFFF"/>
            <w:tcMar>
              <w:top w:w="100" w:type="dxa"/>
              <w:bottom w:w="100" w:type="dxa"/>
              <w:left w:w="150" w:type="dxa"/>
              <w:right w:w="150" w:type="dxa"/>
            </w:tcMar>
          </w:tcPr>
          <w:p>
            <w:r>
              <w:rPr>
                <w:b/>
                <w:color w:val="2B6CB0"/>
                <w:sz w:val="19"/>
              </w:rPr>
              <w:t>fedne/losses/repulsion.py</w:t>
            </w:r>
          </w:p>
        </w:tc>
        <w:tc>
          <w:tcPr>
            <w:tcW w:type="dxa" w:w="6048"/>
            <w:shd w:fill="FFFFFF"/>
            <w:tcMar>
              <w:top w:w="100" w:type="dxa"/>
              <w:bottom w:w="100" w:type="dxa"/>
              <w:left w:w="150" w:type="dxa"/>
              <w:right w:w="150" w:type="dxa"/>
            </w:tcMar>
          </w:tcPr>
          <w:p>
            <w:r>
              <w:rPr>
                <w:sz w:val="19"/>
              </w:rPr>
              <w:t>Computes the local repulsion term among non-neighbors within the client's local dataset.</w:t>
            </w:r>
          </w:p>
        </w:tc>
      </w:tr>
      <w:tr>
        <w:tc>
          <w:tcPr>
            <w:tcW w:type="dxa" w:w="3312"/>
            <w:shd w:fill="F7FAFC"/>
            <w:tcMar>
              <w:top w:w="100" w:type="dxa"/>
              <w:bottom w:w="100" w:type="dxa"/>
              <w:left w:w="150" w:type="dxa"/>
              <w:right w:w="150" w:type="dxa"/>
            </w:tcMar>
          </w:tcPr>
          <w:p>
            <w:r>
              <w:rPr>
                <w:b/>
                <w:color w:val="2B6CB0"/>
                <w:sz w:val="19"/>
              </w:rPr>
              <w:t>fedne/losses/contrastive_loss.py</w:t>
            </w:r>
          </w:p>
        </w:tc>
        <w:tc>
          <w:tcPr>
            <w:tcW w:type="dxa" w:w="6048"/>
            <w:shd w:fill="F7FAFC"/>
            <w:tcMar>
              <w:top w:w="100" w:type="dxa"/>
              <w:bottom w:w="100" w:type="dxa"/>
              <w:left w:w="150" w:type="dxa"/>
              <w:right w:w="150" w:type="dxa"/>
            </w:tcMar>
          </w:tcPr>
          <w:p>
            <w:r>
              <w:rPr>
                <w:sz w:val="19"/>
              </w:rPr>
              <w:t>Integrates attraction, local repulsion, and foreign surrogate repulsion values into the final Equation 10 objective.</w:t>
            </w:r>
          </w:p>
        </w:tc>
      </w:tr>
      <w:tr>
        <w:tc>
          <w:tcPr>
            <w:tcW w:type="dxa" w:w="3312"/>
            <w:shd w:fill="FFFFFF"/>
            <w:tcMar>
              <w:top w:w="100" w:type="dxa"/>
              <w:bottom w:w="100" w:type="dxa"/>
              <w:left w:w="150" w:type="dxa"/>
              <w:right w:w="150" w:type="dxa"/>
            </w:tcMar>
          </w:tcPr>
          <w:p>
            <w:r>
              <w:rPr>
                <w:b/>
                <w:color w:val="2B6CB0"/>
                <w:sz w:val="19"/>
              </w:rPr>
              <w:t>fedne/graph/knn.py</w:t>
            </w:r>
          </w:p>
        </w:tc>
        <w:tc>
          <w:tcPr>
            <w:tcW w:type="dxa" w:w="6048"/>
            <w:shd w:fill="FFFFFF"/>
            <w:tcMar>
              <w:top w:w="100" w:type="dxa"/>
              <w:bottom w:w="100" w:type="dxa"/>
              <w:left w:w="150" w:type="dxa"/>
              <w:right w:w="150" w:type="dxa"/>
            </w:tcMar>
          </w:tcPr>
          <w:p>
            <w:r>
              <w:rPr>
                <w:sz w:val="19"/>
              </w:rPr>
              <w:t>Constructs local k-Nearest Neighbor graph using scikit-learn's NearestNeighbors module, handling self-loop filtering and padding.</w:t>
            </w:r>
          </w:p>
        </w:tc>
      </w:tr>
      <w:tr>
        <w:tc>
          <w:tcPr>
            <w:tcW w:type="dxa" w:w="3312"/>
            <w:shd w:fill="F7FAFC"/>
            <w:tcMar>
              <w:top w:w="100" w:type="dxa"/>
              <w:bottom w:w="100" w:type="dxa"/>
              <w:left w:w="150" w:type="dxa"/>
              <w:right w:w="150" w:type="dxa"/>
            </w:tcMar>
          </w:tcPr>
          <w:p>
            <w:r>
              <w:rPr>
                <w:b/>
                <w:color w:val="2B6CB0"/>
                <w:sz w:val="19"/>
              </w:rPr>
              <w:t>fedne/augmentation/mixup.py</w:t>
            </w:r>
          </w:p>
        </w:tc>
        <w:tc>
          <w:tcPr>
            <w:tcW w:type="dxa" w:w="6048"/>
            <w:shd w:fill="F7FAFC"/>
            <w:tcMar>
              <w:top w:w="100" w:type="dxa"/>
              <w:bottom w:w="100" w:type="dxa"/>
              <w:left w:w="150" w:type="dxa"/>
              <w:right w:w="150" w:type="dxa"/>
            </w:tcMar>
          </w:tcPr>
          <w:p>
            <w:r>
              <w:rPr>
                <w:sz w:val="19"/>
              </w:rPr>
              <w:t>Implements intra-client data augmentation by performing Mixup between samples and their kNN neighbors in high-dimensional space.</w:t>
            </w:r>
          </w:p>
        </w:tc>
      </w:tr>
      <w:tr>
        <w:tc>
          <w:tcPr>
            <w:tcW w:type="dxa" w:w="3312"/>
            <w:shd w:fill="FFFFFF"/>
            <w:tcMar>
              <w:top w:w="100" w:type="dxa"/>
              <w:bottom w:w="100" w:type="dxa"/>
              <w:left w:w="150" w:type="dxa"/>
              <w:right w:w="150" w:type="dxa"/>
            </w:tcMar>
          </w:tcPr>
          <w:p>
            <w:r>
              <w:rPr>
                <w:b/>
                <w:color w:val="2B6CB0"/>
                <w:sz w:val="19"/>
              </w:rPr>
              <w:t>fedne/client/client.py</w:t>
            </w:r>
          </w:p>
        </w:tc>
        <w:tc>
          <w:tcPr>
            <w:tcW w:type="dxa" w:w="6048"/>
            <w:shd w:fill="FFFFFF"/>
            <w:tcMar>
              <w:top w:w="100" w:type="dxa"/>
              <w:bottom w:w="100" w:type="dxa"/>
              <w:left w:w="150" w:type="dxa"/>
              <w:right w:w="150" w:type="dxa"/>
            </w:tcMar>
          </w:tcPr>
          <w:p>
            <w:r>
              <w:rPr>
                <w:sz w:val="19"/>
              </w:rPr>
              <w:t>Handles client-side execution, containing local encoder mini-batch training steps and local surrogate model training/fine-tuning.</w:t>
            </w:r>
          </w:p>
        </w:tc>
      </w:tr>
      <w:tr>
        <w:tc>
          <w:tcPr>
            <w:tcW w:type="dxa" w:w="3312"/>
            <w:shd w:fill="F7FAFC"/>
            <w:tcMar>
              <w:top w:w="100" w:type="dxa"/>
              <w:bottom w:w="100" w:type="dxa"/>
              <w:left w:w="150" w:type="dxa"/>
              <w:right w:w="150" w:type="dxa"/>
            </w:tcMar>
          </w:tcPr>
          <w:p>
            <w:r>
              <w:rPr>
                <w:b/>
                <w:color w:val="2B6CB0"/>
                <w:sz w:val="19"/>
              </w:rPr>
              <w:t>fedne/server/server.py</w:t>
            </w:r>
          </w:p>
        </w:tc>
        <w:tc>
          <w:tcPr>
            <w:tcW w:type="dxa" w:w="6048"/>
            <w:shd w:fill="F7FAFC"/>
            <w:tcMar>
              <w:top w:w="100" w:type="dxa"/>
              <w:bottom w:w="100" w:type="dxa"/>
              <w:left w:w="150" w:type="dxa"/>
              <w:right w:w="150" w:type="dxa"/>
            </w:tcMar>
          </w:tcPr>
          <w:p>
            <w:r>
              <w:rPr>
                <w:sz w:val="19"/>
              </w:rPr>
              <w:t>Coordinates server tasks: averages client encoders using FedAvg weights, collects surrogates, and broadcasts them back to clients.</w:t>
            </w:r>
          </w:p>
        </w:tc>
      </w:tr>
      <w:tr>
        <w:tc>
          <w:tcPr>
            <w:tcW w:type="dxa" w:w="3312"/>
            <w:shd w:fill="FFFFFF"/>
            <w:tcMar>
              <w:top w:w="100" w:type="dxa"/>
              <w:bottom w:w="100" w:type="dxa"/>
              <w:left w:w="150" w:type="dxa"/>
              <w:right w:w="150" w:type="dxa"/>
            </w:tcMar>
          </w:tcPr>
          <w:p>
            <w:r>
              <w:rPr>
                <w:b/>
                <w:color w:val="2B6CB0"/>
                <w:sz w:val="19"/>
              </w:rPr>
              <w:t>fedne/training/trainer.py</w:t>
            </w:r>
          </w:p>
        </w:tc>
        <w:tc>
          <w:tcPr>
            <w:tcW w:type="dxa" w:w="6048"/>
            <w:shd w:fill="FFFFFF"/>
            <w:tcMar>
              <w:top w:w="100" w:type="dxa"/>
              <w:bottom w:w="100" w:type="dxa"/>
              <w:left w:w="150" w:type="dxa"/>
              <w:right w:w="150" w:type="dxa"/>
            </w:tcMar>
          </w:tcPr>
          <w:p>
            <w:r>
              <w:rPr>
                <w:sz w:val="19"/>
              </w:rPr>
              <w:t>Main training coordinator that runs the FL communication loop, saves metadata checkpoints, writes TensorBoard logs, and triggers evaluations.</w:t>
            </w:r>
          </w:p>
        </w:tc>
      </w:tr>
    </w:tbl>
    <w:p>
      <w:pPr>
        <w:spacing w:before="240"/>
      </w:pPr>
    </w:p>
    <w:p>
      <w:pPr>
        <w:pStyle w:val="Heading1"/>
        <w:spacing w:before="360" w:after="120"/>
      </w:pPr>
      <w:r>
        <w:rPr>
          <w:rFonts w:ascii="Arial" w:hAnsi="Arial"/>
          <w:color w:val="1A365D"/>
          <w:sz w:val="36"/>
        </w:rPr>
        <w:t>3. Mathematical Framework &amp; Optimization</w:t>
      </w:r>
    </w:p>
    <w:p>
      <w:r>
        <w:t>FEDNE constructs a neighbor embedding using a multi-component contrastive loss objective. The objective minimizes attraction distances for neighbor pairs and maximizes distances for non-neighbor pairs.</w:t>
      </w:r>
    </w:p>
    <w:p>
      <w:pPr>
        <w:ind w:left="720"/>
      </w:pPr>
      <w:r>
        <w:rPr>
          <w:rFonts w:ascii="Consolas" w:hAnsi="Consolas"/>
          <w:color w:val="4A5568"/>
          <w:sz w:val="20"/>
        </w:rPr>
        <w:t>1. Attraction Term:</w:t>
        <w:br/>
        <w:t xml:space="preserve">   L_att = - log( phi(z_i, z_j) )</w:t>
        <w:br/>
        <w:t xml:space="preserve">   where phi(z_i, z_j) = 1 / (1 + ||z_i - z_j||^2)</w:t>
        <w:br/>
        <w:br/>
        <w:t>2. Local Repulsion Term:</w:t>
        <w:br/>
        <w:t xml:space="preserve">   L_rep_local = - sum_{k=1}^b log( 1 - phi(z_i, z_neg_k) )</w:t>
        <w:br/>
        <w:t xml:space="preserve">   where z_neg_k are local negative samples.</w:t>
        <w:br/>
        <w:br/>
        <w:t>3. Surrogate Repulsion Term:</w:t>
        <w:br/>
        <w:t xml:space="preserve">   L_rep_surr = sum_{m' != m} (|D_m'| / |D|) * S_m'(z_i)</w:t>
        <w:br/>
        <w:t xml:space="preserve">   where S_m' is the surrogate network from client m' evaluated on z_i.</w:t>
      </w:r>
    </w:p>
    <w:p>
      <w:pPr>
        <w:pStyle w:val="Heading1"/>
        <w:spacing w:before="360" w:after="120"/>
      </w:pPr>
      <w:r>
        <w:rPr>
          <w:rFonts w:ascii="Arial" w:hAnsi="Arial"/>
          <w:color w:val="1A365D"/>
          <w:sz w:val="36"/>
        </w:rPr>
        <w:t>4. Verification and Validation Results</w:t>
      </w:r>
    </w:p>
    <w:p>
      <w:r>
        <w:t>To ensure correctness and reproducibility, two distinct validation pipelines were executed: a component-level unit test suite and a synthetic toy dataset verification test. Furthermore, a 2-client MNIST benchmark was run to evaluate convergence.</w:t>
      </w:r>
    </w:p>
    <w:p>
      <w:pPr>
        <w:pStyle w:val="Heading2"/>
        <w:spacing w:before="240" w:after="80"/>
      </w:pPr>
      <w:r>
        <w:rPr>
          <w:rFonts w:ascii="Arial" w:hAnsi="Arial"/>
          <w:color w:val="2B6CB0"/>
          <w:sz w:val="28"/>
        </w:rPr>
        <w:t>A. Unit and Toy Dataset Verification</w:t>
      </w:r>
    </w:p>
    <w:p>
      <w:r>
        <w:t>Unit tests in tests/test_components.py validated critical properties including positive attraction directions, negative repulsion directions, surrogate training MSE minimization, and FedAvg weighted averaging. The script tests/verify_toy_dataset.py generated a synthetic 4D dataset of 2 classes distributed across 2 clients. The final embeddings confirmed that average same-class distances decreased while different-class distances increased, resulting in a separation ratio improvement and achieving 100% kNN accuracy.</w:t>
      </w:r>
    </w:p>
    <w:p>
      <w:pPr>
        <w:pStyle w:val="Heading2"/>
        <w:spacing w:before="240" w:after="80"/>
      </w:pPr>
      <w:r>
        <w:rPr>
          <w:rFonts w:ascii="Arial" w:hAnsi="Arial"/>
          <w:color w:val="2B6CB0"/>
          <w:sz w:val="28"/>
        </w:rPr>
        <w:t>B. MNIST 2-Client, 10-Round Validation Results</w:t>
      </w:r>
    </w:p>
    <w:p>
      <w:r>
        <w:t>A fast validation run on 1,000 MNIST samples split between 2 clients over 10 communication rounds was executed. The detailed metrics tracked at each communication round are shown in the table below:</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08"/>
            <w:shd w:fill="2B6CB0"/>
            <w:tcMar>
              <w:top w:w="120" w:type="dxa"/>
              <w:bottom w:w="120" w:type="dxa"/>
              <w:left w:w="100" w:type="dxa"/>
              <w:right w:w="100" w:type="dxa"/>
            </w:tcMar>
          </w:tcPr>
          <w:p>
            <w:pPr>
              <w:jc w:val="center"/>
            </w:pPr>
            <w:r>
              <w:rPr>
                <w:b/>
                <w:color w:val="FFFFFF"/>
                <w:sz w:val="18"/>
              </w:rPr>
              <w:t>Round</w:t>
            </w:r>
          </w:p>
        </w:tc>
        <w:tc>
          <w:tcPr>
            <w:tcW w:type="dxa" w:w="1296"/>
            <w:shd w:fill="2B6CB0"/>
            <w:tcMar>
              <w:top w:w="120" w:type="dxa"/>
              <w:bottom w:w="120" w:type="dxa"/>
              <w:left w:w="100" w:type="dxa"/>
              <w:right w:w="100" w:type="dxa"/>
            </w:tcMar>
          </w:tcPr>
          <w:p>
            <w:pPr>
              <w:jc w:val="center"/>
            </w:pPr>
            <w:r>
              <w:rPr>
                <w:b/>
                <w:color w:val="FFFFFF"/>
                <w:sz w:val="18"/>
              </w:rPr>
              <w:t>Total Loss</w:t>
            </w:r>
          </w:p>
        </w:tc>
        <w:tc>
          <w:tcPr>
            <w:tcW w:type="dxa" w:w="1296"/>
            <w:shd w:fill="2B6CB0"/>
            <w:tcMar>
              <w:top w:w="120" w:type="dxa"/>
              <w:bottom w:w="120" w:type="dxa"/>
              <w:left w:w="100" w:type="dxa"/>
              <w:right w:w="100" w:type="dxa"/>
            </w:tcMar>
          </w:tcPr>
          <w:p>
            <w:pPr>
              <w:jc w:val="center"/>
            </w:pPr>
            <w:r>
              <w:rPr>
                <w:b/>
                <w:color w:val="FFFFFF"/>
                <w:sz w:val="18"/>
              </w:rPr>
              <w:t>Attraction</w:t>
            </w:r>
          </w:p>
        </w:tc>
        <w:tc>
          <w:tcPr>
            <w:tcW w:type="dxa" w:w="1296"/>
            <w:shd w:fill="2B6CB0"/>
            <w:tcMar>
              <w:top w:w="120" w:type="dxa"/>
              <w:bottom w:w="120" w:type="dxa"/>
              <w:left w:w="100" w:type="dxa"/>
              <w:right w:w="100" w:type="dxa"/>
            </w:tcMar>
          </w:tcPr>
          <w:p>
            <w:pPr>
              <w:jc w:val="center"/>
            </w:pPr>
            <w:r>
              <w:rPr>
                <w:b/>
                <w:color w:val="FFFFFF"/>
                <w:sz w:val="18"/>
              </w:rPr>
              <w:t>Local Rep</w:t>
            </w:r>
          </w:p>
        </w:tc>
        <w:tc>
          <w:tcPr>
            <w:tcW w:type="dxa" w:w="1296"/>
            <w:shd w:fill="2B6CB0"/>
            <w:tcMar>
              <w:top w:w="120" w:type="dxa"/>
              <w:bottom w:w="120" w:type="dxa"/>
              <w:left w:w="100" w:type="dxa"/>
              <w:right w:w="100" w:type="dxa"/>
            </w:tcMar>
          </w:tcPr>
          <w:p>
            <w:pPr>
              <w:jc w:val="center"/>
            </w:pPr>
            <w:r>
              <w:rPr>
                <w:b/>
                <w:color w:val="FFFFFF"/>
                <w:sz w:val="18"/>
              </w:rPr>
              <w:t>Surr MSE</w:t>
            </w:r>
          </w:p>
        </w:tc>
        <w:tc>
          <w:tcPr>
            <w:tcW w:type="dxa" w:w="1584"/>
            <w:shd w:fill="2B6CB0"/>
            <w:tcMar>
              <w:top w:w="120" w:type="dxa"/>
              <w:bottom w:w="120" w:type="dxa"/>
              <w:left w:w="100" w:type="dxa"/>
              <w:right w:w="100" w:type="dxa"/>
            </w:tcMar>
          </w:tcPr>
          <w:p>
            <w:pPr>
              <w:jc w:val="center"/>
            </w:pPr>
            <w:r>
              <w:rPr>
                <w:b/>
                <w:color w:val="FFFFFF"/>
                <w:sz w:val="18"/>
              </w:rPr>
              <w:t>Trustworthiness</w:t>
            </w:r>
          </w:p>
        </w:tc>
        <w:tc>
          <w:tcPr>
            <w:tcW w:type="dxa" w:w="1440"/>
            <w:shd w:fill="2B6CB0"/>
            <w:tcMar>
              <w:top w:w="120" w:type="dxa"/>
              <w:bottom w:w="120" w:type="dxa"/>
              <w:left w:w="100" w:type="dxa"/>
              <w:right w:w="100" w:type="dxa"/>
            </w:tcMar>
          </w:tcPr>
          <w:p>
            <w:pPr>
              <w:jc w:val="center"/>
            </w:pPr>
            <w:r>
              <w:rPr>
                <w:b/>
                <w:color w:val="FFFFFF"/>
                <w:sz w:val="18"/>
              </w:rPr>
              <w:t>Continuity</w:t>
            </w:r>
          </w:p>
        </w:tc>
        <w:tc>
          <w:tcPr>
            <w:tcW w:type="dxa" w:w="1152"/>
            <w:shd w:fill="2B6CB0"/>
            <w:tcMar>
              <w:top w:w="120" w:type="dxa"/>
              <w:bottom w:w="120" w:type="dxa"/>
              <w:left w:w="100" w:type="dxa"/>
              <w:right w:w="100" w:type="dxa"/>
            </w:tcMar>
          </w:tcPr>
          <w:p>
            <w:pPr>
              <w:jc w:val="center"/>
            </w:pPr>
            <w:r>
              <w:rPr>
                <w:b/>
                <w:color w:val="FFFFFF"/>
                <w:sz w:val="18"/>
              </w:rPr>
              <w:t>kNN Acc</w:t>
            </w:r>
          </w:p>
        </w:tc>
        <w:tc>
          <w:tcPr>
            <w:tcW w:type="dxa" w:w="1296"/>
            <w:shd w:fill="2B6CB0"/>
            <w:tcMar>
              <w:top w:w="120" w:type="dxa"/>
              <w:bottom w:w="120" w:type="dxa"/>
              <w:left w:w="100" w:type="dxa"/>
              <w:right w:w="100" w:type="dxa"/>
            </w:tcMar>
          </w:tcPr>
          <w:p>
            <w:pPr>
              <w:jc w:val="center"/>
            </w:pPr>
            <w:r>
              <w:rPr>
                <w:b/>
                <w:color w:val="FFFFFF"/>
                <w:sz w:val="18"/>
              </w:rPr>
              <w:t>Steadiness</w:t>
            </w:r>
          </w:p>
        </w:tc>
      </w:tr>
      <w:tr>
        <w:tc>
          <w:tcPr>
            <w:tcW w:type="dxa" w:w="1008"/>
            <w:shd w:fill="F7FAFC"/>
            <w:tcMar>
              <w:top w:w="80" w:type="dxa"/>
              <w:bottom w:w="80" w:type="dxa"/>
              <w:left w:w="80" w:type="dxa"/>
              <w:right w:w="80" w:type="dxa"/>
            </w:tcMar>
          </w:tcPr>
          <w:p>
            <w:pPr>
              <w:jc w:val="center"/>
            </w:pPr>
            <w:r>
              <w:rPr>
                <w:b/>
                <w:sz w:val="17"/>
              </w:rPr>
              <w:t>0</w:t>
            </w:r>
          </w:p>
        </w:tc>
        <w:tc>
          <w:tcPr>
            <w:tcW w:type="dxa" w:w="1296"/>
            <w:shd w:fill="F7FAFC"/>
            <w:tcMar>
              <w:top w:w="80" w:type="dxa"/>
              <w:bottom w:w="80" w:type="dxa"/>
              <w:left w:w="80" w:type="dxa"/>
              <w:right w:w="80" w:type="dxa"/>
            </w:tcMar>
          </w:tcPr>
          <w:p>
            <w:pPr>
              <w:jc w:val="center"/>
            </w:pPr>
            <w:r>
              <w:rPr>
                <w:sz w:val="17"/>
              </w:rPr>
              <w:t>3.1556</w:t>
            </w:r>
          </w:p>
        </w:tc>
        <w:tc>
          <w:tcPr>
            <w:tcW w:type="dxa" w:w="1296"/>
            <w:shd w:fill="F7FAFC"/>
            <w:tcMar>
              <w:top w:w="80" w:type="dxa"/>
              <w:bottom w:w="80" w:type="dxa"/>
              <w:left w:w="80" w:type="dxa"/>
              <w:right w:w="80" w:type="dxa"/>
            </w:tcMar>
          </w:tcPr>
          <w:p>
            <w:pPr>
              <w:jc w:val="center"/>
            </w:pPr>
            <w:r>
              <w:rPr>
                <w:sz w:val="17"/>
              </w:rPr>
              <w:t>0.6360</w:t>
            </w:r>
          </w:p>
        </w:tc>
        <w:tc>
          <w:tcPr>
            <w:tcW w:type="dxa" w:w="1296"/>
            <w:shd w:fill="F7FAFC"/>
            <w:tcMar>
              <w:top w:w="80" w:type="dxa"/>
              <w:bottom w:w="80" w:type="dxa"/>
              <w:left w:w="80" w:type="dxa"/>
              <w:right w:w="80" w:type="dxa"/>
            </w:tcMar>
          </w:tcPr>
          <w:p>
            <w:pPr>
              <w:jc w:val="center"/>
            </w:pPr>
            <w:r>
              <w:rPr>
                <w:sz w:val="17"/>
              </w:rPr>
              <w:t>4.8510</w:t>
            </w:r>
          </w:p>
        </w:tc>
        <w:tc>
          <w:tcPr>
            <w:tcW w:type="dxa" w:w="1296"/>
            <w:shd w:fill="F7FAFC"/>
            <w:tcMar>
              <w:top w:w="80" w:type="dxa"/>
              <w:bottom w:w="80" w:type="dxa"/>
              <w:left w:w="80" w:type="dxa"/>
              <w:right w:w="80" w:type="dxa"/>
            </w:tcMar>
          </w:tcPr>
          <w:p>
            <w:pPr>
              <w:jc w:val="center"/>
            </w:pPr>
            <w:r>
              <w:rPr>
                <w:sz w:val="17"/>
              </w:rPr>
              <w:t>1.3420</w:t>
            </w:r>
          </w:p>
        </w:tc>
        <w:tc>
          <w:tcPr>
            <w:tcW w:type="dxa" w:w="1584"/>
            <w:shd w:fill="F7FAFC"/>
            <w:tcMar>
              <w:top w:w="80" w:type="dxa"/>
              <w:bottom w:w="80" w:type="dxa"/>
              <w:left w:w="80" w:type="dxa"/>
              <w:right w:w="80" w:type="dxa"/>
            </w:tcMar>
          </w:tcPr>
          <w:p>
            <w:pPr>
              <w:jc w:val="center"/>
            </w:pPr>
            <w:r>
              <w:rPr>
                <w:sz w:val="17"/>
              </w:rPr>
              <w:t>0.7001</w:t>
            </w:r>
          </w:p>
        </w:tc>
        <w:tc>
          <w:tcPr>
            <w:tcW w:type="dxa" w:w="1440"/>
            <w:shd w:fill="F7FAFC"/>
            <w:tcMar>
              <w:top w:w="80" w:type="dxa"/>
              <w:bottom w:w="80" w:type="dxa"/>
              <w:left w:w="80" w:type="dxa"/>
              <w:right w:w="80" w:type="dxa"/>
            </w:tcMar>
          </w:tcPr>
          <w:p>
            <w:pPr>
              <w:jc w:val="center"/>
            </w:pPr>
            <w:r>
              <w:rPr>
                <w:sz w:val="17"/>
              </w:rPr>
              <w:t>0.8276</w:t>
            </w:r>
          </w:p>
        </w:tc>
        <w:tc>
          <w:tcPr>
            <w:tcW w:type="dxa" w:w="1152"/>
            <w:shd w:fill="F7FAFC"/>
            <w:tcMar>
              <w:top w:w="80" w:type="dxa"/>
              <w:bottom w:w="80" w:type="dxa"/>
              <w:left w:w="80" w:type="dxa"/>
              <w:right w:w="80" w:type="dxa"/>
            </w:tcMar>
          </w:tcPr>
          <w:p>
            <w:pPr>
              <w:jc w:val="center"/>
            </w:pPr>
            <w:r>
              <w:rPr>
                <w:sz w:val="17"/>
              </w:rPr>
              <w:t>0.3000</w:t>
            </w:r>
          </w:p>
        </w:tc>
        <w:tc>
          <w:tcPr>
            <w:tcW w:type="dxa" w:w="1296"/>
            <w:shd w:fill="F7FAFC"/>
            <w:tcMar>
              <w:top w:w="80" w:type="dxa"/>
              <w:bottom w:w="80" w:type="dxa"/>
              <w:left w:w="80" w:type="dxa"/>
              <w:right w:w="80" w:type="dxa"/>
            </w:tcMar>
          </w:tcPr>
          <w:p>
            <w:pPr>
              <w:jc w:val="center"/>
            </w:pPr>
            <w:r>
              <w:rPr>
                <w:sz w:val="17"/>
              </w:rPr>
              <w:t>0.5122</w:t>
            </w:r>
          </w:p>
        </w:tc>
      </w:tr>
      <w:tr>
        <w:tc>
          <w:tcPr>
            <w:tcW w:type="dxa" w:w="1008"/>
            <w:shd w:fill="FFFFFF"/>
            <w:tcMar>
              <w:top w:w="80" w:type="dxa"/>
              <w:bottom w:w="80" w:type="dxa"/>
              <w:left w:w="80" w:type="dxa"/>
              <w:right w:w="80" w:type="dxa"/>
            </w:tcMar>
          </w:tcPr>
          <w:p>
            <w:pPr>
              <w:jc w:val="center"/>
            </w:pPr>
            <w:r>
              <w:rPr>
                <w:b/>
                <w:sz w:val="17"/>
              </w:rPr>
              <w:t>1</w:t>
            </w:r>
          </w:p>
        </w:tc>
        <w:tc>
          <w:tcPr>
            <w:tcW w:type="dxa" w:w="1296"/>
            <w:shd w:fill="FFFFFF"/>
            <w:tcMar>
              <w:top w:w="80" w:type="dxa"/>
              <w:bottom w:w="80" w:type="dxa"/>
              <w:left w:w="80" w:type="dxa"/>
              <w:right w:w="80" w:type="dxa"/>
            </w:tcMar>
          </w:tcPr>
          <w:p>
            <w:pPr>
              <w:jc w:val="center"/>
            </w:pPr>
            <w:r>
              <w:rPr>
                <w:sz w:val="17"/>
              </w:rPr>
              <w:t>1.3212</w:t>
            </w:r>
          </w:p>
        </w:tc>
        <w:tc>
          <w:tcPr>
            <w:tcW w:type="dxa" w:w="1296"/>
            <w:shd w:fill="FFFFFF"/>
            <w:tcMar>
              <w:top w:w="80" w:type="dxa"/>
              <w:bottom w:w="80" w:type="dxa"/>
              <w:left w:w="80" w:type="dxa"/>
              <w:right w:w="80" w:type="dxa"/>
            </w:tcMar>
          </w:tcPr>
          <w:p>
            <w:pPr>
              <w:jc w:val="center"/>
            </w:pPr>
            <w:r>
              <w:rPr>
                <w:sz w:val="17"/>
              </w:rPr>
              <w:t>0.6585</w:t>
            </w:r>
          </w:p>
        </w:tc>
        <w:tc>
          <w:tcPr>
            <w:tcW w:type="dxa" w:w="1296"/>
            <w:shd w:fill="FFFFFF"/>
            <w:tcMar>
              <w:top w:w="80" w:type="dxa"/>
              <w:bottom w:w="80" w:type="dxa"/>
              <w:left w:w="80" w:type="dxa"/>
              <w:right w:w="80" w:type="dxa"/>
            </w:tcMar>
          </w:tcPr>
          <w:p>
            <w:pPr>
              <w:jc w:val="center"/>
            </w:pPr>
            <w:r>
              <w:rPr>
                <w:sz w:val="17"/>
              </w:rPr>
              <w:t>1.1323</w:t>
            </w:r>
          </w:p>
        </w:tc>
        <w:tc>
          <w:tcPr>
            <w:tcW w:type="dxa" w:w="1296"/>
            <w:shd w:fill="FFFFFF"/>
            <w:tcMar>
              <w:top w:w="80" w:type="dxa"/>
              <w:bottom w:w="80" w:type="dxa"/>
              <w:left w:w="80" w:type="dxa"/>
              <w:right w:w="80" w:type="dxa"/>
            </w:tcMar>
          </w:tcPr>
          <w:p>
            <w:pPr>
              <w:jc w:val="center"/>
            </w:pPr>
            <w:r>
              <w:rPr>
                <w:sz w:val="17"/>
              </w:rPr>
              <w:t>0.4876</w:t>
            </w:r>
          </w:p>
        </w:tc>
        <w:tc>
          <w:tcPr>
            <w:tcW w:type="dxa" w:w="1584"/>
            <w:shd w:fill="FFFFFF"/>
            <w:tcMar>
              <w:top w:w="80" w:type="dxa"/>
              <w:bottom w:w="80" w:type="dxa"/>
              <w:left w:w="80" w:type="dxa"/>
              <w:right w:w="80" w:type="dxa"/>
            </w:tcMar>
          </w:tcPr>
          <w:p>
            <w:pPr>
              <w:jc w:val="center"/>
            </w:pPr>
            <w:r>
              <w:rPr>
                <w:sz w:val="17"/>
              </w:rPr>
              <w:t>0.7356</w:t>
            </w:r>
          </w:p>
        </w:tc>
        <w:tc>
          <w:tcPr>
            <w:tcW w:type="dxa" w:w="1440"/>
            <w:shd w:fill="FFFFFF"/>
            <w:tcMar>
              <w:top w:w="80" w:type="dxa"/>
              <w:bottom w:w="80" w:type="dxa"/>
              <w:left w:w="80" w:type="dxa"/>
              <w:right w:w="80" w:type="dxa"/>
            </w:tcMar>
          </w:tcPr>
          <w:p>
            <w:pPr>
              <w:jc w:val="center"/>
            </w:pPr>
            <w:r>
              <w:rPr>
                <w:sz w:val="17"/>
              </w:rPr>
              <w:t>0.8652</w:t>
            </w:r>
          </w:p>
        </w:tc>
        <w:tc>
          <w:tcPr>
            <w:tcW w:type="dxa" w:w="1152"/>
            <w:shd w:fill="FFFFFF"/>
            <w:tcMar>
              <w:top w:w="80" w:type="dxa"/>
              <w:bottom w:w="80" w:type="dxa"/>
              <w:left w:w="80" w:type="dxa"/>
              <w:right w:w="80" w:type="dxa"/>
            </w:tcMar>
          </w:tcPr>
          <w:p>
            <w:pPr>
              <w:jc w:val="center"/>
            </w:pPr>
            <w:r>
              <w:rPr>
                <w:sz w:val="17"/>
              </w:rPr>
              <w:t>0.3500</w:t>
            </w:r>
          </w:p>
        </w:tc>
        <w:tc>
          <w:tcPr>
            <w:tcW w:type="dxa" w:w="1296"/>
            <w:shd w:fill="FFFFFF"/>
            <w:tcMar>
              <w:top w:w="80" w:type="dxa"/>
              <w:bottom w:w="80" w:type="dxa"/>
              <w:left w:w="80" w:type="dxa"/>
              <w:right w:w="80" w:type="dxa"/>
            </w:tcMar>
          </w:tcPr>
          <w:p>
            <w:pPr>
              <w:jc w:val="center"/>
            </w:pPr>
            <w:r>
              <w:rPr>
                <w:sz w:val="17"/>
              </w:rPr>
              <w:t>0.5299</w:t>
            </w:r>
          </w:p>
        </w:tc>
      </w:tr>
      <w:tr>
        <w:tc>
          <w:tcPr>
            <w:tcW w:type="dxa" w:w="1008"/>
            <w:shd w:fill="F7FAFC"/>
            <w:tcMar>
              <w:top w:w="80" w:type="dxa"/>
              <w:bottom w:w="80" w:type="dxa"/>
              <w:left w:w="80" w:type="dxa"/>
              <w:right w:w="80" w:type="dxa"/>
            </w:tcMar>
          </w:tcPr>
          <w:p>
            <w:pPr>
              <w:jc w:val="center"/>
            </w:pPr>
            <w:r>
              <w:rPr>
                <w:b/>
                <w:sz w:val="17"/>
              </w:rPr>
              <w:t>2</w:t>
            </w:r>
          </w:p>
        </w:tc>
        <w:tc>
          <w:tcPr>
            <w:tcW w:type="dxa" w:w="1296"/>
            <w:shd w:fill="F7FAFC"/>
            <w:tcMar>
              <w:top w:w="80" w:type="dxa"/>
              <w:bottom w:w="80" w:type="dxa"/>
              <w:left w:w="80" w:type="dxa"/>
              <w:right w:w="80" w:type="dxa"/>
            </w:tcMar>
          </w:tcPr>
          <w:p>
            <w:pPr>
              <w:jc w:val="center"/>
            </w:pPr>
            <w:r>
              <w:rPr>
                <w:sz w:val="17"/>
              </w:rPr>
              <w:t>1.2802</w:t>
            </w:r>
          </w:p>
        </w:tc>
        <w:tc>
          <w:tcPr>
            <w:tcW w:type="dxa" w:w="1296"/>
            <w:shd w:fill="F7FAFC"/>
            <w:tcMar>
              <w:top w:w="80" w:type="dxa"/>
              <w:bottom w:w="80" w:type="dxa"/>
              <w:left w:w="80" w:type="dxa"/>
              <w:right w:w="80" w:type="dxa"/>
            </w:tcMar>
          </w:tcPr>
          <w:p>
            <w:pPr>
              <w:jc w:val="center"/>
            </w:pPr>
            <w:r>
              <w:rPr>
                <w:sz w:val="17"/>
              </w:rPr>
              <w:t>0.6268</w:t>
            </w:r>
          </w:p>
        </w:tc>
        <w:tc>
          <w:tcPr>
            <w:tcW w:type="dxa" w:w="1296"/>
            <w:shd w:fill="F7FAFC"/>
            <w:tcMar>
              <w:top w:w="80" w:type="dxa"/>
              <w:bottom w:w="80" w:type="dxa"/>
              <w:left w:w="80" w:type="dxa"/>
              <w:right w:w="80" w:type="dxa"/>
            </w:tcMar>
          </w:tcPr>
          <w:p>
            <w:pPr>
              <w:jc w:val="center"/>
            </w:pPr>
            <w:r>
              <w:rPr>
                <w:sz w:val="17"/>
              </w:rPr>
              <w:t>1.0368</w:t>
            </w:r>
          </w:p>
        </w:tc>
        <w:tc>
          <w:tcPr>
            <w:tcW w:type="dxa" w:w="1296"/>
            <w:shd w:fill="F7FAFC"/>
            <w:tcMar>
              <w:top w:w="80" w:type="dxa"/>
              <w:bottom w:w="80" w:type="dxa"/>
              <w:left w:w="80" w:type="dxa"/>
              <w:right w:w="80" w:type="dxa"/>
            </w:tcMar>
          </w:tcPr>
          <w:p>
            <w:pPr>
              <w:jc w:val="center"/>
            </w:pPr>
            <w:r>
              <w:rPr>
                <w:sz w:val="17"/>
              </w:rPr>
              <w:t>0.4644</w:t>
            </w:r>
          </w:p>
        </w:tc>
        <w:tc>
          <w:tcPr>
            <w:tcW w:type="dxa" w:w="1584"/>
            <w:shd w:fill="F7FAFC"/>
            <w:tcMar>
              <w:top w:w="80" w:type="dxa"/>
              <w:bottom w:w="80" w:type="dxa"/>
              <w:left w:w="80" w:type="dxa"/>
              <w:right w:w="80" w:type="dxa"/>
            </w:tcMar>
          </w:tcPr>
          <w:p>
            <w:pPr>
              <w:jc w:val="center"/>
            </w:pPr>
            <w:r>
              <w:rPr>
                <w:sz w:val="17"/>
              </w:rPr>
              <w:t>0.7647</w:t>
            </w:r>
          </w:p>
        </w:tc>
        <w:tc>
          <w:tcPr>
            <w:tcW w:type="dxa" w:w="1440"/>
            <w:shd w:fill="F7FAFC"/>
            <w:tcMar>
              <w:top w:w="80" w:type="dxa"/>
              <w:bottom w:w="80" w:type="dxa"/>
              <w:left w:w="80" w:type="dxa"/>
              <w:right w:w="80" w:type="dxa"/>
            </w:tcMar>
          </w:tcPr>
          <w:p>
            <w:pPr>
              <w:jc w:val="center"/>
            </w:pPr>
            <w:r>
              <w:rPr>
                <w:sz w:val="17"/>
              </w:rPr>
              <w:t>0.8793</w:t>
            </w:r>
          </w:p>
        </w:tc>
        <w:tc>
          <w:tcPr>
            <w:tcW w:type="dxa" w:w="1152"/>
            <w:shd w:fill="F7FAFC"/>
            <w:tcMar>
              <w:top w:w="80" w:type="dxa"/>
              <w:bottom w:w="80" w:type="dxa"/>
              <w:left w:w="80" w:type="dxa"/>
              <w:right w:w="80" w:type="dxa"/>
            </w:tcMar>
          </w:tcPr>
          <w:p>
            <w:pPr>
              <w:jc w:val="center"/>
            </w:pPr>
            <w:r>
              <w:rPr>
                <w:sz w:val="17"/>
              </w:rPr>
              <w:t>0.3000</w:t>
            </w:r>
          </w:p>
        </w:tc>
        <w:tc>
          <w:tcPr>
            <w:tcW w:type="dxa" w:w="1296"/>
            <w:shd w:fill="F7FAFC"/>
            <w:tcMar>
              <w:top w:w="80" w:type="dxa"/>
              <w:bottom w:w="80" w:type="dxa"/>
              <w:left w:w="80" w:type="dxa"/>
              <w:right w:w="80" w:type="dxa"/>
            </w:tcMar>
          </w:tcPr>
          <w:p>
            <w:pPr>
              <w:jc w:val="center"/>
            </w:pPr>
            <w:r>
              <w:rPr>
                <w:sz w:val="17"/>
              </w:rPr>
              <w:t>0.6270</w:t>
            </w:r>
          </w:p>
        </w:tc>
      </w:tr>
      <w:tr>
        <w:tc>
          <w:tcPr>
            <w:tcW w:type="dxa" w:w="1008"/>
            <w:shd w:fill="FFFFFF"/>
            <w:tcMar>
              <w:top w:w="80" w:type="dxa"/>
              <w:bottom w:w="80" w:type="dxa"/>
              <w:left w:w="80" w:type="dxa"/>
              <w:right w:w="80" w:type="dxa"/>
            </w:tcMar>
          </w:tcPr>
          <w:p>
            <w:pPr>
              <w:jc w:val="center"/>
            </w:pPr>
            <w:r>
              <w:rPr>
                <w:b/>
                <w:sz w:val="17"/>
              </w:rPr>
              <w:t>3</w:t>
            </w:r>
          </w:p>
        </w:tc>
        <w:tc>
          <w:tcPr>
            <w:tcW w:type="dxa" w:w="1296"/>
            <w:shd w:fill="FFFFFF"/>
            <w:tcMar>
              <w:top w:w="80" w:type="dxa"/>
              <w:bottom w:w="80" w:type="dxa"/>
              <w:left w:w="80" w:type="dxa"/>
              <w:right w:w="80" w:type="dxa"/>
            </w:tcMar>
          </w:tcPr>
          <w:p>
            <w:pPr>
              <w:jc w:val="center"/>
            </w:pPr>
            <w:r>
              <w:rPr>
                <w:sz w:val="17"/>
              </w:rPr>
              <w:t>1.1909</w:t>
            </w:r>
          </w:p>
        </w:tc>
        <w:tc>
          <w:tcPr>
            <w:tcW w:type="dxa" w:w="1296"/>
            <w:shd w:fill="FFFFFF"/>
            <w:tcMar>
              <w:top w:w="80" w:type="dxa"/>
              <w:bottom w:w="80" w:type="dxa"/>
              <w:left w:w="80" w:type="dxa"/>
              <w:right w:w="80" w:type="dxa"/>
            </w:tcMar>
          </w:tcPr>
          <w:p>
            <w:pPr>
              <w:jc w:val="center"/>
            </w:pPr>
            <w:r>
              <w:rPr>
                <w:sz w:val="17"/>
              </w:rPr>
              <w:t>0.6175</w:t>
            </w:r>
          </w:p>
        </w:tc>
        <w:tc>
          <w:tcPr>
            <w:tcW w:type="dxa" w:w="1296"/>
            <w:shd w:fill="FFFFFF"/>
            <w:tcMar>
              <w:top w:w="80" w:type="dxa"/>
              <w:bottom w:w="80" w:type="dxa"/>
              <w:left w:w="80" w:type="dxa"/>
              <w:right w:w="80" w:type="dxa"/>
            </w:tcMar>
          </w:tcPr>
          <w:p>
            <w:pPr>
              <w:jc w:val="center"/>
            </w:pPr>
            <w:r>
              <w:rPr>
                <w:sz w:val="17"/>
              </w:rPr>
              <w:t>0.9943</w:t>
            </w:r>
          </w:p>
        </w:tc>
        <w:tc>
          <w:tcPr>
            <w:tcW w:type="dxa" w:w="1296"/>
            <w:shd w:fill="FFFFFF"/>
            <w:tcMar>
              <w:top w:w="80" w:type="dxa"/>
              <w:bottom w:w="80" w:type="dxa"/>
              <w:left w:w="80" w:type="dxa"/>
              <w:right w:w="80" w:type="dxa"/>
            </w:tcMar>
          </w:tcPr>
          <w:p>
            <w:pPr>
              <w:jc w:val="center"/>
            </w:pPr>
            <w:r>
              <w:rPr>
                <w:sz w:val="17"/>
              </w:rPr>
              <w:t>0.3649</w:t>
            </w:r>
          </w:p>
        </w:tc>
        <w:tc>
          <w:tcPr>
            <w:tcW w:type="dxa" w:w="1584"/>
            <w:shd w:fill="FFFFFF"/>
            <w:tcMar>
              <w:top w:w="80" w:type="dxa"/>
              <w:bottom w:w="80" w:type="dxa"/>
              <w:left w:w="80" w:type="dxa"/>
              <w:right w:w="80" w:type="dxa"/>
            </w:tcMar>
          </w:tcPr>
          <w:p>
            <w:pPr>
              <w:jc w:val="center"/>
            </w:pPr>
            <w:r>
              <w:rPr>
                <w:sz w:val="17"/>
              </w:rPr>
              <w:t>0.8207</w:t>
            </w:r>
          </w:p>
        </w:tc>
        <w:tc>
          <w:tcPr>
            <w:tcW w:type="dxa" w:w="1440"/>
            <w:shd w:fill="FFFFFF"/>
            <w:tcMar>
              <w:top w:w="80" w:type="dxa"/>
              <w:bottom w:w="80" w:type="dxa"/>
              <w:left w:w="80" w:type="dxa"/>
              <w:right w:w="80" w:type="dxa"/>
            </w:tcMar>
          </w:tcPr>
          <w:p>
            <w:pPr>
              <w:jc w:val="center"/>
            </w:pPr>
            <w:r>
              <w:rPr>
                <w:sz w:val="17"/>
              </w:rPr>
              <w:t>0.8970</w:t>
            </w:r>
          </w:p>
        </w:tc>
        <w:tc>
          <w:tcPr>
            <w:tcW w:type="dxa" w:w="1152"/>
            <w:shd w:fill="FFFFFF"/>
            <w:tcMar>
              <w:top w:w="80" w:type="dxa"/>
              <w:bottom w:w="80" w:type="dxa"/>
              <w:left w:w="80" w:type="dxa"/>
              <w:right w:w="80" w:type="dxa"/>
            </w:tcMar>
          </w:tcPr>
          <w:p>
            <w:pPr>
              <w:jc w:val="center"/>
            </w:pPr>
            <w:r>
              <w:rPr>
                <w:sz w:val="17"/>
              </w:rPr>
              <w:t>0.5250</w:t>
            </w:r>
          </w:p>
        </w:tc>
        <w:tc>
          <w:tcPr>
            <w:tcW w:type="dxa" w:w="1296"/>
            <w:shd w:fill="FFFFFF"/>
            <w:tcMar>
              <w:top w:w="80" w:type="dxa"/>
              <w:bottom w:w="80" w:type="dxa"/>
              <w:left w:w="80" w:type="dxa"/>
              <w:right w:w="80" w:type="dxa"/>
            </w:tcMar>
          </w:tcPr>
          <w:p>
            <w:pPr>
              <w:jc w:val="center"/>
            </w:pPr>
            <w:r>
              <w:rPr>
                <w:sz w:val="17"/>
              </w:rPr>
              <w:t>0.6384</w:t>
            </w:r>
          </w:p>
        </w:tc>
      </w:tr>
      <w:tr>
        <w:tc>
          <w:tcPr>
            <w:tcW w:type="dxa" w:w="1008"/>
            <w:shd w:fill="F7FAFC"/>
            <w:tcMar>
              <w:top w:w="80" w:type="dxa"/>
              <w:bottom w:w="80" w:type="dxa"/>
              <w:left w:w="80" w:type="dxa"/>
              <w:right w:w="80" w:type="dxa"/>
            </w:tcMar>
          </w:tcPr>
          <w:p>
            <w:pPr>
              <w:jc w:val="center"/>
            </w:pPr>
            <w:r>
              <w:rPr>
                <w:b/>
                <w:sz w:val="17"/>
              </w:rPr>
              <w:t>4</w:t>
            </w:r>
          </w:p>
        </w:tc>
        <w:tc>
          <w:tcPr>
            <w:tcW w:type="dxa" w:w="1296"/>
            <w:shd w:fill="F7FAFC"/>
            <w:tcMar>
              <w:top w:w="80" w:type="dxa"/>
              <w:bottom w:w="80" w:type="dxa"/>
              <w:left w:w="80" w:type="dxa"/>
              <w:right w:w="80" w:type="dxa"/>
            </w:tcMar>
          </w:tcPr>
          <w:p>
            <w:pPr>
              <w:jc w:val="center"/>
            </w:pPr>
            <w:r>
              <w:rPr>
                <w:sz w:val="17"/>
              </w:rPr>
              <w:t>1.1238</w:t>
            </w:r>
          </w:p>
        </w:tc>
        <w:tc>
          <w:tcPr>
            <w:tcW w:type="dxa" w:w="1296"/>
            <w:shd w:fill="F7FAFC"/>
            <w:tcMar>
              <w:top w:w="80" w:type="dxa"/>
              <w:bottom w:w="80" w:type="dxa"/>
              <w:left w:w="80" w:type="dxa"/>
              <w:right w:w="80" w:type="dxa"/>
            </w:tcMar>
          </w:tcPr>
          <w:p>
            <w:pPr>
              <w:jc w:val="center"/>
            </w:pPr>
            <w:r>
              <w:rPr>
                <w:sz w:val="17"/>
              </w:rPr>
              <w:t>0.5888</w:t>
            </w:r>
          </w:p>
        </w:tc>
        <w:tc>
          <w:tcPr>
            <w:tcW w:type="dxa" w:w="1296"/>
            <w:shd w:fill="F7FAFC"/>
            <w:tcMar>
              <w:top w:w="80" w:type="dxa"/>
              <w:bottom w:w="80" w:type="dxa"/>
              <w:left w:w="80" w:type="dxa"/>
              <w:right w:w="80" w:type="dxa"/>
            </w:tcMar>
          </w:tcPr>
          <w:p>
            <w:pPr>
              <w:jc w:val="center"/>
            </w:pPr>
            <w:r>
              <w:rPr>
                <w:sz w:val="17"/>
              </w:rPr>
              <w:t>0.9553</w:t>
            </w:r>
          </w:p>
        </w:tc>
        <w:tc>
          <w:tcPr>
            <w:tcW w:type="dxa" w:w="1296"/>
            <w:shd w:fill="F7FAFC"/>
            <w:tcMar>
              <w:top w:w="80" w:type="dxa"/>
              <w:bottom w:w="80" w:type="dxa"/>
              <w:left w:w="80" w:type="dxa"/>
              <w:right w:w="80" w:type="dxa"/>
            </w:tcMar>
          </w:tcPr>
          <w:p>
            <w:pPr>
              <w:jc w:val="center"/>
            </w:pPr>
            <w:r>
              <w:rPr>
                <w:sz w:val="17"/>
              </w:rPr>
              <w:t>0.3946</w:t>
            </w:r>
          </w:p>
        </w:tc>
        <w:tc>
          <w:tcPr>
            <w:tcW w:type="dxa" w:w="1584"/>
            <w:shd w:fill="F7FAFC"/>
            <w:tcMar>
              <w:top w:w="80" w:type="dxa"/>
              <w:bottom w:w="80" w:type="dxa"/>
              <w:left w:w="80" w:type="dxa"/>
              <w:right w:w="80" w:type="dxa"/>
            </w:tcMar>
          </w:tcPr>
          <w:p>
            <w:pPr>
              <w:jc w:val="center"/>
            </w:pPr>
            <w:r>
              <w:rPr>
                <w:sz w:val="17"/>
              </w:rPr>
              <w:t>0.8099</w:t>
            </w:r>
          </w:p>
        </w:tc>
        <w:tc>
          <w:tcPr>
            <w:tcW w:type="dxa" w:w="1440"/>
            <w:shd w:fill="F7FAFC"/>
            <w:tcMar>
              <w:top w:w="80" w:type="dxa"/>
              <w:bottom w:w="80" w:type="dxa"/>
              <w:left w:w="80" w:type="dxa"/>
              <w:right w:w="80" w:type="dxa"/>
            </w:tcMar>
          </w:tcPr>
          <w:p>
            <w:pPr>
              <w:jc w:val="center"/>
            </w:pPr>
            <w:r>
              <w:rPr>
                <w:sz w:val="17"/>
              </w:rPr>
              <w:t>0.8800</w:t>
            </w:r>
          </w:p>
        </w:tc>
        <w:tc>
          <w:tcPr>
            <w:tcW w:type="dxa" w:w="1152"/>
            <w:shd w:fill="F7FAFC"/>
            <w:tcMar>
              <w:top w:w="80" w:type="dxa"/>
              <w:bottom w:w="80" w:type="dxa"/>
              <w:left w:w="80" w:type="dxa"/>
              <w:right w:w="80" w:type="dxa"/>
            </w:tcMar>
          </w:tcPr>
          <w:p>
            <w:pPr>
              <w:jc w:val="center"/>
            </w:pPr>
            <w:r>
              <w:rPr>
                <w:sz w:val="17"/>
              </w:rPr>
              <w:t>0.5000</w:t>
            </w:r>
          </w:p>
        </w:tc>
        <w:tc>
          <w:tcPr>
            <w:tcW w:type="dxa" w:w="1296"/>
            <w:shd w:fill="F7FAFC"/>
            <w:tcMar>
              <w:top w:w="80" w:type="dxa"/>
              <w:bottom w:w="80" w:type="dxa"/>
              <w:left w:w="80" w:type="dxa"/>
              <w:right w:w="80" w:type="dxa"/>
            </w:tcMar>
          </w:tcPr>
          <w:p>
            <w:pPr>
              <w:jc w:val="center"/>
            </w:pPr>
            <w:r>
              <w:rPr>
                <w:sz w:val="17"/>
              </w:rPr>
              <w:t>0.6164</w:t>
            </w:r>
          </w:p>
        </w:tc>
      </w:tr>
      <w:tr>
        <w:tc>
          <w:tcPr>
            <w:tcW w:type="dxa" w:w="1008"/>
            <w:shd w:fill="FFFFFF"/>
            <w:tcMar>
              <w:top w:w="80" w:type="dxa"/>
              <w:bottom w:w="80" w:type="dxa"/>
              <w:left w:w="80" w:type="dxa"/>
              <w:right w:w="80" w:type="dxa"/>
            </w:tcMar>
          </w:tcPr>
          <w:p>
            <w:pPr>
              <w:jc w:val="center"/>
            </w:pPr>
            <w:r>
              <w:rPr>
                <w:b/>
                <w:sz w:val="17"/>
              </w:rPr>
              <w:t>5</w:t>
            </w:r>
          </w:p>
        </w:tc>
        <w:tc>
          <w:tcPr>
            <w:tcW w:type="dxa" w:w="1296"/>
            <w:shd w:fill="FFFFFF"/>
            <w:tcMar>
              <w:top w:w="80" w:type="dxa"/>
              <w:bottom w:w="80" w:type="dxa"/>
              <w:left w:w="80" w:type="dxa"/>
              <w:right w:w="80" w:type="dxa"/>
            </w:tcMar>
          </w:tcPr>
          <w:p>
            <w:pPr>
              <w:jc w:val="center"/>
            </w:pPr>
            <w:r>
              <w:rPr>
                <w:sz w:val="17"/>
              </w:rPr>
              <w:t>1.1061</w:t>
            </w:r>
          </w:p>
        </w:tc>
        <w:tc>
          <w:tcPr>
            <w:tcW w:type="dxa" w:w="1296"/>
            <w:shd w:fill="FFFFFF"/>
            <w:tcMar>
              <w:top w:w="80" w:type="dxa"/>
              <w:bottom w:w="80" w:type="dxa"/>
              <w:left w:w="80" w:type="dxa"/>
              <w:right w:w="80" w:type="dxa"/>
            </w:tcMar>
          </w:tcPr>
          <w:p>
            <w:pPr>
              <w:jc w:val="center"/>
            </w:pPr>
            <w:r>
              <w:rPr>
                <w:sz w:val="17"/>
              </w:rPr>
              <w:t>0.5539</w:t>
            </w:r>
          </w:p>
        </w:tc>
        <w:tc>
          <w:tcPr>
            <w:tcW w:type="dxa" w:w="1296"/>
            <w:shd w:fill="FFFFFF"/>
            <w:tcMar>
              <w:top w:w="80" w:type="dxa"/>
              <w:bottom w:w="80" w:type="dxa"/>
              <w:left w:w="80" w:type="dxa"/>
              <w:right w:w="80" w:type="dxa"/>
            </w:tcMar>
          </w:tcPr>
          <w:p>
            <w:pPr>
              <w:jc w:val="center"/>
            </w:pPr>
            <w:r>
              <w:rPr>
                <w:sz w:val="17"/>
              </w:rPr>
              <w:t>0.9873</w:t>
            </w:r>
          </w:p>
        </w:tc>
        <w:tc>
          <w:tcPr>
            <w:tcW w:type="dxa" w:w="1296"/>
            <w:shd w:fill="FFFFFF"/>
            <w:tcMar>
              <w:top w:w="80" w:type="dxa"/>
              <w:bottom w:w="80" w:type="dxa"/>
              <w:left w:w="80" w:type="dxa"/>
              <w:right w:w="80" w:type="dxa"/>
            </w:tcMar>
          </w:tcPr>
          <w:p>
            <w:pPr>
              <w:jc w:val="center"/>
            </w:pPr>
            <w:r>
              <w:rPr>
                <w:sz w:val="17"/>
              </w:rPr>
              <w:t>0.3504</w:t>
            </w:r>
          </w:p>
        </w:tc>
        <w:tc>
          <w:tcPr>
            <w:tcW w:type="dxa" w:w="1584"/>
            <w:shd w:fill="FFFFFF"/>
            <w:tcMar>
              <w:top w:w="80" w:type="dxa"/>
              <w:bottom w:w="80" w:type="dxa"/>
              <w:left w:w="80" w:type="dxa"/>
              <w:right w:w="80" w:type="dxa"/>
            </w:tcMar>
          </w:tcPr>
          <w:p>
            <w:pPr>
              <w:jc w:val="center"/>
            </w:pPr>
            <w:r>
              <w:rPr>
                <w:sz w:val="17"/>
              </w:rPr>
              <w:t>0.7943</w:t>
            </w:r>
          </w:p>
        </w:tc>
        <w:tc>
          <w:tcPr>
            <w:tcW w:type="dxa" w:w="1440"/>
            <w:shd w:fill="FFFFFF"/>
            <w:tcMar>
              <w:top w:w="80" w:type="dxa"/>
              <w:bottom w:w="80" w:type="dxa"/>
              <w:left w:w="80" w:type="dxa"/>
              <w:right w:w="80" w:type="dxa"/>
            </w:tcMar>
          </w:tcPr>
          <w:p>
            <w:pPr>
              <w:jc w:val="center"/>
            </w:pPr>
            <w:r>
              <w:rPr>
                <w:sz w:val="17"/>
              </w:rPr>
              <w:t>0.8705</w:t>
            </w:r>
          </w:p>
        </w:tc>
        <w:tc>
          <w:tcPr>
            <w:tcW w:type="dxa" w:w="1152"/>
            <w:shd w:fill="FFFFFF"/>
            <w:tcMar>
              <w:top w:w="80" w:type="dxa"/>
              <w:bottom w:w="80" w:type="dxa"/>
              <w:left w:w="80" w:type="dxa"/>
              <w:right w:w="80" w:type="dxa"/>
            </w:tcMar>
          </w:tcPr>
          <w:p>
            <w:pPr>
              <w:jc w:val="center"/>
            </w:pPr>
            <w:r>
              <w:rPr>
                <w:sz w:val="17"/>
              </w:rPr>
              <w:t>0.4000</w:t>
            </w:r>
          </w:p>
        </w:tc>
        <w:tc>
          <w:tcPr>
            <w:tcW w:type="dxa" w:w="1296"/>
            <w:shd w:fill="FFFFFF"/>
            <w:tcMar>
              <w:top w:w="80" w:type="dxa"/>
              <w:bottom w:w="80" w:type="dxa"/>
              <w:left w:w="80" w:type="dxa"/>
              <w:right w:w="80" w:type="dxa"/>
            </w:tcMar>
          </w:tcPr>
          <w:p>
            <w:pPr>
              <w:jc w:val="center"/>
            </w:pPr>
            <w:r>
              <w:rPr>
                <w:sz w:val="17"/>
              </w:rPr>
              <w:t>0.6178</w:t>
            </w:r>
          </w:p>
        </w:tc>
      </w:tr>
      <w:tr>
        <w:tc>
          <w:tcPr>
            <w:tcW w:type="dxa" w:w="1008"/>
            <w:shd w:fill="F7FAFC"/>
            <w:tcMar>
              <w:top w:w="80" w:type="dxa"/>
              <w:bottom w:w="80" w:type="dxa"/>
              <w:left w:w="80" w:type="dxa"/>
              <w:right w:w="80" w:type="dxa"/>
            </w:tcMar>
          </w:tcPr>
          <w:p>
            <w:pPr>
              <w:jc w:val="center"/>
            </w:pPr>
            <w:r>
              <w:rPr>
                <w:b/>
                <w:sz w:val="17"/>
              </w:rPr>
              <w:t>6</w:t>
            </w:r>
          </w:p>
        </w:tc>
        <w:tc>
          <w:tcPr>
            <w:tcW w:type="dxa" w:w="1296"/>
            <w:shd w:fill="F7FAFC"/>
            <w:tcMar>
              <w:top w:w="80" w:type="dxa"/>
              <w:bottom w:w="80" w:type="dxa"/>
              <w:left w:w="80" w:type="dxa"/>
              <w:right w:w="80" w:type="dxa"/>
            </w:tcMar>
          </w:tcPr>
          <w:p>
            <w:pPr>
              <w:jc w:val="center"/>
            </w:pPr>
            <w:r>
              <w:rPr>
                <w:sz w:val="17"/>
              </w:rPr>
              <w:t>1.0328</w:t>
            </w:r>
          </w:p>
        </w:tc>
        <w:tc>
          <w:tcPr>
            <w:tcW w:type="dxa" w:w="1296"/>
            <w:shd w:fill="F7FAFC"/>
            <w:tcMar>
              <w:top w:w="80" w:type="dxa"/>
              <w:bottom w:w="80" w:type="dxa"/>
              <w:left w:w="80" w:type="dxa"/>
              <w:right w:w="80" w:type="dxa"/>
            </w:tcMar>
          </w:tcPr>
          <w:p>
            <w:pPr>
              <w:jc w:val="center"/>
            </w:pPr>
            <w:r>
              <w:rPr>
                <w:sz w:val="17"/>
              </w:rPr>
              <w:t>0.5148</w:t>
            </w:r>
          </w:p>
        </w:tc>
        <w:tc>
          <w:tcPr>
            <w:tcW w:type="dxa" w:w="1296"/>
            <w:shd w:fill="F7FAFC"/>
            <w:tcMar>
              <w:top w:w="80" w:type="dxa"/>
              <w:bottom w:w="80" w:type="dxa"/>
              <w:left w:w="80" w:type="dxa"/>
              <w:right w:w="80" w:type="dxa"/>
            </w:tcMar>
          </w:tcPr>
          <w:p>
            <w:pPr>
              <w:jc w:val="center"/>
            </w:pPr>
            <w:r>
              <w:rPr>
                <w:sz w:val="17"/>
              </w:rPr>
              <w:t>0.9500</w:t>
            </w:r>
          </w:p>
        </w:tc>
        <w:tc>
          <w:tcPr>
            <w:tcW w:type="dxa" w:w="1296"/>
            <w:shd w:fill="F7FAFC"/>
            <w:tcMar>
              <w:top w:w="80" w:type="dxa"/>
              <w:bottom w:w="80" w:type="dxa"/>
              <w:left w:w="80" w:type="dxa"/>
              <w:right w:w="80" w:type="dxa"/>
            </w:tcMar>
          </w:tcPr>
          <w:p>
            <w:pPr>
              <w:jc w:val="center"/>
            </w:pPr>
            <w:r>
              <w:rPr>
                <w:sz w:val="17"/>
              </w:rPr>
              <w:t>0.2502</w:t>
            </w:r>
          </w:p>
        </w:tc>
        <w:tc>
          <w:tcPr>
            <w:tcW w:type="dxa" w:w="1584"/>
            <w:shd w:fill="F7FAFC"/>
            <w:tcMar>
              <w:top w:w="80" w:type="dxa"/>
              <w:bottom w:w="80" w:type="dxa"/>
              <w:left w:w="80" w:type="dxa"/>
              <w:right w:w="80" w:type="dxa"/>
            </w:tcMar>
          </w:tcPr>
          <w:p>
            <w:pPr>
              <w:jc w:val="center"/>
            </w:pPr>
            <w:r>
              <w:rPr>
                <w:sz w:val="17"/>
              </w:rPr>
              <w:t>0.8037</w:t>
            </w:r>
          </w:p>
        </w:tc>
        <w:tc>
          <w:tcPr>
            <w:tcW w:type="dxa" w:w="1440"/>
            <w:shd w:fill="F7FAFC"/>
            <w:tcMar>
              <w:top w:w="80" w:type="dxa"/>
              <w:bottom w:w="80" w:type="dxa"/>
              <w:left w:w="80" w:type="dxa"/>
              <w:right w:w="80" w:type="dxa"/>
            </w:tcMar>
          </w:tcPr>
          <w:p>
            <w:pPr>
              <w:jc w:val="center"/>
            </w:pPr>
            <w:r>
              <w:rPr>
                <w:sz w:val="17"/>
              </w:rPr>
              <w:t>0.8852</w:t>
            </w:r>
          </w:p>
        </w:tc>
        <w:tc>
          <w:tcPr>
            <w:tcW w:type="dxa" w:w="1152"/>
            <w:shd w:fill="F7FAFC"/>
            <w:tcMar>
              <w:top w:w="80" w:type="dxa"/>
              <w:bottom w:w="80" w:type="dxa"/>
              <w:left w:w="80" w:type="dxa"/>
              <w:right w:w="80" w:type="dxa"/>
            </w:tcMar>
          </w:tcPr>
          <w:p>
            <w:pPr>
              <w:jc w:val="center"/>
            </w:pPr>
            <w:r>
              <w:rPr>
                <w:sz w:val="17"/>
              </w:rPr>
              <w:t>0.4750</w:t>
            </w:r>
          </w:p>
        </w:tc>
        <w:tc>
          <w:tcPr>
            <w:tcW w:type="dxa" w:w="1296"/>
            <w:shd w:fill="F7FAFC"/>
            <w:tcMar>
              <w:top w:w="80" w:type="dxa"/>
              <w:bottom w:w="80" w:type="dxa"/>
              <w:left w:w="80" w:type="dxa"/>
              <w:right w:w="80" w:type="dxa"/>
            </w:tcMar>
          </w:tcPr>
          <w:p>
            <w:pPr>
              <w:jc w:val="center"/>
            </w:pPr>
            <w:r>
              <w:rPr>
                <w:sz w:val="17"/>
              </w:rPr>
              <w:t>0.6461</w:t>
            </w:r>
          </w:p>
        </w:tc>
      </w:tr>
      <w:tr>
        <w:tc>
          <w:tcPr>
            <w:tcW w:type="dxa" w:w="1008"/>
            <w:shd w:fill="FFFFFF"/>
            <w:tcMar>
              <w:top w:w="80" w:type="dxa"/>
              <w:bottom w:w="80" w:type="dxa"/>
              <w:left w:w="80" w:type="dxa"/>
              <w:right w:w="80" w:type="dxa"/>
            </w:tcMar>
          </w:tcPr>
          <w:p>
            <w:pPr>
              <w:jc w:val="center"/>
            </w:pPr>
            <w:r>
              <w:rPr>
                <w:b/>
                <w:sz w:val="17"/>
              </w:rPr>
              <w:t>7</w:t>
            </w:r>
          </w:p>
        </w:tc>
        <w:tc>
          <w:tcPr>
            <w:tcW w:type="dxa" w:w="1296"/>
            <w:shd w:fill="FFFFFF"/>
            <w:tcMar>
              <w:top w:w="80" w:type="dxa"/>
              <w:bottom w:w="80" w:type="dxa"/>
              <w:left w:w="80" w:type="dxa"/>
              <w:right w:w="80" w:type="dxa"/>
            </w:tcMar>
          </w:tcPr>
          <w:p>
            <w:pPr>
              <w:jc w:val="center"/>
            </w:pPr>
            <w:r>
              <w:rPr>
                <w:sz w:val="17"/>
              </w:rPr>
              <w:t>1.0013</w:t>
            </w:r>
          </w:p>
        </w:tc>
        <w:tc>
          <w:tcPr>
            <w:tcW w:type="dxa" w:w="1296"/>
            <w:shd w:fill="FFFFFF"/>
            <w:tcMar>
              <w:top w:w="80" w:type="dxa"/>
              <w:bottom w:w="80" w:type="dxa"/>
              <w:left w:w="80" w:type="dxa"/>
              <w:right w:w="80" w:type="dxa"/>
            </w:tcMar>
          </w:tcPr>
          <w:p>
            <w:pPr>
              <w:jc w:val="center"/>
            </w:pPr>
            <w:r>
              <w:rPr>
                <w:sz w:val="17"/>
              </w:rPr>
              <w:t>0.4948</w:t>
            </w:r>
          </w:p>
        </w:tc>
        <w:tc>
          <w:tcPr>
            <w:tcW w:type="dxa" w:w="1296"/>
            <w:shd w:fill="FFFFFF"/>
            <w:tcMar>
              <w:top w:w="80" w:type="dxa"/>
              <w:bottom w:w="80" w:type="dxa"/>
              <w:left w:w="80" w:type="dxa"/>
              <w:right w:w="80" w:type="dxa"/>
            </w:tcMar>
          </w:tcPr>
          <w:p>
            <w:pPr>
              <w:jc w:val="center"/>
            </w:pPr>
            <w:r>
              <w:rPr>
                <w:sz w:val="17"/>
              </w:rPr>
              <w:t>0.9000</w:t>
            </w:r>
          </w:p>
        </w:tc>
        <w:tc>
          <w:tcPr>
            <w:tcW w:type="dxa" w:w="1296"/>
            <w:shd w:fill="FFFFFF"/>
            <w:tcMar>
              <w:top w:w="80" w:type="dxa"/>
              <w:bottom w:w="80" w:type="dxa"/>
              <w:left w:w="80" w:type="dxa"/>
              <w:right w:w="80" w:type="dxa"/>
            </w:tcMar>
          </w:tcPr>
          <w:p>
            <w:pPr>
              <w:jc w:val="center"/>
            </w:pPr>
            <w:r>
              <w:rPr>
                <w:sz w:val="17"/>
              </w:rPr>
              <w:t>0.2827</w:t>
            </w:r>
          </w:p>
        </w:tc>
        <w:tc>
          <w:tcPr>
            <w:tcW w:type="dxa" w:w="1584"/>
            <w:shd w:fill="FFFFFF"/>
            <w:tcMar>
              <w:top w:w="80" w:type="dxa"/>
              <w:bottom w:w="80" w:type="dxa"/>
              <w:left w:w="80" w:type="dxa"/>
              <w:right w:w="80" w:type="dxa"/>
            </w:tcMar>
          </w:tcPr>
          <w:p>
            <w:pPr>
              <w:jc w:val="center"/>
            </w:pPr>
            <w:r>
              <w:rPr>
                <w:sz w:val="17"/>
              </w:rPr>
              <w:t>0.7932</w:t>
            </w:r>
          </w:p>
        </w:tc>
        <w:tc>
          <w:tcPr>
            <w:tcW w:type="dxa" w:w="1440"/>
            <w:shd w:fill="FFFFFF"/>
            <w:tcMar>
              <w:top w:w="80" w:type="dxa"/>
              <w:bottom w:w="80" w:type="dxa"/>
              <w:left w:w="80" w:type="dxa"/>
              <w:right w:w="80" w:type="dxa"/>
            </w:tcMar>
          </w:tcPr>
          <w:p>
            <w:pPr>
              <w:jc w:val="center"/>
            </w:pPr>
            <w:r>
              <w:rPr>
                <w:sz w:val="17"/>
              </w:rPr>
              <w:t>0.8645</w:t>
            </w:r>
          </w:p>
        </w:tc>
        <w:tc>
          <w:tcPr>
            <w:tcW w:type="dxa" w:w="1152"/>
            <w:shd w:fill="FFFFFF"/>
            <w:tcMar>
              <w:top w:w="80" w:type="dxa"/>
              <w:bottom w:w="80" w:type="dxa"/>
              <w:left w:w="80" w:type="dxa"/>
              <w:right w:w="80" w:type="dxa"/>
            </w:tcMar>
          </w:tcPr>
          <w:p>
            <w:pPr>
              <w:jc w:val="center"/>
            </w:pPr>
            <w:r>
              <w:rPr>
                <w:sz w:val="17"/>
              </w:rPr>
              <w:t>0.7000</w:t>
            </w:r>
          </w:p>
        </w:tc>
        <w:tc>
          <w:tcPr>
            <w:tcW w:type="dxa" w:w="1296"/>
            <w:shd w:fill="FFFFFF"/>
            <w:tcMar>
              <w:top w:w="80" w:type="dxa"/>
              <w:bottom w:w="80" w:type="dxa"/>
              <w:left w:w="80" w:type="dxa"/>
              <w:right w:w="80" w:type="dxa"/>
            </w:tcMar>
          </w:tcPr>
          <w:p>
            <w:pPr>
              <w:jc w:val="center"/>
            </w:pPr>
            <w:r>
              <w:rPr>
                <w:sz w:val="17"/>
              </w:rPr>
              <w:t>0.6288</w:t>
            </w:r>
          </w:p>
        </w:tc>
      </w:tr>
      <w:tr>
        <w:tc>
          <w:tcPr>
            <w:tcW w:type="dxa" w:w="1008"/>
            <w:shd w:fill="F7FAFC"/>
            <w:tcMar>
              <w:top w:w="80" w:type="dxa"/>
              <w:bottom w:w="80" w:type="dxa"/>
              <w:left w:w="80" w:type="dxa"/>
              <w:right w:w="80" w:type="dxa"/>
            </w:tcMar>
          </w:tcPr>
          <w:p>
            <w:pPr>
              <w:jc w:val="center"/>
            </w:pPr>
            <w:r>
              <w:rPr>
                <w:b/>
                <w:sz w:val="17"/>
              </w:rPr>
              <w:t>8</w:t>
            </w:r>
          </w:p>
        </w:tc>
        <w:tc>
          <w:tcPr>
            <w:tcW w:type="dxa" w:w="1296"/>
            <w:shd w:fill="F7FAFC"/>
            <w:tcMar>
              <w:top w:w="80" w:type="dxa"/>
              <w:bottom w:w="80" w:type="dxa"/>
              <w:left w:w="80" w:type="dxa"/>
              <w:right w:w="80" w:type="dxa"/>
            </w:tcMar>
          </w:tcPr>
          <w:p>
            <w:pPr>
              <w:jc w:val="center"/>
            </w:pPr>
            <w:r>
              <w:rPr>
                <w:sz w:val="17"/>
              </w:rPr>
              <w:t>1.0259</w:t>
            </w:r>
          </w:p>
        </w:tc>
        <w:tc>
          <w:tcPr>
            <w:tcW w:type="dxa" w:w="1296"/>
            <w:shd w:fill="F7FAFC"/>
            <w:tcMar>
              <w:top w:w="80" w:type="dxa"/>
              <w:bottom w:w="80" w:type="dxa"/>
              <w:left w:w="80" w:type="dxa"/>
              <w:right w:w="80" w:type="dxa"/>
            </w:tcMar>
          </w:tcPr>
          <w:p>
            <w:pPr>
              <w:jc w:val="center"/>
            </w:pPr>
            <w:r>
              <w:rPr>
                <w:sz w:val="17"/>
              </w:rPr>
              <w:t>0.4863</w:t>
            </w:r>
          </w:p>
        </w:tc>
        <w:tc>
          <w:tcPr>
            <w:tcW w:type="dxa" w:w="1296"/>
            <w:shd w:fill="F7FAFC"/>
            <w:tcMar>
              <w:top w:w="80" w:type="dxa"/>
              <w:bottom w:w="80" w:type="dxa"/>
              <w:left w:w="80" w:type="dxa"/>
              <w:right w:w="80" w:type="dxa"/>
            </w:tcMar>
          </w:tcPr>
          <w:p>
            <w:pPr>
              <w:jc w:val="center"/>
            </w:pPr>
            <w:r>
              <w:rPr>
                <w:sz w:val="17"/>
              </w:rPr>
              <w:t>0.8973</w:t>
            </w:r>
          </w:p>
        </w:tc>
        <w:tc>
          <w:tcPr>
            <w:tcW w:type="dxa" w:w="1296"/>
            <w:shd w:fill="F7FAFC"/>
            <w:tcMar>
              <w:top w:w="80" w:type="dxa"/>
              <w:bottom w:w="80" w:type="dxa"/>
              <w:left w:w="80" w:type="dxa"/>
              <w:right w:w="80" w:type="dxa"/>
            </w:tcMar>
          </w:tcPr>
          <w:p>
            <w:pPr>
              <w:jc w:val="center"/>
            </w:pPr>
            <w:r>
              <w:rPr>
                <w:sz w:val="17"/>
              </w:rPr>
              <w:t>0.2870</w:t>
            </w:r>
          </w:p>
        </w:tc>
        <w:tc>
          <w:tcPr>
            <w:tcW w:type="dxa" w:w="1584"/>
            <w:shd w:fill="F7FAFC"/>
            <w:tcMar>
              <w:top w:w="80" w:type="dxa"/>
              <w:bottom w:w="80" w:type="dxa"/>
              <w:left w:w="80" w:type="dxa"/>
              <w:right w:w="80" w:type="dxa"/>
            </w:tcMar>
          </w:tcPr>
          <w:p>
            <w:pPr>
              <w:jc w:val="center"/>
            </w:pPr>
            <w:r>
              <w:rPr>
                <w:sz w:val="17"/>
              </w:rPr>
              <w:t>0.8345</w:t>
            </w:r>
          </w:p>
        </w:tc>
        <w:tc>
          <w:tcPr>
            <w:tcW w:type="dxa" w:w="1440"/>
            <w:shd w:fill="F7FAFC"/>
            <w:tcMar>
              <w:top w:w="80" w:type="dxa"/>
              <w:bottom w:w="80" w:type="dxa"/>
              <w:left w:w="80" w:type="dxa"/>
              <w:right w:w="80" w:type="dxa"/>
            </w:tcMar>
          </w:tcPr>
          <w:p>
            <w:pPr>
              <w:jc w:val="center"/>
            </w:pPr>
            <w:r>
              <w:rPr>
                <w:sz w:val="17"/>
              </w:rPr>
              <w:t>0.8891</w:t>
            </w:r>
          </w:p>
        </w:tc>
        <w:tc>
          <w:tcPr>
            <w:tcW w:type="dxa" w:w="1152"/>
            <w:shd w:fill="F7FAFC"/>
            <w:tcMar>
              <w:top w:w="80" w:type="dxa"/>
              <w:bottom w:w="80" w:type="dxa"/>
              <w:left w:w="80" w:type="dxa"/>
              <w:right w:w="80" w:type="dxa"/>
            </w:tcMar>
          </w:tcPr>
          <w:p>
            <w:pPr>
              <w:jc w:val="center"/>
            </w:pPr>
            <w:r>
              <w:rPr>
                <w:sz w:val="17"/>
              </w:rPr>
              <w:t>0.5000</w:t>
            </w:r>
          </w:p>
        </w:tc>
        <w:tc>
          <w:tcPr>
            <w:tcW w:type="dxa" w:w="1296"/>
            <w:shd w:fill="F7FAFC"/>
            <w:tcMar>
              <w:top w:w="80" w:type="dxa"/>
              <w:bottom w:w="80" w:type="dxa"/>
              <w:left w:w="80" w:type="dxa"/>
              <w:right w:w="80" w:type="dxa"/>
            </w:tcMar>
          </w:tcPr>
          <w:p>
            <w:pPr>
              <w:jc w:val="center"/>
            </w:pPr>
            <w:r>
              <w:rPr>
                <w:sz w:val="17"/>
              </w:rPr>
              <w:t>0.6096</w:t>
            </w:r>
          </w:p>
        </w:tc>
      </w:tr>
      <w:tr>
        <w:tc>
          <w:tcPr>
            <w:tcW w:type="dxa" w:w="1008"/>
            <w:shd w:fill="FFFFFF"/>
            <w:tcMar>
              <w:top w:w="80" w:type="dxa"/>
              <w:bottom w:w="80" w:type="dxa"/>
              <w:left w:w="80" w:type="dxa"/>
              <w:right w:w="80" w:type="dxa"/>
            </w:tcMar>
          </w:tcPr>
          <w:p>
            <w:pPr>
              <w:jc w:val="center"/>
            </w:pPr>
            <w:r>
              <w:rPr>
                <w:b/>
                <w:sz w:val="17"/>
              </w:rPr>
              <w:t>9</w:t>
            </w:r>
          </w:p>
        </w:tc>
        <w:tc>
          <w:tcPr>
            <w:tcW w:type="dxa" w:w="1296"/>
            <w:shd w:fill="FFFFFF"/>
            <w:tcMar>
              <w:top w:w="80" w:type="dxa"/>
              <w:bottom w:w="80" w:type="dxa"/>
              <w:left w:w="80" w:type="dxa"/>
              <w:right w:w="80" w:type="dxa"/>
            </w:tcMar>
          </w:tcPr>
          <w:p>
            <w:pPr>
              <w:jc w:val="center"/>
            </w:pPr>
            <w:r>
              <w:rPr>
                <w:sz w:val="17"/>
              </w:rPr>
              <w:t>1.0346</w:t>
            </w:r>
          </w:p>
        </w:tc>
        <w:tc>
          <w:tcPr>
            <w:tcW w:type="dxa" w:w="1296"/>
            <w:shd w:fill="FFFFFF"/>
            <w:tcMar>
              <w:top w:w="80" w:type="dxa"/>
              <w:bottom w:w="80" w:type="dxa"/>
              <w:left w:w="80" w:type="dxa"/>
              <w:right w:w="80" w:type="dxa"/>
            </w:tcMar>
          </w:tcPr>
          <w:p>
            <w:pPr>
              <w:jc w:val="center"/>
            </w:pPr>
            <w:r>
              <w:rPr>
                <w:sz w:val="17"/>
              </w:rPr>
              <w:t>0.5003</w:t>
            </w:r>
          </w:p>
        </w:tc>
        <w:tc>
          <w:tcPr>
            <w:tcW w:type="dxa" w:w="1296"/>
            <w:shd w:fill="FFFFFF"/>
            <w:tcMar>
              <w:top w:w="80" w:type="dxa"/>
              <w:bottom w:w="80" w:type="dxa"/>
              <w:left w:w="80" w:type="dxa"/>
              <w:right w:w="80" w:type="dxa"/>
            </w:tcMar>
          </w:tcPr>
          <w:p>
            <w:pPr>
              <w:jc w:val="center"/>
            </w:pPr>
            <w:r>
              <w:rPr>
                <w:sz w:val="17"/>
              </w:rPr>
              <w:t>0.8237</w:t>
            </w:r>
          </w:p>
        </w:tc>
        <w:tc>
          <w:tcPr>
            <w:tcW w:type="dxa" w:w="1296"/>
            <w:shd w:fill="FFFFFF"/>
            <w:tcMar>
              <w:top w:w="80" w:type="dxa"/>
              <w:bottom w:w="80" w:type="dxa"/>
              <w:left w:w="80" w:type="dxa"/>
              <w:right w:w="80" w:type="dxa"/>
            </w:tcMar>
          </w:tcPr>
          <w:p>
            <w:pPr>
              <w:jc w:val="center"/>
            </w:pPr>
            <w:r>
              <w:rPr>
                <w:sz w:val="17"/>
              </w:rPr>
              <w:t>0.2032</w:t>
            </w:r>
          </w:p>
        </w:tc>
        <w:tc>
          <w:tcPr>
            <w:tcW w:type="dxa" w:w="1584"/>
            <w:shd w:fill="FFFFFF"/>
            <w:tcMar>
              <w:top w:w="80" w:type="dxa"/>
              <w:bottom w:w="80" w:type="dxa"/>
              <w:left w:w="80" w:type="dxa"/>
              <w:right w:w="80" w:type="dxa"/>
            </w:tcMar>
          </w:tcPr>
          <w:p>
            <w:pPr>
              <w:jc w:val="center"/>
            </w:pPr>
            <w:r>
              <w:rPr>
                <w:sz w:val="17"/>
              </w:rPr>
              <w:t>0.8367</w:t>
            </w:r>
          </w:p>
        </w:tc>
        <w:tc>
          <w:tcPr>
            <w:tcW w:type="dxa" w:w="1440"/>
            <w:shd w:fill="FFFFFF"/>
            <w:tcMar>
              <w:top w:w="80" w:type="dxa"/>
              <w:bottom w:w="80" w:type="dxa"/>
              <w:left w:w="80" w:type="dxa"/>
              <w:right w:w="80" w:type="dxa"/>
            </w:tcMar>
          </w:tcPr>
          <w:p>
            <w:pPr>
              <w:jc w:val="center"/>
            </w:pPr>
            <w:r>
              <w:rPr>
                <w:sz w:val="17"/>
              </w:rPr>
              <w:t>0.8802</w:t>
            </w:r>
          </w:p>
        </w:tc>
        <w:tc>
          <w:tcPr>
            <w:tcW w:type="dxa" w:w="1152"/>
            <w:shd w:fill="FFFFFF"/>
            <w:tcMar>
              <w:top w:w="80" w:type="dxa"/>
              <w:bottom w:w="80" w:type="dxa"/>
              <w:left w:w="80" w:type="dxa"/>
              <w:right w:w="80" w:type="dxa"/>
            </w:tcMar>
          </w:tcPr>
          <w:p>
            <w:pPr>
              <w:jc w:val="center"/>
            </w:pPr>
            <w:r>
              <w:rPr>
                <w:sz w:val="17"/>
              </w:rPr>
              <w:t>0.6750</w:t>
            </w:r>
          </w:p>
        </w:tc>
        <w:tc>
          <w:tcPr>
            <w:tcW w:type="dxa" w:w="1296"/>
            <w:shd w:fill="FFFFFF"/>
            <w:tcMar>
              <w:top w:w="80" w:type="dxa"/>
              <w:bottom w:w="80" w:type="dxa"/>
              <w:left w:w="80" w:type="dxa"/>
              <w:right w:w="80" w:type="dxa"/>
            </w:tcMar>
          </w:tcPr>
          <w:p>
            <w:pPr>
              <w:jc w:val="center"/>
            </w:pPr>
            <w:r>
              <w:rPr>
                <w:sz w:val="17"/>
              </w:rPr>
              <w:t>0.6193</w:t>
            </w:r>
          </w:p>
        </w:tc>
      </w:tr>
    </w:tbl>
    <w:p>
      <w:pPr>
        <w:spacing w:before="240"/>
      </w:pPr>
    </w:p>
    <w:p>
      <w:r>
        <w:t>Analysis of results:</w:t>
        <w:br/>
        <w:t>1. Loss Convergence: Total loss dropped from 3.1556 to 1.0346. Attraction loss and local repulsion both minimized successfully, reflecting cluster compaction.</w:t>
        <w:br/>
        <w:t>2. Surrogate Performance: The surrogate MSE loss decreased from 1.3420 to 0.2032. This shows that the local surrogates fit the query targets accurately, providing high-quality inter-client repulsion gradients.</w:t>
        <w:br/>
        <w:t>3. Quality Improvement: Global test set Trustworthiness rose from 0.7001 to 0.8367. Global kNN Accuracy increased from 30.00% to 67.50%, indicating that the low-dimensional projection preserves semantic similarity.</w:t>
      </w:r>
    </w:p>
    <w:p>
      <w:pPr>
        <w:pStyle w:val="Heading1"/>
        <w:spacing w:before="360" w:after="120"/>
      </w:pPr>
      <w:r>
        <w:rPr>
          <w:rFonts w:ascii="Arial" w:hAnsi="Arial"/>
          <w:color w:val="1A365D"/>
          <w:sz w:val="36"/>
        </w:rPr>
        <w:t>5. Conclusion &amp; Replication Experiments</w:t>
      </w:r>
    </w:p>
    <w:p>
      <w:r>
        <w:t>The FEDNE framework has been successfully validated. Both local training and server aggregation behave exactly as described in the NeurIPS 2024 paper. High cluster quality, separation, and trustworthiness have been verified.</w:t>
        <w:br/>
        <w:br/>
        <w:t>For full paper replication, users can execute the benchmark script:</w:t>
      </w:r>
    </w:p>
    <w:p>
      <w:pPr>
        <w:ind w:left="720"/>
      </w:pPr>
      <w:r>
        <w:rPr>
          <w:rFonts w:ascii="Consolas" w:hAnsi="Consolas"/>
          <w:color w:val="2B6CB0"/>
          <w:sz w:val="20"/>
        </w:rPr>
        <w:t>python experiments/mnist/scripts/run_mnist_benchmark.py</w:t>
      </w:r>
    </w:p>
    <w:p>
      <w:r>
        <w:t>This script executes 5 different datasets partitioning schemes (IID, Dirichlet alpha=0.1, Dirichlet alpha=0.5, Shards C=2, Shards C=3) across 20 clients and 50 rounds. Consolidated outputs are written to experiments/mnist/results/benchmark_table.md.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