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1B2A4A" w:val="clear"/>
            <w:tcMar>
              <w:top w:type="dxa" w:w="1600"/>
              <w:left w:type="dxa" w:w="600"/>
              <w:bottom w:type="dxa" w:w="1600"/>
              <w:right w:type="dxa" w:w="600"/>
            </w:tcMar>
          </w:tcPr>
          <w:p>
            <w:pPr>
              <w:spacing w:after="80" w:before="0"/>
              <w:jc w:val="center"/>
            </w:pPr>
            <w:r>
              <w:rPr>
                <w:rFonts w:ascii="Calibri" w:cs="Calibri" w:eastAsia="Calibri" w:hAnsi="Calibri"/>
                <w:b/>
                <w:bCs/>
                <w:color w:val="FFFFFF"/>
                <w:sz w:val="96"/>
                <w:szCs w:val="96"/>
              </w:rPr>
              <w:t xml:space="preserve">GROWEN</w:t>
            </w:r>
          </w:p>
          <w:p>
            <w:pPr>
              <w:spacing w:after="120" w:before="0"/>
              <w:jc w:val="center"/>
            </w:pPr>
            <w:r>
              <w:rPr>
                <w:rFonts w:ascii="Calibri" w:cs="Calibri" w:eastAsia="Calibri" w:hAnsi="Calibri"/>
                <w:i/>
                <w:iCs/>
                <w:color w:val="AABBEE"/>
                <w:sz w:val="28"/>
                <w:szCs w:val="28"/>
              </w:rPr>
              <w:t xml:space="preserve">AI-Powered Revenue Infrastructure</w:t>
            </w:r>
          </w:p>
          <w:p>
            <w:pPr>
              <w:spacing w:after="80" w:before="160"/>
              <w:jc w:val="center"/>
            </w:pPr>
            <w:r>
              <w:rPr>
                <w:rFonts w:ascii="Calibri" w:cs="Calibri" w:eastAsia="Calibri" w:hAnsi="Calibri"/>
                <w:color w:val="3D5A8A"/>
                <w:sz w:val="18"/>
                <w:szCs w:val="18"/>
              </w:rPr>
              <w:t xml:space="preserve">─────────────────────────────────────────</w:t>
            </w:r>
          </w:p>
          <w:p>
            <w:pPr>
              <w:spacing w:after="80" w:before="80"/>
              <w:jc w:val="center"/>
            </w:pPr>
            <w:r>
              <w:rPr>
                <w:rFonts w:ascii="Calibri" w:cs="Calibri" w:eastAsia="Calibri" w:hAnsi="Calibri"/>
                <w:b/>
                <w:bCs/>
                <w:color w:val="FFFFFF"/>
                <w:sz w:val="40"/>
                <w:szCs w:val="40"/>
              </w:rPr>
              <w:t xml:space="preserve">Productized Automation Tiers</w:t>
            </w:r>
          </w:p>
          <w:p>
            <w:pPr>
              <w:spacing w:after="80" w:before="40"/>
              <w:jc w:val="center"/>
            </w:pPr>
            <w:r>
              <w:rPr>
                <w:rFonts w:ascii="Calibri" w:cs="Calibri" w:eastAsia="Calibri" w:hAnsi="Calibri"/>
                <w:color w:val="AABBEE"/>
                <w:sz w:val="22"/>
                <w:szCs w:val="22"/>
              </w:rPr>
              <w:t xml:space="preserve">Starter · Growth · Scale — Packaged PLG &amp; ELG Revenue Infrastructure</w:t>
            </w:r>
          </w:p>
          <w:p>
            <w:pPr>
              <w:spacing w:after="80" w:before="160"/>
              <w:jc w:val="center"/>
            </w:pPr>
            <w:r>
              <w:rPr>
                <w:rFonts w:ascii="Calibri" w:cs="Calibri" w:eastAsia="Calibri" w:hAnsi="Calibri"/>
                <w:color w:val="3D5A8A"/>
                <w:sz w:val="18"/>
                <w:szCs w:val="18"/>
              </w:rPr>
              <w:t xml:space="preserve">─────────────────────────────────────────</w:t>
            </w:r>
          </w:p>
          <w:p>
            <w:pPr>
              <w:spacing w:after="40" w:before="80"/>
              <w:jc w:val="center"/>
            </w:pPr>
            <w:r>
              <w:rPr>
                <w:rFonts w:ascii="Calibri" w:cs="Calibri" w:eastAsia="Calibri" w:hAnsi="Calibri"/>
                <w:b/>
                <w:bCs/>
                <w:color w:val="FFFFFF"/>
                <w:sz w:val="20"/>
                <w:szCs w:val="20"/>
              </w:rPr>
              <w:t xml:space="preserve">50% Automation   ·   75% Automation   ·   100% Automation</w:t>
            </w:r>
          </w:p>
          <w:p>
            <w:pPr>
              <w:spacing w:after="0" w:before="200"/>
              <w:jc w:val="center"/>
            </w:pPr>
            <w:r>
              <w:rPr>
                <w:rFonts w:ascii="Calibri" w:cs="Calibri" w:eastAsia="Calibri" w:hAnsi="Calibri"/>
                <w:color w:val="7A8FAA"/>
                <w:sz w:val="16"/>
                <w:szCs w:val="16"/>
              </w:rPr>
              <w:t xml:space="preserve">With Tier-Wise ROI, Engineering Hours &amp; Third-Party Costing  ·  Confidential  ·  2026</w:t>
            </w:r>
          </w:p>
        </w:tc>
      </w:tr>
    </w:tbl>
    <w:p>
      <w:r>
        <w:br w:type="page"/>
      </w:r>
    </w:p>
    <w:p>
      <w:pPr>
        <w:pStyle w:val="Heading2"/>
        <w:spacing w:after="100" w:before="280"/>
      </w:pPr>
      <w:r>
        <w:rPr>
          <w:rFonts w:ascii="Calibri" w:cs="Calibri" w:eastAsia="Calibri" w:hAnsi="Calibri"/>
          <w:b/>
          <w:bCs/>
          <w:color w:val="1B2A4A"/>
          <w:sz w:val="26"/>
          <w:szCs w:val="26"/>
        </w:rPr>
        <w:t xml:space="preserve">Table of Contents</w:t>
      </w:r>
    </w:p>
    <w:p>
      <w:pPr>
        <w:pBdr>
          <w:bottom w:val="single" w:color="2D5BA8" w:sz="6"/>
        </w:pBdr>
        <w:spacing w:after="120" w:before="120"/>
      </w:pPr>
    </w:p>
    <w:p>
      <w:pPr>
        <w:spacing w:after="60" w:before="60"/>
      </w:pPr>
      <w:r>
        <w:rPr>
          <w:rFonts w:ascii="Calibri" w:cs="Calibri" w:eastAsia="Calibri" w:hAnsi="Calibri"/>
          <w:color w:val="1B2A4A"/>
          <w:sz w:val="20"/>
          <w:szCs w:val="20"/>
        </w:rPr>
        <w:t xml:space="preserve">1. Why Productize — The Case for Fixed Tiers</w:t>
      </w:r>
      <w:r>
        <w:rPr>
          <w:rFonts w:ascii="Calibri" w:cs="Calibri" w:eastAsia="Calibri" w:hAnsi="Calibri"/>
          <w:color w:val="6B7280"/>
          <w:sz w:val="20"/>
          <w:szCs w:val="20"/>
        </w:rPr>
        <w:t xml:space="preserve">  .......................................................................  3</w:t>
      </w:r>
    </w:p>
    <w:p>
      <w:pPr>
        <w:spacing w:after="60" w:before="60"/>
      </w:pPr>
      <w:r>
        <w:rPr>
          <w:rFonts w:ascii="Calibri" w:cs="Calibri" w:eastAsia="Calibri" w:hAnsi="Calibri"/>
          <w:color w:val="1B2A4A"/>
          <w:sz w:val="20"/>
          <w:szCs w:val="20"/>
        </w:rPr>
        <w:t xml:space="preserve">2. What "% Automation" Means</w:t>
      </w:r>
      <w:r>
        <w:rPr>
          <w:rFonts w:ascii="Calibri" w:cs="Calibri" w:eastAsia="Calibri" w:hAnsi="Calibri"/>
          <w:color w:val="6B7280"/>
          <w:sz w:val="20"/>
          <w:szCs w:val="20"/>
        </w:rPr>
        <w:t xml:space="preserve">  .......................................................................  5</w:t>
      </w:r>
    </w:p>
    <w:p>
      <w:pPr>
        <w:spacing w:after="60" w:before="60"/>
      </w:pPr>
      <w:r>
        <w:rPr>
          <w:rFonts w:ascii="Calibri" w:cs="Calibri" w:eastAsia="Calibri" w:hAnsi="Calibri"/>
          <w:color w:val="1B2A4A"/>
          <w:sz w:val="20"/>
          <w:szCs w:val="20"/>
        </w:rPr>
        <w:t xml:space="preserve">3. Tier Comparison at a Glance</w:t>
      </w:r>
      <w:r>
        <w:rPr>
          <w:rFonts w:ascii="Calibri" w:cs="Calibri" w:eastAsia="Calibri" w:hAnsi="Calibri"/>
          <w:color w:val="6B7280"/>
          <w:sz w:val="20"/>
          <w:szCs w:val="20"/>
        </w:rPr>
        <w:t xml:space="preserve">  .......................................................................  6</w:t>
      </w:r>
    </w:p>
    <w:p>
      <w:pPr>
        <w:spacing w:after="60" w:before="60"/>
      </w:pPr>
      <w:r>
        <w:rPr>
          <w:rFonts w:ascii="Calibri" w:cs="Calibri" w:eastAsia="Calibri" w:hAnsi="Calibri"/>
          <w:color w:val="1B2A4A"/>
          <w:sz w:val="20"/>
          <w:szCs w:val="20"/>
        </w:rPr>
        <w:t xml:space="preserve">4. Tier 1 — Starter (50% Automation)</w:t>
      </w:r>
      <w:r>
        <w:rPr>
          <w:rFonts w:ascii="Calibri" w:cs="Calibri" w:eastAsia="Calibri" w:hAnsi="Calibri"/>
          <w:color w:val="6B7280"/>
          <w:sz w:val="20"/>
          <w:szCs w:val="20"/>
        </w:rPr>
        <w:t xml:space="preserve">  .......................................................................  8</w:t>
      </w:r>
    </w:p>
    <w:p>
      <w:pPr>
        <w:spacing w:after="60" w:before="60"/>
      </w:pPr>
      <w:r>
        <w:rPr>
          <w:rFonts w:ascii="Calibri" w:cs="Calibri" w:eastAsia="Calibri" w:hAnsi="Calibri"/>
          <w:color w:val="1B2A4A"/>
          <w:sz w:val="20"/>
          <w:szCs w:val="20"/>
        </w:rPr>
        <w:t xml:space="preserve">5. Tier 2 — Growth (75% Automation)</w:t>
      </w:r>
      <w:r>
        <w:rPr>
          <w:rFonts w:ascii="Calibri" w:cs="Calibri" w:eastAsia="Calibri" w:hAnsi="Calibri"/>
          <w:color w:val="6B7280"/>
          <w:sz w:val="20"/>
          <w:szCs w:val="20"/>
        </w:rPr>
        <w:t xml:space="preserve">  .......................................................................  11</w:t>
      </w:r>
    </w:p>
    <w:p>
      <w:pPr>
        <w:spacing w:after="60" w:before="60"/>
      </w:pPr>
      <w:r>
        <w:rPr>
          <w:rFonts w:ascii="Calibri" w:cs="Calibri" w:eastAsia="Calibri" w:hAnsi="Calibri"/>
          <w:color w:val="1B2A4A"/>
          <w:sz w:val="20"/>
          <w:szCs w:val="20"/>
        </w:rPr>
        <w:t xml:space="preserve">6. Tier 3 — Scale (100% Automation)</w:t>
      </w:r>
      <w:r>
        <w:rPr>
          <w:rFonts w:ascii="Calibri" w:cs="Calibri" w:eastAsia="Calibri" w:hAnsi="Calibri"/>
          <w:color w:val="6B7280"/>
          <w:sz w:val="20"/>
          <w:szCs w:val="20"/>
        </w:rPr>
        <w:t xml:space="preserve">  .......................................................................  14</w:t>
      </w:r>
    </w:p>
    <w:p>
      <w:pPr>
        <w:spacing w:after="60" w:before="60"/>
      </w:pPr>
      <w:r>
        <w:rPr>
          <w:rFonts w:ascii="Calibri" w:cs="Calibri" w:eastAsia="Calibri" w:hAnsi="Calibri"/>
          <w:color w:val="1B2A4A"/>
          <w:sz w:val="20"/>
          <w:szCs w:val="20"/>
        </w:rPr>
        <w:t xml:space="preserve">7. Tier-Wise Engineering Hours</w:t>
      </w:r>
      <w:r>
        <w:rPr>
          <w:rFonts w:ascii="Calibri" w:cs="Calibri" w:eastAsia="Calibri" w:hAnsi="Calibri"/>
          <w:color w:val="6B7280"/>
          <w:sz w:val="20"/>
          <w:szCs w:val="20"/>
        </w:rPr>
        <w:t xml:space="preserve">  .......................................................................  17</w:t>
      </w:r>
    </w:p>
    <w:p>
      <w:pPr>
        <w:spacing w:after="60" w:before="60"/>
      </w:pPr>
      <w:r>
        <w:rPr>
          <w:rFonts w:ascii="Calibri" w:cs="Calibri" w:eastAsia="Calibri" w:hAnsi="Calibri"/>
          <w:color w:val="1B2A4A"/>
          <w:sz w:val="20"/>
          <w:szCs w:val="20"/>
        </w:rPr>
        <w:t xml:space="preserve">8. Tier-Wise Third-Party Tooling Costs</w:t>
      </w:r>
      <w:r>
        <w:rPr>
          <w:rFonts w:ascii="Calibri" w:cs="Calibri" w:eastAsia="Calibri" w:hAnsi="Calibri"/>
          <w:color w:val="6B7280"/>
          <w:sz w:val="20"/>
          <w:szCs w:val="20"/>
        </w:rPr>
        <w:t xml:space="preserve">  .......................................................................  19</w:t>
      </w:r>
    </w:p>
    <w:p>
      <w:pPr>
        <w:spacing w:after="60" w:before="60"/>
      </w:pPr>
      <w:r>
        <w:rPr>
          <w:rFonts w:ascii="Calibri" w:cs="Calibri" w:eastAsia="Calibri" w:hAnsi="Calibri"/>
          <w:color w:val="1B2A4A"/>
          <w:sz w:val="20"/>
          <w:szCs w:val="20"/>
        </w:rPr>
        <w:t xml:space="preserve">9. Tier-Wise ROI</w:t>
      </w:r>
      <w:r>
        <w:rPr>
          <w:rFonts w:ascii="Calibri" w:cs="Calibri" w:eastAsia="Calibri" w:hAnsi="Calibri"/>
          <w:color w:val="6B7280"/>
          <w:sz w:val="20"/>
          <w:szCs w:val="20"/>
        </w:rPr>
        <w:t xml:space="preserve">  .......................................................................  21</w:t>
      </w:r>
    </w:p>
    <w:p>
      <w:pPr>
        <w:spacing w:after="60" w:before="60"/>
      </w:pPr>
      <w:r>
        <w:rPr>
          <w:rFonts w:ascii="Calibri" w:cs="Calibri" w:eastAsia="Calibri" w:hAnsi="Calibri"/>
          <w:color w:val="1B2A4A"/>
          <w:sz w:val="20"/>
          <w:szCs w:val="20"/>
        </w:rPr>
        <w:t xml:space="preserve">10. Tier × ICP Fit Matrix</w:t>
      </w:r>
      <w:r>
        <w:rPr>
          <w:rFonts w:ascii="Calibri" w:cs="Calibri" w:eastAsia="Calibri" w:hAnsi="Calibri"/>
          <w:color w:val="6B7280"/>
          <w:sz w:val="20"/>
          <w:szCs w:val="20"/>
        </w:rPr>
        <w:t xml:space="preserve">  .......................................................................  24</w:t>
      </w:r>
    </w:p>
    <w:p>
      <w:pPr>
        <w:spacing w:after="60" w:before="60"/>
      </w:pPr>
      <w:r>
        <w:rPr>
          <w:rFonts w:ascii="Calibri" w:cs="Calibri" w:eastAsia="Calibri" w:hAnsi="Calibri"/>
          <w:color w:val="1B2A4A"/>
          <w:sz w:val="20"/>
          <w:szCs w:val="20"/>
        </w:rPr>
        <w:t xml:space="preserve">11. Add-Ons, Retainers &amp; Upgrade Path</w:t>
      </w:r>
      <w:r>
        <w:rPr>
          <w:rFonts w:ascii="Calibri" w:cs="Calibri" w:eastAsia="Calibri" w:hAnsi="Calibri"/>
          <w:color w:val="6B7280"/>
          <w:sz w:val="20"/>
          <w:szCs w:val="20"/>
        </w:rPr>
        <w:t xml:space="preserve">  .......................................................................  25</w:t>
      </w:r>
    </w:p>
    <w:p>
      <w:pPr>
        <w:spacing w:after="60" w:before="60"/>
      </w:pPr>
      <w:r>
        <w:rPr>
          <w:rFonts w:ascii="Calibri" w:cs="Calibri" w:eastAsia="Calibri" w:hAnsi="Calibri"/>
          <w:color w:val="1B2A4A"/>
          <w:sz w:val="20"/>
          <w:szCs w:val="20"/>
        </w:rPr>
        <w:t xml:space="preserve">12. Sales Playbook — Positioning the Three Tiers</w:t>
      </w:r>
      <w:r>
        <w:rPr>
          <w:rFonts w:ascii="Calibri" w:cs="Calibri" w:eastAsia="Calibri" w:hAnsi="Calibri"/>
          <w:color w:val="6B7280"/>
          <w:sz w:val="20"/>
          <w:szCs w:val="20"/>
        </w:rPr>
        <w:t xml:space="preserve">  .......................................................................  28</w:t>
      </w:r>
    </w:p>
    <w:p>
      <w:r>
        <w:br w:type="page"/>
      </w:r>
    </w:p>
    <w:p>
      <w:pPr>
        <w:pStyle w:val="Heading1"/>
        <w:shd w:fill="1B2A4A" w:val="clear"/>
        <w:spacing w:after="160" w:before="480"/>
      </w:pPr>
      <w:r>
        <w:rPr>
          <w:rFonts w:ascii="Calibri" w:cs="Calibri" w:eastAsia="Calibri" w:hAnsi="Calibri"/>
          <w:b/>
          <w:bCs/>
          <w:color w:val="FFFFFF"/>
          <w:sz w:val="32"/>
          <w:szCs w:val="32"/>
        </w:rPr>
        <w:t xml:space="preserve">  1. Why Productize — The Case for Fixed Tiers</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1B2A4A" w:sz="16"/>
              <w:left w:val="thick" w:color="1B2A4A" w:sz="16"/>
              <w:bottom w:val="single" w:color="1B2A4A" w:sz="4"/>
              <w:right w:val="single" w:color="1B2A4A"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1B2A4A"/>
                <w:sz w:val="20"/>
                <w:szCs w:val="20"/>
              </w:rPr>
              <w:t xml:space="preserve">Growen's Core Positioning — Read This Before the Tiers</w:t>
            </w:r>
          </w:p>
          <w:p>
            <w:pPr>
              <w:spacing w:after="40" w:before="40" w:line="300" w:lineRule="auto"/>
            </w:pPr>
            <w:r>
              <w:rPr>
                <w:rFonts w:ascii="Calibri" w:cs="Calibri" w:eastAsia="Calibri" w:hAnsi="Calibri"/>
                <w:color w:val="111827"/>
                <w:sz w:val="20"/>
                <w:szCs w:val="20"/>
              </w:rPr>
              <w:t xml:space="preserve">Growen is a revenue infrastructure company. We install the systems that make Product-Led Growth (PLG) and Enterprise/Employee-Led Growth (ELG) actually work inside a company — the architecture that turns a raw signal (product usage, an account expanding, a referral, a compliance deadline) into a scored, routed, actioned revenue event, without a human having to catch it manually. We do not sell "automation" as a generic category. We sell the PLG/ELG operating system, packaged at three depths. Every tier below — including Starter — is a genuine piece of that same architecture, not a lightweight alternative to it.</w:t>
            </w:r>
          </w:p>
        </w:tc>
      </w:tr>
    </w:tbl>
    <w:p>
      <w:pPr>
        <w:spacing w:before="80"/>
      </w:pPr>
    </w:p>
    <w:p>
      <w:pPr>
        <w:pStyle w:val="Heading3"/>
        <w:spacing w:after="80" w:before="200"/>
      </w:pPr>
      <w:r>
        <w:rPr>
          <w:rFonts w:ascii="Calibri" w:cs="Calibri" w:eastAsia="Calibri" w:hAnsi="Calibri"/>
          <w:b/>
          <w:bCs/>
          <w:color w:val="2D5BA8"/>
          <w:sz w:val="22"/>
          <w:szCs w:val="22"/>
        </w:rPr>
        <w:t xml:space="preserve">What PLG and ELG Actually Mean, and Why Every Client Fits One or Both</w:t>
      </w:r>
    </w:p>
    <w:p>
      <w:pPr>
        <w:spacing w:after="60" w:before="60" w:line="320" w:lineRule="auto"/>
      </w:pPr>
      <w:r>
        <w:rPr>
          <w:rFonts w:ascii="Calibri" w:cs="Calibri" w:eastAsia="Calibri" w:hAnsi="Calibri"/>
          <w:color w:val="111827"/>
          <w:sz w:val="20"/>
          <w:szCs w:val="20"/>
        </w:rPr>
        <w:t xml:space="preserve">Product-Led Growth (PLG) is a motion where in-product usage — signups, feature adoption, usage-limit hits — is the primary signal that tells a company who is ready to buy or expand. Enterprise/Employee-Led Growth (ELG) is a motion where the signal instead comes from account-level or bottom-up behavior — multiple employees at one company independently adopting a tool, an existing account showing expansion readiness, or a buying committee assembling around a deal. Both motions run on the identical underlying mechanic: a signal is generated, scored for intent, routed to the right action, and acted on before the moment passes.</w:t>
      </w:r>
    </w:p>
    <w:p>
      <w:pPr>
        <w:spacing w:before="40"/>
      </w:pPr>
    </w:p>
    <w:p>
      <w:pPr>
        <w:spacing w:after="60" w:before="60" w:line="320" w:lineRule="auto"/>
      </w:pPr>
      <w:r>
        <w:rPr>
          <w:rFonts w:ascii="Calibri" w:cs="Calibri" w:eastAsia="Calibri" w:hAnsi="Calibri"/>
          <w:color w:val="111827"/>
          <w:sz w:val="20"/>
          <w:szCs w:val="20"/>
        </w:rPr>
        <w:t xml:space="preserve">The Four-Vertical Deep Dive already proves this mechanic generalizes even to verticals with no product telemetry at all — LegalTech's referral and bar-association touchpoints are treated as the PLG/ELG equivalent of a usage event, and Fleet Management's compliance deadlines and maintenance data serve the same function. This is Growen's actual differentiator: we don't just automate a workflow a client already has. We install the signal-to-revenue architecture underneath their specific growth motion, whether that signal is product usage, account behavior, operational data, or trust and referral signals.</w:t>
      </w:r>
    </w:p>
    <w:p>
      <w:pPr>
        <w:spacing w:before="80"/>
      </w:pPr>
    </w:p>
    <w:p>
      <w:pPr>
        <w:spacing w:after="60" w:before="60" w:line="320" w:lineRule="auto"/>
      </w:pPr>
      <w:r>
        <w:rPr>
          <w:rFonts w:ascii="Calibri" w:cs="Calibri" w:eastAsia="Calibri" w:hAnsi="Calibri"/>
          <w:color w:val="111827"/>
          <w:sz w:val="20"/>
          <w:szCs w:val="20"/>
        </w:rPr>
        <w:t xml:space="preserve">Fixed tiers solve three problems that pure custom-scoping creates:</w:t>
      </w:r>
    </w:p>
    <w:p>
      <w:pPr>
        <w:spacing w:before="40"/>
      </w:pPr>
    </w:p>
    <w:p>
      <w:pPr>
        <w:pStyle w:val="ListParagraph"/>
        <w:numPr>
          <w:ilvl w:val="0"/>
          <w:numId w:val="1"/>
        </w:numPr>
        <w:spacing w:after="40" w:before="40" w:line="300" w:lineRule="auto"/>
      </w:pPr>
      <w:r>
        <w:rPr>
          <w:rFonts w:ascii="Calibri" w:cs="Calibri" w:eastAsia="Calibri" w:hAnsi="Calibri"/>
          <w:b/>
          <w:bCs/>
          <w:color w:val="1B2A4A"/>
          <w:sz w:val="20"/>
          <w:szCs w:val="20"/>
        </w:rPr>
        <w:t xml:space="preserve">Sales cycle speed: </w:t>
      </w:r>
      <w:r>
        <w:rPr>
          <w:rFonts w:ascii="Calibri" w:cs="Calibri" w:eastAsia="Calibri" w:hAnsi="Calibri"/>
          <w:color w:val="111827"/>
          <w:sz w:val="20"/>
          <w:szCs w:val="20"/>
        </w:rPr>
        <w:t xml:space="preserve">A prospect comparing three named packages with stated prices, hours, and ROI can make a decision on the first or second call. A prospect waiting on a custom SOW usually takes 2–4 weeks longer to sign.</w:t>
      </w:r>
    </w:p>
    <w:p>
      <w:pPr>
        <w:pStyle w:val="ListParagraph"/>
        <w:numPr>
          <w:ilvl w:val="0"/>
          <w:numId w:val="1"/>
        </w:numPr>
        <w:spacing w:after="40" w:before="40" w:line="300" w:lineRule="auto"/>
      </w:pPr>
      <w:r>
        <w:rPr>
          <w:rFonts w:ascii="Calibri" w:cs="Calibri" w:eastAsia="Calibri" w:hAnsi="Calibri"/>
          <w:b/>
          <w:bCs/>
          <w:color w:val="1B2A4A"/>
          <w:sz w:val="20"/>
          <w:szCs w:val="20"/>
        </w:rPr>
        <w:t xml:space="preserve">Positioning clarity: </w:t>
      </w:r>
      <w:r>
        <w:rPr>
          <w:rFonts w:ascii="Calibri" w:cs="Calibri" w:eastAsia="Calibri" w:hAnsi="Calibri"/>
          <w:color w:val="111827"/>
          <w:sz w:val="20"/>
          <w:szCs w:val="20"/>
        </w:rPr>
        <w:t xml:space="preserve">"50%, 75%, or 100% of your PLG/ELG infrastructure installed" is a plain-language framing that a non-technical buyer (ICP 2 and ICP 4) understands immediately, without needing to parse GRIF layer names — while still being accurate about what's actually being sold.</w:t>
      </w:r>
    </w:p>
    <w:p>
      <w:pPr>
        <w:pStyle w:val="ListParagraph"/>
        <w:numPr>
          <w:ilvl w:val="0"/>
          <w:numId w:val="1"/>
        </w:numPr>
        <w:spacing w:after="40" w:before="40" w:line="300" w:lineRule="auto"/>
      </w:pPr>
      <w:r>
        <w:rPr>
          <w:rFonts w:ascii="Calibri" w:cs="Calibri" w:eastAsia="Calibri" w:hAnsi="Calibri"/>
          <w:b/>
          <w:bCs/>
          <w:color w:val="1B2A4A"/>
          <w:sz w:val="20"/>
          <w:szCs w:val="20"/>
        </w:rPr>
        <w:t xml:space="preserve">Margin discipline: </w:t>
      </w:r>
      <w:r>
        <w:rPr>
          <w:rFonts w:ascii="Calibri" w:cs="Calibri" w:eastAsia="Calibri" w:hAnsi="Calibri"/>
          <w:color w:val="111827"/>
          <w:sz w:val="20"/>
          <w:szCs w:val="20"/>
        </w:rPr>
        <w:t xml:space="preserve">Fixed scope, fixed hours, and fixed third-party cost estimates per tier prevent scope creep inside a project that was quoted against a vague "full automation" promise. The Month 1 Diagnostic still calibrates exact tool choices, but the deliverable list, hours, and price band are locked before that call happens.</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1A7A6E" w:sz="16"/>
              <w:left w:val="thick" w:color="1A7A6E" w:sz="16"/>
              <w:bottom w:val="single" w:color="1A7A6E" w:sz="4"/>
              <w:right w:val="single" w:color="1A7A6E"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1A7A6E"/>
                <w:sz w:val="20"/>
                <w:szCs w:val="20"/>
              </w:rPr>
              <w:t xml:space="preserve">How This Fits With the Other Two Documents</w:t>
            </w:r>
          </w:p>
          <w:p>
            <w:pPr>
              <w:spacing w:after="40" w:before="40" w:line="300" w:lineRule="auto"/>
            </w:pPr>
            <w:r>
              <w:rPr>
                <w:rFonts w:ascii="Calibri" w:cs="Calibri" w:eastAsia="Calibri" w:hAnsi="Calibri"/>
                <w:color w:val="111827"/>
                <w:sz w:val="20"/>
                <w:szCs w:val="20"/>
              </w:rPr>
              <w:t xml:space="preserve">Think of the three Growen documents as three lenses on the same underlying system. The Four-Vertical Deep Dive tells you which vertical to target and why. The 6-Month Roadmap tells you what to build and in what sequence for each ICP. This document tells you how much of the PLG/ELG architecture to sell, at what price, for how many engineering hours, with what third-party tool cost, and what return the client should expect — in a single package a prospect can say yes to today. The GRIF layers, the 15-category PLG/ELG architecture, and the 6-phase delivery model (Diagnostic → Design → Build 1 → Build 2 → Activation → Expansion) are identical across all three — only the packaging changes here.</w:t>
            </w:r>
          </w:p>
        </w:tc>
      </w:tr>
    </w:tbl>
    <w:p>
      <w:r>
        <w:br w:type="page"/>
      </w:r>
    </w:p>
    <w:p>
      <w:pPr>
        <w:pStyle w:val="Heading1"/>
        <w:shd w:fill="1B2A4A" w:val="clear"/>
        <w:spacing w:after="160" w:before="480"/>
      </w:pPr>
      <w:r>
        <w:rPr>
          <w:rFonts w:ascii="Calibri" w:cs="Calibri" w:eastAsia="Calibri" w:hAnsi="Calibri"/>
          <w:b/>
          <w:bCs/>
          <w:color w:val="FFFFFF"/>
          <w:sz w:val="32"/>
          <w:szCs w:val="32"/>
        </w:rPr>
        <w:t xml:space="preserve">  2. What "% Automation" Means</w:t>
      </w:r>
    </w:p>
    <w:p>
      <w:pPr>
        <w:spacing w:before="40"/>
      </w:pPr>
    </w:p>
    <w:p>
      <w:pPr>
        <w:spacing w:after="60" w:before="60" w:line="320" w:lineRule="auto"/>
      </w:pPr>
      <w:r>
        <w:rPr>
          <w:rFonts w:ascii="Calibri" w:cs="Calibri" w:eastAsia="Calibri" w:hAnsi="Calibri"/>
          <w:color w:val="111827"/>
          <w:sz w:val="20"/>
          <w:szCs w:val="20"/>
        </w:rPr>
        <w:t xml:space="preserve">Every PLG or ELG motion — regardless of vertical — runs on the same signal engine, expressed as five stages: Capture → Score → Route → Engage → Expand. This is the architecture, not a generic workflow. At each stage, work is either done by a human (manual), assisted by the system with a human checkpoint (semi-automated), or handled entirely by the system (fully automated). "% Automation" is the share of this five-stage signal engine that is installed and running once Growen's build is live.</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Signal Engine Stage</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What It Covers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Capture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How the client's core growth signal enters the system — product usage events, account/domain activity, referrals, compliance triggers, inbound enquiries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Score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How the system decides which signal matters — PQL/account scoring, health scoring, intent detection, domain clustering — the mechanism that makes a motion PLG or ELG rather than just "leads in a spreadsheet"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Route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How a scored signal reaches the right human or system action — CRM routing, Slack alerts, in-app nudges, GTM routing rules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Engage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How the system acts on a routed signal — AI-drafted or fully autonomous outreach, in-app growth loops, proposal generation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Expand</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How the architecture protects and grows existing revenue — expansion signal detection, referral/trust-signal tracking, renewal and health monitoring</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2D5BA8" w:sz="16"/>
              <w:left w:val="thick" w:color="2D5BA8" w:sz="16"/>
              <w:bottom w:val="single" w:color="2D5BA8" w:sz="4"/>
              <w:right w:val="single" w:color="2D5BA8"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2D5BA8"/>
                <w:sz w:val="20"/>
                <w:szCs w:val="20"/>
              </w:rPr>
              <w:t xml:space="preserve">Reading the Percentages</w:t>
            </w:r>
          </w:p>
          <w:p>
            <w:pPr>
              <w:spacing w:after="40" w:before="40" w:line="300" w:lineRule="auto"/>
            </w:pPr>
            <w:r>
              <w:rPr>
                <w:rFonts w:ascii="Calibri" w:cs="Calibri" w:eastAsia="Calibri" w:hAnsi="Calibri"/>
                <w:color w:val="111827"/>
                <w:sz w:val="20"/>
                <w:szCs w:val="20"/>
              </w:rPr>
              <w:t xml:space="preserve">50% (Starter) fully installs Capture and Route for the client's primary growth signal, and adds the first Score layer — a rules-based PQL/lead scoring engine. This is the point where the build stops being "just a CRM" and becomes a genuine, if early, PLG/ELG system: signal is captured, scored, and routed. Engage and Expand are not yet built. 75% (Growth) completes the Score layer with enrichment and domain clustering, and brings Engage to a human-checkpoint, AI-assisted model — four of five stages are substantially system-run, with Expand emerging via light detection. 100% (Scale) completes all five stages end-to-end, including proactive Expand triggers and autonomous outbound, with humans reviewing exceptions on the highest-value decisions rather than running the process by hand.</w:t>
            </w:r>
          </w:p>
        </w:tc>
      </w:tr>
    </w:tbl>
    <w:p>
      <w:pPr>
        <w:spacing w:before="80"/>
      </w:pPr>
    </w:p>
    <w:p>
      <w:pPr>
        <w:spacing w:after="60" w:before="60" w:line="320" w:lineRule="auto"/>
      </w:pPr>
      <w:r>
        <w:rPr>
          <w:rFonts w:ascii="Calibri" w:cs="Calibri" w:eastAsia="Calibri" w:hAnsi="Calibri"/>
          <w:color w:val="111827"/>
          <w:sz w:val="20"/>
          <w:szCs w:val="20"/>
        </w:rPr>
        <w:t xml:space="preserve">These percentages are a sales and positioning heuristic, not a literal audit metric — they are confirmed against the client's actual signal sources and growth motion during the Month 1 Diagnostic, the same paid, standalone diagnostic used across all Growen engagements. Scope typically moves by less than 15% from the tier's stated deliverables once the diagnostic is complete, consistent with the engagement terms already established in the Four-Vertical Deep Dive.</w:t>
      </w:r>
    </w:p>
    <w:p>
      <w:r>
        <w:br w:type="page"/>
      </w:r>
    </w:p>
    <w:p>
      <w:pPr>
        <w:pStyle w:val="Heading1"/>
        <w:shd w:fill="1B2A4A" w:val="clear"/>
        <w:spacing w:after="160" w:before="480"/>
      </w:pPr>
      <w:r>
        <w:rPr>
          <w:rFonts w:ascii="Calibri" w:cs="Calibri" w:eastAsia="Calibri" w:hAnsi="Calibri"/>
          <w:b/>
          <w:bCs/>
          <w:color w:val="FFFFFF"/>
          <w:sz w:val="32"/>
          <w:szCs w:val="32"/>
        </w:rPr>
        <w:t xml:space="preserve">  3. Tier Comparison at a Glance</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Dimension</w:t>
            </w:r>
          </w:p>
        </w:tc>
        <w:tc>
          <w:tcPr>
            <w:tcW w:type="dxa" w:w="2333"/>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Starter — 50%</w:t>
            </w:r>
          </w:p>
        </w:tc>
        <w:tc>
          <w:tcPr>
            <w:tcW w:type="dxa" w:w="2333"/>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Growth — 75%</w:t>
            </w:r>
          </w:p>
        </w:tc>
        <w:tc>
          <w:tcPr>
            <w:tcW w:type="dxa" w:w="2334"/>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Scale — 100%</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Automation Coverage</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 of the signal engine</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75% of the signal engine</w:t>
            </w:r>
          </w:p>
        </w:tc>
        <w:tc>
          <w:tcPr>
            <w:tcW w:type="dxa" w:w="2334"/>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 of the signal engine</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Price (one-time build)</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$5,000 – $8,000</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$10,000 – $20,000</w:t>
            </w:r>
          </w:p>
        </w:tc>
        <w:tc>
          <w:tcPr>
            <w:tcW w:type="dxa" w:w="2334"/>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$30,000 – $60,000</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Ongoing Retainer</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 – $800 / month</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$1,200 – $1,500 / month</w:t>
            </w:r>
          </w:p>
        </w:tc>
        <w:tc>
          <w:tcPr>
            <w:tcW w:type="dxa" w:w="2334"/>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$1,500 – $2,500 / month</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Engineering Hours (build)</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130 – 180 hrs</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250 – 350 hrs</w:t>
            </w:r>
          </w:p>
        </w:tc>
        <w:tc>
          <w:tcPr>
            <w:tcW w:type="dxa" w:w="2334"/>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 – 650 hrs</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3rd-Party Tool Cost (monthly)</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$200 – $400</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$1,000 – $2,000</w:t>
            </w:r>
          </w:p>
        </w:tc>
        <w:tc>
          <w:tcPr>
            <w:tcW w:type="dxa" w:w="2334"/>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$2,500+</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Build Timeline</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5–7 weeks</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10–14 weeks</w:t>
            </w:r>
          </w:p>
        </w:tc>
        <w:tc>
          <w:tcPr>
            <w:tcW w:type="dxa" w:w="2334"/>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18–24 weeks (full 6-month engagement)</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GRIF Layers Activated</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 of 10</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7 of 10</w:t>
            </w:r>
          </w:p>
        </w:tc>
        <w:tc>
          <w:tcPr>
            <w:tcW w:type="dxa" w:w="2334"/>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All 10</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Signal Engine Stages Installed</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Capture + Route + Score (v1)</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Capture + Score + Route + Engage (checkpointed)</w:t>
            </w:r>
          </w:p>
        </w:tc>
        <w:tc>
          <w:tcPr>
            <w:tcW w:type="dxa" w:w="2334"/>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All 5 stages, end-to-end</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ICP Personas Covered</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2–3</w:t>
            </w:r>
          </w:p>
        </w:tc>
        <w:tc>
          <w:tcPr>
            <w:tcW w:type="dxa" w:w="2334"/>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Unlimited, phased</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Illustrative Year-1 ROI Multiple</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3.5x – 9.3x</w:t>
            </w:r>
          </w:p>
        </w:tc>
        <w:tc>
          <w:tcPr>
            <w:tcW w:type="dxa" w:w="2333"/>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3.5x – 9x</w:t>
            </w:r>
          </w:p>
        </w:tc>
        <w:tc>
          <w:tcPr>
            <w:tcW w:type="dxa" w:w="2334"/>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10x – 23x</w:t>
            </w:r>
          </w:p>
        </w:tc>
      </w:tr>
      <w:tr>
        <w:tc>
          <w:tcPr>
            <w:tcW w:type="dxa" w:w="22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Best Fit ICP</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Traditional Businesses, early Service Companies</w:t>
            </w:r>
          </w:p>
        </w:tc>
        <w:tc>
          <w:tcPr>
            <w:tcW w:type="dxa" w:w="2333"/>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Product Companies, Service Companies at scale, Enterprise entry</w:t>
            </w:r>
          </w:p>
        </w:tc>
        <w:tc>
          <w:tcPr>
            <w:tcW w:type="dxa" w:w="2334"/>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Enterprise Companies, scaled Product Companies</w:t>
            </w:r>
          </w:p>
        </w:tc>
      </w:tr>
    </w:tbl>
    <w:p>
      <w:pPr>
        <w:spacing w:before="120"/>
      </w:pPr>
    </w:p>
    <w:p>
      <w:pPr>
        <w:pStyle w:val="Heading3"/>
        <w:spacing w:after="80" w:before="200"/>
      </w:pPr>
      <w:r>
        <w:rPr>
          <w:rFonts w:ascii="Calibri" w:cs="Calibri" w:eastAsia="Calibri" w:hAnsi="Calibri"/>
          <w:b/>
          <w:bCs/>
          <w:color w:val="2D5BA8"/>
          <w:sz w:val="22"/>
          <w:szCs w:val="22"/>
        </w:rPr>
        <w:t xml:space="preserve">Capability-by-Capability Matrix</w:t>
      </w:r>
    </w:p>
    <w:p>
      <w:pPr>
        <w:spacing w:after="60" w:before="60" w:line="320" w:lineRule="auto"/>
      </w:pPr>
      <w:r>
        <w:rPr>
          <w:rFonts w:ascii="Calibri" w:cs="Calibri" w:eastAsia="Calibri" w:hAnsi="Calibri"/>
          <w:color w:val="111827"/>
          <w:sz w:val="20"/>
          <w:szCs w:val="20"/>
        </w:rPr>
        <w:t xml:space="preserve">● = fully included   ◐ = included at a lighter/checkpointed level   — = not included at this tier (available as add-on or in the next tier up)</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800"/>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17"/>
                <w:szCs w:val="17"/>
              </w:rPr>
              <w:t xml:space="preserve">Capability</w:t>
            </w:r>
          </w:p>
        </w:tc>
        <w:tc>
          <w:tcPr>
            <w:tcW w:type="dxa" w:w="1800"/>
            <w:shd w:fill="1B2A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Starter
50%</w:t>
            </w:r>
          </w:p>
        </w:tc>
        <w:tc>
          <w:tcPr>
            <w:tcW w:type="dxa" w:w="1800"/>
            <w:shd w:fill="1B2A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Growth
75%</w:t>
            </w:r>
          </w:p>
        </w:tc>
        <w:tc>
          <w:tcPr>
            <w:tcW w:type="dxa" w:w="1800"/>
            <w:shd w:fill="1B2A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Scale
100%</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CRM setup / cleanup as system of record</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Automated signal capture &amp; routing</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5-touch automated follow-up sequences</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Rules-based PQL / lead scoring engine (v1)</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Domain clustering / account signal grouping</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Scored pipeline reporting dashboard</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Firmographic enrichment (Clay-style)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AI-assisted outreach drafting (human checkpoint)</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Referral program automation</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Customer / account health scoring</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Expansion signal detection</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Data warehouse &amp; Customer 360</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AI SDR / autonomous outbound agent</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Buying committee mapping</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Multi-method forecasting model</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Conversation intelligence (call analysis)</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Commercial ops automation (CPQ/contracts)</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Full team enablement &amp; change management</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Documented playbook handover</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2D5BA8" w:val="clear"/>
            <w:tcMar>
              <w:top w:type="dxa" w:w="260"/>
              <w:left w:type="dxa" w:w="360"/>
              <w:bottom w:type="dxa" w:w="260"/>
              <w:right w:type="dxa" w:w="360"/>
            </w:tcMar>
          </w:tcPr>
          <w:p>
            <w:pPr>
              <w:spacing w:after="60" w:before="0"/>
              <w:jc w:val="left"/>
            </w:pPr>
            <w:r>
              <w:rPr>
                <w:rFonts w:ascii="Calibri" w:cs="Calibri" w:eastAsia="Calibri" w:hAnsi="Calibri"/>
                <w:color w:val="CCDDEE"/>
                <w:sz w:val="20"/>
                <w:szCs w:val="20"/>
              </w:rPr>
              <w:t xml:space="preserve">50% AUTOMATION  ·  </w:t>
            </w:r>
            <w:r>
              <w:rPr>
                <w:rFonts w:ascii="Calibri" w:cs="Calibri" w:eastAsia="Calibri" w:hAnsi="Calibri"/>
                <w:b/>
                <w:bCs/>
                <w:color w:val="FFFFFF"/>
                <w:sz w:val="38"/>
                <w:szCs w:val="38"/>
              </w:rPr>
              <w:t xml:space="preserve">Starter</w:t>
            </w:r>
          </w:p>
          <w:p>
            <w:pPr>
              <w:spacing w:after="100" w:before="0"/>
              <w:jc w:val="left"/>
            </w:pPr>
            <w:r>
              <w:rPr>
                <w:rFonts w:ascii="Calibri" w:cs="Calibri" w:eastAsia="Calibri" w:hAnsi="Calibri"/>
                <w:i/>
                <w:iCs/>
                <w:color w:val="DCE6FF"/>
                <w:sz w:val="20"/>
                <w:szCs w:val="20"/>
              </w:rPr>
              <w:t xml:space="preserve">Install the foundation AND the first scoring layer of your PLG/ELG signal engine — a real system, not a stripped-down one</w:t>
            </w:r>
          </w:p>
          <w:p>
            <w:pPr>
              <w:spacing w:after="0" w:before="0"/>
              <w:jc w:val="left"/>
            </w:pPr>
            <w:r>
              <w:rPr>
                <w:rFonts w:ascii="Calibri" w:cs="Calibri" w:eastAsia="Calibri" w:hAnsi="Calibri"/>
                <w:b/>
                <w:bCs/>
                <w:color w:val="FFFFFF"/>
                <w:sz w:val="26"/>
                <w:szCs w:val="26"/>
              </w:rPr>
              <w:t xml:space="preserve">$5,000 – $8,000  one-time  ·  $500 – $800/mo retainer</w:t>
            </w:r>
          </w:p>
        </w:tc>
      </w:tr>
    </w:tbl>
    <w:p>
      <w:pPr>
        <w:spacing w:before="80"/>
      </w:pPr>
    </w:p>
    <w:p>
      <w:pPr>
        <w:pStyle w:val="Heading2"/>
        <w:spacing w:after="100" w:before="280"/>
      </w:pPr>
      <w:r>
        <w:rPr>
          <w:rFonts w:ascii="Calibri" w:cs="Calibri" w:eastAsia="Calibri" w:hAnsi="Calibri"/>
          <w:b/>
          <w:bCs/>
          <w:color w:val="2D5BA8"/>
          <w:sz w:val="26"/>
          <w:szCs w:val="26"/>
        </w:rPr>
        <w:t xml:space="preserve">What This Tier Is For</w:t>
      </w:r>
    </w:p>
    <w:p>
      <w:pPr>
        <w:spacing w:after="60" w:before="60" w:line="320" w:lineRule="auto"/>
      </w:pPr>
      <w:r>
        <w:rPr>
          <w:rFonts w:ascii="Calibri" w:cs="Calibri" w:eastAsia="Calibri" w:hAnsi="Calibri"/>
          <w:color w:val="111827"/>
          <w:sz w:val="20"/>
          <w:szCs w:val="20"/>
        </w:rPr>
        <w:t xml:space="preserve">Starter installs half of the PLG/ELG signal engine: full Capture and Route, plus a genuine rules-based Score layer — the mechanism that actually makes this a PLG/ELG system rather than a CRM with reminders turned on. It deliberately does not build enrichment, AI-drafted engagement, or expansion detection yet. This is not a lightweight alternative to Growen's core offering — it is the first half of the identical architecture Growth and Scale build on top of, with a scoring engine already live from week one.</w:t>
      </w:r>
    </w:p>
    <w:p>
      <w:pPr>
        <w:spacing w:before="80"/>
      </w:pPr>
    </w:p>
    <w:p>
      <w:pPr>
        <w:pStyle w:val="Heading3"/>
        <w:spacing w:after="80" w:before="200"/>
      </w:pPr>
      <w:r>
        <w:rPr>
          <w:rFonts w:ascii="Calibri" w:cs="Calibri" w:eastAsia="Calibri" w:hAnsi="Calibri"/>
          <w:b/>
          <w:bCs/>
          <w:color w:val="2D5BA8"/>
          <w:sz w:val="22"/>
          <w:szCs w:val="22"/>
        </w:rPr>
        <w:t xml:space="preserve">Elevator Pitch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2D5BA8" w:sz="16"/>
              <w:left w:val="thick" w:color="2D5BA8" w:sz="16"/>
              <w:bottom w:val="single" w:color="2D5BA8" w:sz="4"/>
              <w:right w:val="single" w:color="2D5BA8"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2D5BA8"/>
                <w:sz w:val="20"/>
                <w:szCs w:val="20"/>
              </w:rPr>
              <w:t xml:space="preserve">What You Say</w:t>
            </w:r>
          </w:p>
          <w:p>
            <w:pPr>
              <w:spacing w:after="40" w:before="40" w:line="300" w:lineRule="auto"/>
            </w:pPr>
            <w:r>
              <w:rPr>
                <w:rFonts w:ascii="Calibri" w:cs="Calibri" w:eastAsia="Calibri" w:hAnsi="Calibri"/>
                <w:color w:val="111827"/>
                <w:sz w:val="20"/>
                <w:szCs w:val="20"/>
              </w:rPr>
              <w:t xml:space="preserve">Every PLG or ELG company runs on the same underlying mechanic — a signal comes in, gets scored for intent, and gets routed before a human has to remember to act on it. Starter installs half of that infrastructure, live in five to seven weeks: one system of record, automated signal capture, a real rules-based scoring engine that ranks every signal by fit and intent, and automatic routing into a structured follow-up sequence. This isn't a CRM plug-in — it's the same architecture that lets a PLG company convert product usage into pipeline, already running the scoring logic that most competitors don't install until a much larger engagement. Growth and Scale build directly on top of what we install here.</w:t>
            </w:r>
          </w:p>
        </w:tc>
      </w:tr>
    </w:tbl>
    <w:p>
      <w:pPr>
        <w:spacing w:before="80"/>
      </w:pPr>
    </w:p>
    <w:p>
      <w:pPr>
        <w:pStyle w:val="Heading3"/>
        <w:spacing w:after="80" w:before="200"/>
      </w:pPr>
      <w:r>
        <w:rPr>
          <w:rFonts w:ascii="Calibri" w:cs="Calibri" w:eastAsia="Calibri" w:hAnsi="Calibri"/>
          <w:b/>
          <w:bCs/>
          <w:color w:val="2D5BA8"/>
          <w:sz w:val="22"/>
          <w:szCs w:val="22"/>
        </w:rPr>
        <w:t xml:space="preserve">Exactly What's Included</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CRM selection and configuration (HubSpot recommended default) as the single system of record</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Migration of existing contacts/leads/signals from email, spreadsheets, or a legacy CRM</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Automated signal capture (web, email, phone) with routing to the right owner</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Rules-based PQL / lead scoring engine (v1) — ranks every incoming signal by fit and intent from day one</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Light domain clustering — flags when multiple signals originate from the same company</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5-touch, multi-channel automated follow-up sequence (written to the client's voice), sequenced by score</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New-signal auto-response so nothing waits more than a few minutes for first contact</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Scored pipeline reporting dashboard — stage, source, score distribution, and close-rate visibility</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1 ICP/persona definition to focus the scoring model and routing rules</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Team training session and a plain-language playbook for handover</w:t>
      </w:r>
    </w:p>
    <w:p>
      <w:pPr>
        <w:spacing w:before="80"/>
      </w:pPr>
    </w:p>
    <w:p>
      <w:pPr>
        <w:pStyle w:val="Heading3"/>
        <w:spacing w:after="80" w:before="200"/>
      </w:pPr>
      <w:r>
        <w:rPr>
          <w:rFonts w:ascii="Calibri" w:cs="Calibri" w:eastAsia="Calibri" w:hAnsi="Calibri"/>
          <w:b/>
          <w:bCs/>
          <w:color w:val="2D5BA8"/>
          <w:sz w:val="22"/>
          <w:szCs w:val="22"/>
        </w:rPr>
        <w:t xml:space="preserve">GRIF Layers Activated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GRIF Layer</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What's Built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Sales Infrastructure (Layer 1)</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CRM configuration, signal routing, pipeline stage automation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Automation (Layer 8) — partial</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5-touch follow-up sequences, auto-response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Intelligence (Layer 6) — v1</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Rules-based PQL/lead scoring engine, light domain clustering</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Engineering (Layer 9) — foundational</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Signal capture instrumentation and routing logic — the technical build underneath Capture and Route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Analytics (Layer 10) — basic</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Scored pipeline reporting dashboard: stage, source, score distribution, close rate</w:t>
            </w:r>
          </w:p>
        </w:tc>
      </w:tr>
    </w:tbl>
    <w:p>
      <w:pPr>
        <w:spacing w:before="80"/>
      </w:pPr>
    </w:p>
    <w:p>
      <w:pPr>
        <w:pStyle w:val="Heading3"/>
        <w:spacing w:after="80" w:before="200"/>
      </w:pPr>
      <w:r>
        <w:rPr>
          <w:rFonts w:ascii="Calibri" w:cs="Calibri" w:eastAsia="Calibri" w:hAnsi="Calibri"/>
          <w:b/>
          <w:bCs/>
          <w:color w:val="2D5BA8"/>
          <w:sz w:val="22"/>
          <w:szCs w:val="22"/>
        </w:rPr>
        <w:t xml:space="preserve">What's Deliberately Left Out (and Why)</w:t>
      </w:r>
    </w:p>
    <w:p>
      <w:pPr>
        <w:pStyle w:val="ListParagraph"/>
        <w:numPr>
          <w:ilvl w:val="0"/>
          <w:numId w:val="1"/>
        </w:numPr>
        <w:spacing w:after="40" w:before="40" w:line="300" w:lineRule="auto"/>
      </w:pPr>
      <w:r>
        <w:rPr>
          <w:rFonts w:ascii="Calibri" w:cs="Calibri" w:eastAsia="Calibri" w:hAnsi="Calibri"/>
          <w:color w:val="111827"/>
          <w:sz w:val="20"/>
          <w:szCs w:val="20"/>
        </w:rPr>
        <w:t xml:space="preserve">No enrichment pipeline — the scoring engine ranks on first-party signal data; firmographic enrichment is what Growth adds to arm the team with context before they reach out</w:t>
      </w:r>
    </w:p>
    <w:p>
      <w:pPr>
        <w:pStyle w:val="ListParagraph"/>
        <w:numPr>
          <w:ilvl w:val="0"/>
          <w:numId w:val="1"/>
        </w:numPr>
        <w:spacing w:after="40" w:before="40" w:line="300" w:lineRule="auto"/>
      </w:pPr>
      <w:r>
        <w:rPr>
          <w:rFonts w:ascii="Calibri" w:cs="Calibri" w:eastAsia="Calibri" w:hAnsi="Calibri"/>
          <w:color w:val="111827"/>
          <w:sz w:val="20"/>
          <w:szCs w:val="20"/>
        </w:rPr>
        <w:t xml:space="preserve">No AI-drafted outreach — Starter's sequences are template-based; AI personalization is a Growth-tier capability once enrichment data exists to personalize against</w:t>
      </w:r>
    </w:p>
    <w:p>
      <w:pPr>
        <w:pStyle w:val="ListParagraph"/>
        <w:numPr>
          <w:ilvl w:val="0"/>
          <w:numId w:val="1"/>
        </w:numPr>
        <w:spacing w:after="40" w:before="40" w:line="300" w:lineRule="auto"/>
      </w:pPr>
      <w:r>
        <w:rPr>
          <w:rFonts w:ascii="Calibri" w:cs="Calibri" w:eastAsia="Calibri" w:hAnsi="Calibri"/>
          <w:color w:val="111827"/>
          <w:sz w:val="20"/>
          <w:szCs w:val="20"/>
        </w:rPr>
        <w:t xml:space="preserve">No health scoring or expansion detection — this tier is about new-signal capture and scoring, not existing-account growth</w:t>
      </w:r>
    </w:p>
    <w:p>
      <w:pPr>
        <w:spacing w:before="80"/>
      </w:pPr>
    </w:p>
    <w:p>
      <w:pPr>
        <w:spacing w:after="60" w:before="60" w:line="320" w:lineRule="auto"/>
      </w:pPr>
      <w:r>
        <w:rPr>
          <w:rFonts w:ascii="Calibri" w:cs="Calibri" w:eastAsia="Calibri" w:hAnsi="Calibri"/>
          <w:color w:val="111827"/>
          <w:sz w:val="20"/>
          <w:szCs w:val="20"/>
        </w:rPr>
        <w:t xml:space="preserve">Best fit: Traditional Businesses (ICP 4) and early-stage Service Companies (ICP 2) with no existing CRM discipline or scoring logic. Typical timeline: 1-week diagnostic + 5–7 week build.</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1A7A6E" w:val="clear"/>
            <w:tcMar>
              <w:top w:type="dxa" w:w="260"/>
              <w:left w:type="dxa" w:w="360"/>
              <w:bottom w:type="dxa" w:w="260"/>
              <w:right w:type="dxa" w:w="360"/>
            </w:tcMar>
          </w:tcPr>
          <w:p>
            <w:pPr>
              <w:spacing w:after="60" w:before="0"/>
              <w:jc w:val="left"/>
            </w:pPr>
            <w:r>
              <w:rPr>
                <w:rFonts w:ascii="Calibri" w:cs="Calibri" w:eastAsia="Calibri" w:hAnsi="Calibri"/>
                <w:color w:val="CCDDEE"/>
                <w:sz w:val="20"/>
                <w:szCs w:val="20"/>
              </w:rPr>
              <w:t xml:space="preserve">75% AUTOMATION  ·  </w:t>
            </w:r>
            <w:r>
              <w:rPr>
                <w:rFonts w:ascii="Calibri" w:cs="Calibri" w:eastAsia="Calibri" w:hAnsi="Calibri"/>
                <w:b/>
                <w:bCs/>
                <w:color w:val="FFFFFF"/>
                <w:sz w:val="38"/>
                <w:szCs w:val="38"/>
              </w:rPr>
              <w:t xml:space="preserve">Growth</w:t>
            </w:r>
          </w:p>
          <w:p>
            <w:pPr>
              <w:spacing w:after="100" w:before="0"/>
              <w:jc w:val="left"/>
            </w:pPr>
            <w:r>
              <w:rPr>
                <w:rFonts w:ascii="Calibri" w:cs="Calibri" w:eastAsia="Calibri" w:hAnsi="Calibri"/>
                <w:i/>
                <w:iCs/>
                <w:color w:val="DCE6FF"/>
                <w:sz w:val="20"/>
                <w:szCs w:val="20"/>
              </w:rPr>
              <w:t xml:space="preserve">Complete the Score layer with enrichment, bring Engage to AI-assisted, and open the Expand layer</w:t>
            </w:r>
          </w:p>
          <w:p>
            <w:pPr>
              <w:spacing w:after="0" w:before="0"/>
              <w:jc w:val="left"/>
            </w:pPr>
            <w:r>
              <w:rPr>
                <w:rFonts w:ascii="Calibri" w:cs="Calibri" w:eastAsia="Calibri" w:hAnsi="Calibri"/>
                <w:b/>
                <w:bCs/>
                <w:color w:val="FFFFFF"/>
                <w:sz w:val="26"/>
                <w:szCs w:val="26"/>
              </w:rPr>
              <w:t xml:space="preserve">$10,000 – $20,000  one-time  ·  $1,200 – $1,500/mo retainer</w:t>
            </w:r>
          </w:p>
        </w:tc>
      </w:tr>
    </w:tbl>
    <w:p>
      <w:pPr>
        <w:spacing w:before="80"/>
      </w:pPr>
    </w:p>
    <w:p>
      <w:pPr>
        <w:pStyle w:val="Heading2"/>
        <w:spacing w:after="100" w:before="280"/>
      </w:pPr>
      <w:r>
        <w:rPr>
          <w:rFonts w:ascii="Calibri" w:cs="Calibri" w:eastAsia="Calibri" w:hAnsi="Calibri"/>
          <w:b/>
          <w:bCs/>
          <w:color w:val="1A7A6E"/>
          <w:sz w:val="26"/>
          <w:szCs w:val="26"/>
        </w:rPr>
        <w:t xml:space="preserve">What This Tier Is For</w:t>
      </w:r>
    </w:p>
    <w:p>
      <w:pPr>
        <w:spacing w:after="60" w:before="60" w:line="320" w:lineRule="auto"/>
      </w:pPr>
      <w:r>
        <w:rPr>
          <w:rFonts w:ascii="Calibri" w:cs="Calibri" w:eastAsia="Calibri" w:hAnsi="Calibri"/>
          <w:color w:val="111827"/>
          <w:sz w:val="20"/>
          <w:szCs w:val="20"/>
        </w:rPr>
        <w:t xml:space="preserve">Growth takes the scoring engine installed in Starter and completes it — adding firmographic enrichment, deeper domain clustering, and full referral automation — then brings the Engage stage online with AI-drafted, human-checkpointed outreach. It also opens the Expand stage, detecting which existing accounts are ready to grow before that opportunity is discovered by accident. This is the tier where the PLG/ELG system becomes genuinely proactive rather than just well-organized.</w:t>
      </w:r>
    </w:p>
    <w:p>
      <w:pPr>
        <w:spacing w:before="80"/>
      </w:pPr>
    </w:p>
    <w:p>
      <w:pPr>
        <w:pStyle w:val="Heading3"/>
        <w:spacing w:after="80" w:before="200"/>
      </w:pPr>
      <w:r>
        <w:rPr>
          <w:rFonts w:ascii="Calibri" w:cs="Calibri" w:eastAsia="Calibri" w:hAnsi="Calibri"/>
          <w:b/>
          <w:bCs/>
          <w:color w:val="1A7A6E"/>
          <w:sz w:val="22"/>
          <w:szCs w:val="22"/>
        </w:rPr>
        <w:t xml:space="preserve">Elevator Pitch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1A7A6E" w:sz="16"/>
              <w:left w:val="thick" w:color="1A7A6E" w:sz="16"/>
              <w:bottom w:val="single" w:color="1A7A6E" w:sz="4"/>
              <w:right w:val="single" w:color="1A7A6E"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1A7A6E"/>
                <w:sz w:val="20"/>
                <w:szCs w:val="20"/>
              </w:rPr>
              <w:t xml:space="preserve">What You Say</w:t>
            </w:r>
          </w:p>
          <w:p>
            <w:pPr>
              <w:spacing w:after="40" w:before="40" w:line="300" w:lineRule="auto"/>
            </w:pPr>
            <w:r>
              <w:rPr>
                <w:rFonts w:ascii="Calibri" w:cs="Calibri" w:eastAsia="Calibri" w:hAnsi="Calibri"/>
                <w:color w:val="111827"/>
                <w:sz w:val="20"/>
                <w:szCs w:val="20"/>
              </w:rPr>
              <w:t xml:space="preserve">You already have signal capture and a scoring engine running — Growth is where we complete the intelligence layer and put it to work. We add enrichment so your team has firmographic context the moment a high-score signal fires, complete the domain-clustering logic so a five-person cluster at one company reads as a single enterprise opportunity, and bring AI-drafted outreach online with a human approval checkpoint before anything sends. We also switch on the Expand stage — detecting which existing accounts are ready to grow before that's discovered by accident at renewal. This is the same mechanism that lets a product-led company turn free users into enterprise deals, or lets an enterprise-led motion catch an expansion-ready account early — now running end-to-end on real intelligence, not just rules.</w:t>
            </w:r>
          </w:p>
        </w:tc>
      </w:tr>
    </w:tbl>
    <w:p>
      <w:pPr>
        <w:spacing w:before="80"/>
      </w:pPr>
    </w:p>
    <w:p>
      <w:pPr>
        <w:spacing w:after="60" w:before="60" w:line="320" w:lineRule="auto"/>
      </w:pPr>
      <w:r>
        <w:rPr>
          <w:rFonts w:ascii="Calibri" w:cs="Calibri" w:eastAsia="Calibri" w:hAnsi="Calibri"/>
          <w:b/>
          <w:bCs/>
          <w:color w:val="111827"/>
          <w:sz w:val="20"/>
          <w:szCs w:val="20"/>
        </w:rPr>
        <w:t xml:space="preserve">Growth includes everything in Starter, plus:</w:t>
      </w:r>
    </w:p>
    <w:p>
      <w:pPr>
        <w:pStyle w:val="Heading3"/>
        <w:spacing w:after="80" w:before="200"/>
      </w:pPr>
      <w:r>
        <w:rPr>
          <w:rFonts w:ascii="Calibri" w:cs="Calibri" w:eastAsia="Calibri" w:hAnsi="Calibri"/>
          <w:b/>
          <w:bCs/>
          <w:color w:val="1A7A6E"/>
          <w:sz w:val="22"/>
          <w:szCs w:val="22"/>
        </w:rPr>
        <w:t xml:space="preserve">Everything Added on Top of Starter</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Firmographic and contact enrichment pipeline (Clay-style) — company size, funding, org structure, decision-maker identity</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Full domain clustering — surfaces multiple signals from one company as a single account opportunity, not just a flag</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AI-assisted, personalized outreach drafting with a human-approval checkpoint before anything sends</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Referral program setup and tracking automation</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Customer/account health scoring — engagement and spend-trend visibility for the existing base</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Expansion signal detection — flags accounts showing growth or renewal-risk signals</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2–3 ICP/persona definitions instead of one, with persona-specific scoring and sequences</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Intermediate reporting: lead source attribution, sequence performance, referral tracking, health-score trends</w:t>
      </w:r>
    </w:p>
    <w:p>
      <w:pPr>
        <w:spacing w:before="80"/>
      </w:pPr>
    </w:p>
    <w:p>
      <w:pPr>
        <w:pStyle w:val="Heading3"/>
        <w:spacing w:after="80" w:before="200"/>
      </w:pPr>
      <w:r>
        <w:rPr>
          <w:rFonts w:ascii="Calibri" w:cs="Calibri" w:eastAsia="Calibri" w:hAnsi="Calibri"/>
          <w:b/>
          <w:bCs/>
          <w:color w:val="1A7A6E"/>
          <w:sz w:val="22"/>
          <w:szCs w:val="22"/>
        </w:rPr>
        <w:t xml:space="preserve">GRIF Layers Activated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GRIF Layer</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What's Built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Sales Infrastructure (Layer 1)</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Everything from Starter, plus multi-persona routing</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Automation (Layer 8)</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Full 5-touch sequences + referral tracking automation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AI Infrastructure (Layer 4)</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Enrichment pipeline + AI-assisted outreach drafting</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Intelligence (Layer 6) — complete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Scoring engine matured with enrichment data, full domain clustering</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Engineering (Layer 9)</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Data flow integration across CRM, enrichment, and outreach tools — the Data/Integration Engineer's build</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Customer Infrastructure (Layer 3) — light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Health scoring, expansion signal detection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Analytics (Layer 10)</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Full attribution and sequence-performance dashboards</w:t>
            </w:r>
          </w:p>
        </w:tc>
      </w:tr>
    </w:tbl>
    <w:p>
      <w:pPr>
        <w:spacing w:before="80"/>
      </w:pPr>
    </w:p>
    <w:p>
      <w:pPr>
        <w:pStyle w:val="Heading3"/>
        <w:spacing w:after="80" w:before="200"/>
      </w:pPr>
      <w:r>
        <w:rPr>
          <w:rFonts w:ascii="Calibri" w:cs="Calibri" w:eastAsia="Calibri" w:hAnsi="Calibri"/>
          <w:b/>
          <w:bCs/>
          <w:color w:val="1A7A6E"/>
          <w:sz w:val="22"/>
          <w:szCs w:val="22"/>
        </w:rPr>
        <w:t xml:space="preserve">What's Deliberately Left Out (and Why)</w:t>
      </w:r>
    </w:p>
    <w:p>
      <w:pPr>
        <w:pStyle w:val="ListParagraph"/>
        <w:numPr>
          <w:ilvl w:val="0"/>
          <w:numId w:val="1"/>
        </w:numPr>
        <w:spacing w:after="40" w:before="40" w:line="300" w:lineRule="auto"/>
      </w:pPr>
      <w:r>
        <w:rPr>
          <w:rFonts w:ascii="Calibri" w:cs="Calibri" w:eastAsia="Calibri" w:hAnsi="Calibri"/>
          <w:color w:val="111827"/>
          <w:sz w:val="20"/>
          <w:szCs w:val="20"/>
        </w:rPr>
        <w:t xml:space="preserve">No data warehouse or Customer 360 — Growth works directly inside the CRM and enrichment tools; a warehouse earns its cost once data volume or multi-system complexity (Scale-tier territory) justifies it</w:t>
      </w:r>
    </w:p>
    <w:p>
      <w:pPr>
        <w:pStyle w:val="ListParagraph"/>
        <w:numPr>
          <w:ilvl w:val="0"/>
          <w:numId w:val="1"/>
        </w:numPr>
        <w:spacing w:after="40" w:before="40" w:line="300" w:lineRule="auto"/>
      </w:pPr>
      <w:r>
        <w:rPr>
          <w:rFonts w:ascii="Calibri" w:cs="Calibri" w:eastAsia="Calibri" w:hAnsi="Calibri"/>
          <w:color w:val="111827"/>
          <w:sz w:val="20"/>
          <w:szCs w:val="20"/>
        </w:rPr>
        <w:t xml:space="preserve">No AI SDR / autonomous outbound agent — outreach at this tier is AI-drafted but always human-approved before sending</w:t>
      </w:r>
    </w:p>
    <w:p>
      <w:pPr>
        <w:pStyle w:val="ListParagraph"/>
        <w:numPr>
          <w:ilvl w:val="0"/>
          <w:numId w:val="1"/>
        </w:numPr>
        <w:spacing w:after="40" w:before="40" w:line="300" w:lineRule="auto"/>
      </w:pPr>
      <w:r>
        <w:rPr>
          <w:rFonts w:ascii="Calibri" w:cs="Calibri" w:eastAsia="Calibri" w:hAnsi="Calibri"/>
          <w:color w:val="111827"/>
          <w:sz w:val="20"/>
          <w:szCs w:val="20"/>
        </w:rPr>
        <w:t xml:space="preserve">No buying committee mapping or multi-method forecasting — these are enterprise-deal capabilities that belong to Scale</w:t>
      </w:r>
    </w:p>
    <w:p>
      <w:pPr>
        <w:spacing w:before="80"/>
      </w:pPr>
    </w:p>
    <w:p>
      <w:pPr>
        <w:spacing w:after="60" w:before="60" w:line="320" w:lineRule="auto"/>
      </w:pPr>
      <w:r>
        <w:rPr>
          <w:rFonts w:ascii="Calibri" w:cs="Calibri" w:eastAsia="Calibri" w:hAnsi="Calibri"/>
          <w:color w:val="111827"/>
          <w:sz w:val="20"/>
          <w:szCs w:val="20"/>
        </w:rPr>
        <w:t xml:space="preserve">Best fit: Product Companies (ICP 1) in early enterprise-motion territory, Service Companies (ICP 2) scaling past founder-led sales, and Enterprise Companies (ICP 3) using Growth as an entry engagement before a full Scale build. Typical timeline: 2-week diagnostic + 10–14 week build.</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5C2D7A" w:val="clear"/>
            <w:tcMar>
              <w:top w:type="dxa" w:w="260"/>
              <w:left w:type="dxa" w:w="360"/>
              <w:bottom w:type="dxa" w:w="260"/>
              <w:right w:type="dxa" w:w="360"/>
            </w:tcMar>
          </w:tcPr>
          <w:p>
            <w:pPr>
              <w:spacing w:after="60" w:before="0"/>
              <w:jc w:val="left"/>
            </w:pPr>
            <w:r>
              <w:rPr>
                <w:rFonts w:ascii="Calibri" w:cs="Calibri" w:eastAsia="Calibri" w:hAnsi="Calibri"/>
                <w:color w:val="CCDDEE"/>
                <w:sz w:val="20"/>
                <w:szCs w:val="20"/>
              </w:rPr>
              <w:t xml:space="preserve">100% AUTOMATION  ·  </w:t>
            </w:r>
            <w:r>
              <w:rPr>
                <w:rFonts w:ascii="Calibri" w:cs="Calibri" w:eastAsia="Calibri" w:hAnsi="Calibri"/>
                <w:b/>
                <w:bCs/>
                <w:color w:val="FFFFFF"/>
                <w:sz w:val="38"/>
                <w:szCs w:val="38"/>
              </w:rPr>
              <w:t xml:space="preserve">Scale</w:t>
            </w:r>
          </w:p>
          <w:p>
            <w:pPr>
              <w:spacing w:after="100" w:before="0"/>
              <w:jc w:val="left"/>
            </w:pPr>
            <w:r>
              <w:rPr>
                <w:rFonts w:ascii="Calibri" w:cs="Calibri" w:eastAsia="Calibri" w:hAnsi="Calibri"/>
                <w:i/>
                <w:iCs/>
                <w:color w:val="DCE6FF"/>
                <w:sz w:val="20"/>
                <w:szCs w:val="20"/>
              </w:rPr>
              <w:t xml:space="preserve">The complete PLG/ELG operating system — all ten GRIF layers working as one signal-to-revenue architecture</w:t>
            </w:r>
          </w:p>
          <w:p>
            <w:pPr>
              <w:spacing w:after="0" w:before="0"/>
              <w:jc w:val="left"/>
            </w:pPr>
            <w:r>
              <w:rPr>
                <w:rFonts w:ascii="Calibri" w:cs="Calibri" w:eastAsia="Calibri" w:hAnsi="Calibri"/>
                <w:b/>
                <w:bCs/>
                <w:color w:val="FFFFFF"/>
                <w:sz w:val="26"/>
                <w:szCs w:val="26"/>
              </w:rPr>
              <w:t xml:space="preserve">$30,000 – $60,000  one-time  ·  $1,500 – $2,500/mo retainer</w:t>
            </w:r>
          </w:p>
        </w:tc>
      </w:tr>
    </w:tbl>
    <w:p>
      <w:pPr>
        <w:spacing w:before="80"/>
      </w:pPr>
    </w:p>
    <w:p>
      <w:pPr>
        <w:pStyle w:val="Heading2"/>
        <w:spacing w:after="100" w:before="280"/>
      </w:pPr>
      <w:r>
        <w:rPr>
          <w:rFonts w:ascii="Calibri" w:cs="Calibri" w:eastAsia="Calibri" w:hAnsi="Calibri"/>
          <w:b/>
          <w:bCs/>
          <w:color w:val="5C2D7A"/>
          <w:sz w:val="26"/>
          <w:szCs w:val="26"/>
        </w:rPr>
        <w:t xml:space="preserve">What This Tier Is For</w:t>
      </w:r>
    </w:p>
    <w:p>
      <w:pPr>
        <w:spacing w:after="60" w:before="60" w:line="320" w:lineRule="auto"/>
      </w:pPr>
      <w:r>
        <w:rPr>
          <w:rFonts w:ascii="Calibri" w:cs="Calibri" w:eastAsia="Calibri" w:hAnsi="Calibri"/>
          <w:color w:val="111827"/>
          <w:sz w:val="20"/>
          <w:szCs w:val="20"/>
        </w:rPr>
        <w:t xml:space="preserve">Scale is the complete PLG/ELG operating system, delivered as the full 6-month engagement described in the Growen Roadmap document. It is built for companies whose growth motion depends on converting distributed signal — product usage, account expansion, buying-committee behavior — into a coordinated revenue engine, not a series of disconnected point tools. Scale completes all five stages of the signal engine end-to-end: unified data capture, real scoring and enrichment, automated and AI-run engagement, and proactive expansion detection, with humans reviewing exceptions on high-value decisions rather than running the process by hand.</w:t>
      </w:r>
    </w:p>
    <w:p>
      <w:pPr>
        <w:spacing w:before="80"/>
      </w:pPr>
    </w:p>
    <w:p>
      <w:pPr>
        <w:pStyle w:val="Heading3"/>
        <w:spacing w:after="80" w:before="200"/>
      </w:pPr>
      <w:r>
        <w:rPr>
          <w:rFonts w:ascii="Calibri" w:cs="Calibri" w:eastAsia="Calibri" w:hAnsi="Calibri"/>
          <w:b/>
          <w:bCs/>
          <w:color w:val="5C2D7A"/>
          <w:sz w:val="22"/>
          <w:szCs w:val="22"/>
        </w:rPr>
        <w:t xml:space="preserve">Elevator Pitch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5C2D7A" w:sz="16"/>
              <w:left w:val="thick" w:color="5C2D7A" w:sz="16"/>
              <w:bottom w:val="single" w:color="5C2D7A" w:sz="4"/>
              <w:right w:val="single" w:color="5C2D7A"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5C2D7A"/>
                <w:sz w:val="20"/>
                <w:szCs w:val="20"/>
              </w:rPr>
              <w:t xml:space="preserve">What You Say</w:t>
            </w:r>
          </w:p>
          <w:p>
            <w:pPr>
              <w:spacing w:after="40" w:before="40" w:line="300" w:lineRule="auto"/>
            </w:pPr>
            <w:r>
              <w:rPr>
                <w:rFonts w:ascii="Calibri" w:cs="Calibri" w:eastAsia="Calibri" w:hAnsi="Calibri"/>
                <w:color w:val="111827"/>
                <w:sz w:val="20"/>
                <w:szCs w:val="20"/>
              </w:rPr>
              <w:t xml:space="preserve">Your growth motion already generates real signal — product usage, account activity, expansion behavior — but it's scattered across tools that don't talk to each other, so most of that signal never reaches a human who can act on it. Scale installs the complete PLG/ELG operating system: unified signal capture across your whole stack, real scoring and enrichment, AI-run research and outreach, buying-committee intelligence, and proactive expansion detection — all ten GRIF layers working as one architecture instead of ten separate tools. By Month 6, your team is reviewing exceptions on the highest-value decisions; the system is running the signal-to-revenue process underneath them.</w:t>
            </w:r>
          </w:p>
        </w:tc>
      </w:tr>
    </w:tbl>
    <w:p>
      <w:pPr>
        <w:spacing w:before="80"/>
      </w:pPr>
    </w:p>
    <w:p>
      <w:pPr>
        <w:spacing w:after="60" w:before="60" w:line="320" w:lineRule="auto"/>
      </w:pPr>
      <w:r>
        <w:rPr>
          <w:rFonts w:ascii="Calibri" w:cs="Calibri" w:eastAsia="Calibri" w:hAnsi="Calibri"/>
          <w:b/>
          <w:bCs/>
          <w:color w:val="111827"/>
          <w:sz w:val="20"/>
          <w:szCs w:val="20"/>
        </w:rPr>
        <w:t xml:space="preserve">Scale includes everything in Growth, plus:</w:t>
      </w:r>
    </w:p>
    <w:p>
      <w:pPr>
        <w:pStyle w:val="Heading3"/>
        <w:spacing w:after="80" w:before="200"/>
      </w:pPr>
      <w:r>
        <w:rPr>
          <w:rFonts w:ascii="Calibri" w:cs="Calibri" w:eastAsia="Calibri" w:hAnsi="Calibri"/>
          <w:b/>
          <w:bCs/>
          <w:color w:val="5C2D7A"/>
          <w:sz w:val="22"/>
          <w:szCs w:val="22"/>
        </w:rPr>
        <w:t xml:space="preserve">Everything Added on Top of Growth</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Data warehouse and reverse-ETL pipeline (Snowflake/BigQuery + Hightouch/Census) — unified Customer 360 across product, CRM, support, and billing</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AI SDR / autonomous research agent for tier-2 outbound, reducing manual prospecting research from hours to minutes</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Full customer/account health scoring across 100% of the base, with 60–90 day churn-risk lead time</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Proactive expansion signal detection — usage trends, engagement decay, and champion tracking, surfaced before renewal</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Buying committee mapping for every enterprise account above the client's defined ACV threshold</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Multi-method forecasting model replacing rep-submitted guesswork, targeting 80%+ forecast accuracy</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Conversation intelligence integration (Gong/Chorus-style) — automatic call summaries, objection and competitor detection</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Commercial operations automation — CPQ, contract workflows, and approval-chain streamlining</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Unlimited ICP/persona coverage, phased in across the 6-month build</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Full executive analytics suite — forecast accuracy tracking, win/loss attribution, rep performance benchmarking</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Complete team enablement and change-management program, not just a training session</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Month 7–12 expansion roadmap delivered at handover</w:t>
      </w:r>
    </w:p>
    <w:p>
      <w:pPr>
        <w:spacing w:before="80"/>
      </w:pPr>
    </w:p>
    <w:p>
      <w:pPr>
        <w:pStyle w:val="Heading3"/>
        <w:spacing w:after="80" w:before="200"/>
      </w:pPr>
      <w:r>
        <w:rPr>
          <w:rFonts w:ascii="Calibri" w:cs="Calibri" w:eastAsia="Calibri" w:hAnsi="Calibri"/>
          <w:b/>
          <w:bCs/>
          <w:color w:val="5C2D7A"/>
          <w:sz w:val="22"/>
          <w:szCs w:val="22"/>
        </w:rPr>
        <w:t xml:space="preserve">GRIF Layers Activated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Coverage</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Detail</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All 10 GRIF Layers</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Sales Infrastructure · Marketing Infrastructure · Customer Infrastructure · AI Infrastructure · Data Infrastructure · Revenue Intelligence · Commercial Operations · Revenue Automation · Revenue Engineering · Revenue Analytics</w:t>
            </w:r>
          </w:p>
        </w:tc>
      </w:tr>
    </w:tbl>
    <w:p>
      <w:pPr>
        <w:spacing w:before="80"/>
      </w:pPr>
    </w:p>
    <w:p>
      <w:pPr>
        <w:spacing w:after="60" w:before="60" w:line="320" w:lineRule="auto"/>
      </w:pPr>
      <w:r>
        <w:rPr>
          <w:rFonts w:ascii="Calibri" w:cs="Calibri" w:eastAsia="Calibri" w:hAnsi="Calibri"/>
          <w:color w:val="111827"/>
          <w:sz w:val="20"/>
          <w:szCs w:val="20"/>
        </w:rPr>
        <w:t xml:space="preserve">Best fit: Enterprise Companies (ICP 3) and scaled Product Companies (ICP 1) approaching a funding round or board scrutiny on revenue efficiency. Typical timeline: full 6-month engagement (Diagnostic → Design → Build 1 → Build 2 → Activation → Expansion), matching the phase structure in the Growen Roadmap document exactly.</w:t>
      </w:r>
    </w:p>
    <w:p>
      <w:r>
        <w:br w:type="page"/>
      </w:r>
    </w:p>
    <w:p>
      <w:pPr>
        <w:pStyle w:val="Heading1"/>
        <w:shd w:fill="1B2A4A" w:val="clear"/>
        <w:spacing w:after="160" w:before="480"/>
      </w:pPr>
      <w:r>
        <w:rPr>
          <w:rFonts w:ascii="Calibri" w:cs="Calibri" w:eastAsia="Calibri" w:hAnsi="Calibri"/>
          <w:b/>
          <w:bCs/>
          <w:color w:val="FFFFFF"/>
          <w:sz w:val="32"/>
          <w:szCs w:val="32"/>
        </w:rPr>
        <w:t xml:space="preserve">  7. Tier-Wise Engineering Hours</w:t>
      </w:r>
    </w:p>
    <w:p>
      <w:pPr>
        <w:spacing w:before="40"/>
      </w:pPr>
    </w:p>
    <w:p>
      <w:pPr>
        <w:spacing w:after="60" w:before="60" w:line="320" w:lineRule="auto"/>
      </w:pPr>
      <w:r>
        <w:rPr>
          <w:rFonts w:ascii="Calibri" w:cs="Calibri" w:eastAsia="Calibri" w:hAnsi="Calibri"/>
          <w:color w:val="111827"/>
          <w:sz w:val="20"/>
          <w:szCs w:val="20"/>
        </w:rPr>
        <w:t xml:space="preserve">The hours below are the one-time build allocation for each tier — the work required to design and install the signal engine, separate from the ongoing retainer hours described in Section 11. Hours are shown by role so a delivery lead can staff an engagement correctly and so a pricing conversation can be defended against actual effort, not just a flat fee.</w:t>
      </w:r>
    </w:p>
    <w:p>
      <w:pPr>
        <w:spacing w:before="80"/>
      </w:pPr>
    </w:p>
    <w:p>
      <w:pPr>
        <w:pStyle w:val="Heading3"/>
        <w:spacing w:after="80" w:before="200"/>
      </w:pPr>
      <w:r>
        <w:rPr>
          <w:rFonts w:ascii="Calibri" w:cs="Calibri" w:eastAsia="Calibri" w:hAnsi="Calibri"/>
          <w:b/>
          <w:bCs/>
          <w:color w:val="2D5BA8"/>
          <w:sz w:val="22"/>
          <w:szCs w:val="22"/>
        </w:rPr>
        <w:t xml:space="preserve">Starter — 130 to 180 Hours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Role</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Hours &amp; Scope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Systems Engineer</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65 – 85 hrs — CRM configuration and migration, signal capture and routing build, sequence automation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Automation &amp; Scoring Specialist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40 – 55 hrs — rules-based PQL/lead scoring model, domain clustering logic, signal mapping</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Strategist / Delivery Lead</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25 – 40 hrs — diagnostic, blueprint, persona definition, training, playbook handover</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Total Build Hours</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130 – 180 hrs</w:t>
            </w:r>
          </w:p>
        </w:tc>
      </w:tr>
    </w:tbl>
    <w:p>
      <w:pPr>
        <w:spacing w:before="120"/>
      </w:pPr>
    </w:p>
    <w:p>
      <w:pPr>
        <w:pStyle w:val="Heading3"/>
        <w:spacing w:after="80" w:before="200"/>
      </w:pPr>
      <w:r>
        <w:rPr>
          <w:rFonts w:ascii="Calibri" w:cs="Calibri" w:eastAsia="Calibri" w:hAnsi="Calibri"/>
          <w:b/>
          <w:bCs/>
          <w:color w:val="1A7A6E"/>
          <w:sz w:val="22"/>
          <w:szCs w:val="22"/>
        </w:rPr>
        <w:t xml:space="preserve">Growth — 250 to 350 Hours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Role</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Hours &amp; Scope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Systems Engineer</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 – 140 hrs — CRM/persona expansion, routing logic for multiple personas, referral program build</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AI &amp; Enrichment Specialist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80 – 120 hrs — Clay enrichment pipeline, AI-assisted outreach drafting, health/expansion scoring logic</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Data / Integration Engineer</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35 – 40 hrs — data flow between product, CRM, and enrichment tools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Strategist / Delivery Lead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35 – 50 hrs — blueprint, persona definitions, team enablement, quarterly-cadence setup</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Total Build Hours</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250 – 350 hrs</w:t>
            </w:r>
          </w:p>
        </w:tc>
      </w:tr>
    </w:tbl>
    <w:p>
      <w:pPr>
        <w:spacing w:before="120"/>
      </w:pPr>
    </w:p>
    <w:p>
      <w:pPr>
        <w:pStyle w:val="Heading3"/>
        <w:spacing w:after="80" w:before="200"/>
      </w:pPr>
      <w:r>
        <w:rPr>
          <w:rFonts w:ascii="Calibri" w:cs="Calibri" w:eastAsia="Calibri" w:hAnsi="Calibri"/>
          <w:b/>
          <w:bCs/>
          <w:color w:val="5C2D7A"/>
          <w:sz w:val="22"/>
          <w:szCs w:val="22"/>
        </w:rPr>
        <w:t xml:space="preserve">Scale — 500 to 650 Hours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Role</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Hours &amp; Scope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Revenue Systems Engineer</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180 – 200 hrs — full CRM/RevOps re-architecture, routing, and process enforcement automation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Data &amp; Integration Engineer</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 – 140 hrs — data warehouse, reverse ETL, Customer 360 model, identity resolution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AI &amp; Automation Specialist</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120 – 160 hrs — AI SDR/research agent, conversation intelligence integration, buying committee mapping</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Strategist / Delivery Lead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70 – 100 hrs — blueprint, forecast model design, executive enablement, Month 7–12 roadmap</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QA &amp; Enablement Lead</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30 – 50 hrs — testing, change management, team training, documentation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Total Build Hours</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 – 650 hrs</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C45C00" w:sz="16"/>
              <w:left w:val="thick" w:color="C45C00" w:sz="16"/>
              <w:bottom w:val="single" w:color="C45C00" w:sz="4"/>
              <w:right w:val="single" w:color="C45C00"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C45C00"/>
                <w:sz w:val="20"/>
                <w:szCs w:val="20"/>
              </w:rPr>
              <w:t xml:space="preserve">Blended Rate Check — Flag for Review</w:t>
            </w:r>
          </w:p>
          <w:p>
            <w:pPr>
              <w:spacing w:after="40" w:before="40" w:line="300" w:lineRule="auto"/>
            </w:pPr>
            <w:r>
              <w:rPr>
                <w:rFonts w:ascii="Calibri" w:cs="Calibri" w:eastAsia="Calibri" w:hAnsi="Calibri"/>
                <w:color w:val="111827"/>
                <w:sz w:val="20"/>
                <w:szCs w:val="20"/>
              </w:rPr>
              <w:t xml:space="preserve">Dividing each tier's new price band by its hours band now gives a blended rate of roughly $28–$62/hr at Starter, $29–$80/hr at Growth, and $46–$120/hr at Scale. This is a substantial drop from the $95–$180/hr band this section previously defended, because hours held steady or increased while price was cut. A rate below roughly $80–$100/hr is difficult to defend as skilled revenue-systems and AI engineering work — worth revisiting either the price floor or the hours band before this pricing goes external.</w:t>
            </w:r>
          </w:p>
        </w:tc>
      </w:tr>
    </w:tbl>
    <w:p>
      <w:r>
        <w:br w:type="page"/>
      </w:r>
    </w:p>
    <w:p>
      <w:pPr>
        <w:pStyle w:val="Heading1"/>
        <w:shd w:fill="1B2A4A" w:val="clear"/>
        <w:spacing w:after="160" w:before="480"/>
      </w:pPr>
      <w:r>
        <w:rPr>
          <w:rFonts w:ascii="Calibri" w:cs="Calibri" w:eastAsia="Calibri" w:hAnsi="Calibri"/>
          <w:b/>
          <w:bCs/>
          <w:color w:val="FFFFFF"/>
          <w:sz w:val="32"/>
          <w:szCs w:val="32"/>
        </w:rPr>
        <w:t xml:space="preserve">  8. Tier-Wise Third-Party Tooling Costs</w:t>
      </w:r>
    </w:p>
    <w:p>
      <w:pPr>
        <w:spacing w:before="40"/>
      </w:pPr>
    </w:p>
    <w:p>
      <w:pPr>
        <w:spacing w:after="60" w:before="60" w:line="320" w:lineRule="auto"/>
      </w:pPr>
      <w:r>
        <w:rPr>
          <w:rFonts w:ascii="Calibri" w:cs="Calibri" w:eastAsia="Calibri" w:hAnsi="Calibri"/>
          <w:color w:val="111827"/>
          <w:sz w:val="20"/>
          <w:szCs w:val="20"/>
        </w:rPr>
        <w:t xml:space="preserve">These are the recurring software and API costs required to run each tier's build — separate from Growen's build fee and retainer. Wherever possible, the client should hold these vendor accounts directly, so they own the tool relationship and the underlying data; Growen configures and operates inside them. Where Growen provisions a tool on the client's behalf (e.g., a shared enrichment or AI API account during the build), costs are passed through at cost with no markup.</w:t>
      </w:r>
    </w:p>
    <w:p>
      <w:pPr>
        <w:spacing w:before="80"/>
      </w:pPr>
    </w:p>
    <w:p>
      <w:pPr>
        <w:pStyle w:val="Heading3"/>
        <w:spacing w:after="80" w:before="200"/>
      </w:pPr>
      <w:r>
        <w:rPr>
          <w:rFonts w:ascii="Calibri" w:cs="Calibri" w:eastAsia="Calibri" w:hAnsi="Calibri"/>
          <w:b/>
          <w:bCs/>
          <w:color w:val="2D5BA8"/>
          <w:sz w:val="22"/>
          <w:szCs w:val="22"/>
        </w:rPr>
        <w:t xml:space="preserve">Starter — $150 to $650 / month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Tool / Category</w:t>
            </w:r>
          </w:p>
        </w:tc>
        <w:tc>
          <w:tcPr>
            <w:tcW w:type="dxa" w:w="42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Purpose</w:t>
            </w:r>
          </w:p>
        </w:tc>
        <w:tc>
          <w:tcPr>
            <w:tcW w:type="dxa" w:w="22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Monthly Cost</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CRM subscription</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HubSpot Starter/Professional tier, sized to team seats</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 – $300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Email sending &amp; deliverability</w:t>
            </w:r>
          </w:p>
        </w:tc>
        <w:tc>
          <w:tcPr>
            <w:tcW w:type="dxa" w:w="4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Often bundled with CRM; minor add-on if not</w:t>
            </w:r>
          </w:p>
        </w:tc>
        <w:tc>
          <w:tcPr>
            <w:tcW w:type="dxa" w:w="2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$0 – $200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Contingency / minor licensing</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Form tools, calendar scheduling, etc.</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$50 – $150 / mo</w:t>
            </w:r>
          </w:p>
        </w:tc>
      </w:tr>
    </w:tbl>
    <w:p>
      <w:pPr>
        <w:spacing w:before="120"/>
      </w:pPr>
    </w:p>
    <w:p>
      <w:pPr>
        <w:pStyle w:val="Heading3"/>
        <w:spacing w:after="80" w:before="200"/>
      </w:pPr>
      <w:r>
        <w:rPr>
          <w:rFonts w:ascii="Calibri" w:cs="Calibri" w:eastAsia="Calibri" w:hAnsi="Calibri"/>
          <w:b/>
          <w:bCs/>
          <w:color w:val="1A7A6E"/>
          <w:sz w:val="22"/>
          <w:szCs w:val="22"/>
        </w:rPr>
        <w:t xml:space="preserve">Growth — $1,300 to $2,700 / month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Tool / Category</w:t>
            </w:r>
          </w:p>
        </w:tc>
        <w:tc>
          <w:tcPr>
            <w:tcW w:type="dxa" w:w="42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Purpose</w:t>
            </w:r>
          </w:p>
        </w:tc>
        <w:tc>
          <w:tcPr>
            <w:tcW w:type="dxa" w:w="22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Monthly Cost</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CRM upgrade</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HubSpot Professional / Sales Hub for scoring &amp; automation features</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$800 – $1,500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Enrichment credits</w:t>
            </w:r>
          </w:p>
        </w:tc>
        <w:tc>
          <w:tcPr>
            <w:tcW w:type="dxa" w:w="4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Clay or equivalent — firmographic and contact enrichment</w:t>
            </w:r>
          </w:p>
        </w:tc>
        <w:tc>
          <w:tcPr>
            <w:tcW w:type="dxa" w:w="2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$300 – $700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Outreach/sequencing tool</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Apollo or Instantly for AI-assisted sequence delivery</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 – $250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AI API usage</w:t>
            </w:r>
          </w:p>
        </w:tc>
        <w:tc>
          <w:tcPr>
            <w:tcW w:type="dxa" w:w="4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Claude API for outreach drafting and personalization</w:t>
            </w:r>
          </w:p>
        </w:tc>
        <w:tc>
          <w:tcPr>
            <w:tcW w:type="dxa" w:w="2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 – $250 / mo</w:t>
            </w:r>
          </w:p>
        </w:tc>
      </w:tr>
    </w:tbl>
    <w:p>
      <w:pPr>
        <w:spacing w:before="120"/>
      </w:pPr>
    </w:p>
    <w:p>
      <w:pPr>
        <w:pStyle w:val="Heading3"/>
        <w:spacing w:after="80" w:before="200"/>
      </w:pPr>
      <w:r>
        <w:rPr>
          <w:rFonts w:ascii="Calibri" w:cs="Calibri" w:eastAsia="Calibri" w:hAnsi="Calibri"/>
          <w:b/>
          <w:bCs/>
          <w:color w:val="5C2D7A"/>
          <w:sz w:val="22"/>
          <w:szCs w:val="22"/>
        </w:rPr>
        <w:t xml:space="preserve">Scale — $3,800 to $8,100 / month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Tool / Category</w:t>
            </w:r>
          </w:p>
        </w:tc>
        <w:tc>
          <w:tcPr>
            <w:tcW w:type="dxa" w:w="42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Purpose</w:t>
            </w:r>
          </w:p>
        </w:tc>
        <w:tc>
          <w:tcPr>
            <w:tcW w:type="dxa" w:w="2200"/>
            <w:shd w:fill="1B2A4A" w:val="clear"/>
            <w:tcMar>
              <w:top w:type="dxa" w:w="100"/>
              <w:left w:type="dxa" w:w="140"/>
              <w:bottom w:type="dxa" w:w="100"/>
              <w:right w:type="dxa" w:w="140"/>
            </w:tcMar>
          </w:tcPr>
          <w:p>
            <w:pPr>
              <w:spacing w:line="270" w:lineRule="auto"/>
            </w:pPr>
            <w:r>
              <w:rPr>
                <w:rFonts w:ascii="Calibri" w:cs="Calibri" w:eastAsia="Calibri" w:hAnsi="Calibri"/>
                <w:b/>
                <w:bCs/>
                <w:color w:val="FFFFFF"/>
                <w:sz w:val="17"/>
                <w:szCs w:val="17"/>
              </w:rPr>
              <w:t xml:space="preserve">Monthly Cost</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CRM Enterprise tier</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Salesforce or HubSpot Enterprise for full RevOps architecture</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$1,000 – $2,500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Enrichment (higher volume)</w:t>
            </w:r>
          </w:p>
        </w:tc>
        <w:tc>
          <w:tcPr>
            <w:tcW w:type="dxa" w:w="4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Clay at enterprise account volume</w:t>
            </w:r>
          </w:p>
        </w:tc>
        <w:tc>
          <w:tcPr>
            <w:tcW w:type="dxa" w:w="2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$400 – $1,200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Data warehouse &amp; reverse ETL</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Snowflake/BigQuery + Census/Hightouch</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$1,000 – $2,000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Conversation intelligence</w:t>
            </w:r>
          </w:p>
        </w:tc>
        <w:tc>
          <w:tcPr>
            <w:tcW w:type="dxa" w:w="4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Gong or Chorus for call analysis and coaching</w:t>
            </w:r>
          </w:p>
        </w:tc>
        <w:tc>
          <w:tcPr>
            <w:tcW w:type="dxa" w:w="2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$1,000 – $1,800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AI agent API usage</w:t>
            </w:r>
          </w:p>
        </w:tc>
        <w:tc>
          <w:tcPr>
            <w:tcW w:type="dxa" w:w="4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Claude API at higher volume for research/SDR agent workloads</w:t>
            </w:r>
          </w:p>
        </w:tc>
        <w:tc>
          <w:tcPr>
            <w:tcW w:type="dxa" w:w="2200"/>
            <w:shd w:fill="F4F5F7"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$200 – $600 / mo</w:t>
            </w:r>
          </w:p>
        </w:tc>
      </w:tr>
      <w:tr>
        <w:tc>
          <w:tcPr>
            <w:tcW w:type="dxa" w:w="2800"/>
            <w:shd w:fill="F4F5F7" w:val="clear"/>
            <w:tcMar>
              <w:top w:type="dxa" w:w="100"/>
              <w:left w:type="dxa" w:w="140"/>
              <w:bottom w:type="dxa" w:w="100"/>
              <w:right w:type="dxa" w:w="140"/>
            </w:tcMar>
          </w:tcPr>
          <w:p>
            <w:pPr>
              <w:spacing w:line="270" w:lineRule="auto"/>
            </w:pPr>
            <w:r>
              <w:rPr>
                <w:rFonts w:ascii="Calibri" w:cs="Calibri" w:eastAsia="Calibri" w:hAnsi="Calibri"/>
                <w:b/>
                <w:bCs/>
                <w:color w:val="111827"/>
                <w:sz w:val="17"/>
                <w:szCs w:val="17"/>
              </w:rPr>
              <w:t xml:space="preserve">Commercial ops tooling</w:t>
            </w:r>
          </w:p>
        </w:tc>
        <w:tc>
          <w:tcPr>
            <w:tcW w:type="dxa" w:w="4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PandaDoc/DocuSign for CPQ and contract workflows</w:t>
            </w:r>
          </w:p>
        </w:tc>
        <w:tc>
          <w:tcPr>
            <w:tcW w:type="dxa" w:w="2200"/>
            <w:shd w:fill="FFFFFF" w:val="clear"/>
            <w:tcMar>
              <w:top w:type="dxa" w:w="100"/>
              <w:left w:type="dxa" w:w="140"/>
              <w:bottom w:type="dxa" w:w="100"/>
              <w:right w:type="dxa" w:w="140"/>
            </w:tcMar>
          </w:tcPr>
          <w:p>
            <w:pPr>
              <w:spacing w:line="270" w:lineRule="auto"/>
            </w:pPr>
            <w:r>
              <w:rPr>
                <w:rFonts w:ascii="Calibri" w:cs="Calibri" w:eastAsia="Calibri" w:hAnsi="Calibri"/>
                <w:b w:val="false"/>
                <w:bCs w:val="false"/>
                <w:color w:val="111827"/>
                <w:sz w:val="17"/>
                <w:szCs w:val="17"/>
              </w:rPr>
              <w:t xml:space="preserve">$100 – $300 / mo</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1A7A6E" w:sz="16"/>
              <w:left w:val="thick" w:color="1A7A6E" w:sz="16"/>
              <w:bottom w:val="single" w:color="1A7A6E" w:sz="4"/>
              <w:right w:val="single" w:color="1A7A6E"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1A7A6E"/>
                <w:sz w:val="20"/>
                <w:szCs w:val="20"/>
              </w:rPr>
              <w:t xml:space="preserve">Who Pays for What</w:t>
            </w:r>
          </w:p>
          <w:p>
            <w:pPr>
              <w:spacing w:after="40" w:before="40" w:line="300" w:lineRule="auto"/>
            </w:pPr>
            <w:r>
              <w:rPr>
                <w:rFonts w:ascii="Calibri" w:cs="Calibri" w:eastAsia="Calibri" w:hAnsi="Calibri"/>
                <w:color w:val="111827"/>
                <w:sz w:val="20"/>
                <w:szCs w:val="20"/>
              </w:rPr>
              <w:t xml:space="preserve">Growen's build fee and retainer cover engineering time and system design. Third-party tool costs are the client's operating cost of running the resulting infrastructure, the same way a company pays for its CRM whether or not Growen is involved. Framing this explicitly up front — rather than letting a client discover it after signing — avoids a credibility gap later and makes the tier pricing table an honest total cost of ownership, not just Growen's fee.</w:t>
            </w:r>
          </w:p>
        </w:tc>
      </w:tr>
    </w:tbl>
    <w:p>
      <w:r>
        <w:br w:type="page"/>
      </w:r>
    </w:p>
    <w:p>
      <w:pPr>
        <w:pStyle w:val="Heading1"/>
        <w:shd w:fill="1B2A4A" w:val="clear"/>
        <w:spacing w:after="160" w:before="480"/>
      </w:pPr>
      <w:r>
        <w:rPr>
          <w:rFonts w:ascii="Calibri" w:cs="Calibri" w:eastAsia="Calibri" w:hAnsi="Calibri"/>
          <w:b/>
          <w:bCs/>
          <w:color w:val="FFFFFF"/>
          <w:sz w:val="32"/>
          <w:szCs w:val="32"/>
        </w:rPr>
        <w:t xml:space="preserve">  9. Tier-Wise ROI</w:t>
      </w:r>
    </w:p>
    <w:p>
      <w:pPr>
        <w:spacing w:before="40"/>
      </w:pPr>
    </w:p>
    <w:p>
      <w:pPr>
        <w:spacing w:after="60" w:before="60" w:line="320" w:lineRule="auto"/>
      </w:pPr>
      <w:r>
        <w:rPr>
          <w:rFonts w:ascii="Calibri" w:cs="Calibri" w:eastAsia="Calibri" w:hAnsi="Calibri"/>
          <w:color w:val="111827"/>
          <w:sz w:val="20"/>
          <w:szCs w:val="20"/>
        </w:rPr>
        <w:t xml:space="preserve">ROI below is calculated against total Year-1 investment — the one-time build fee, 12 months of retainer, and 12 months of third-party tooling cost, all at the midpoint of each tier's price band — compared to Growen's benchmark incremental revenue range for a client at that tier's typical baseline size. These are illustrative targets confirmed and calibrated during the Month 1 Diagnostic, not guarantees; actual results depend on the client's starting infrastructure maturity, market, and adoption.</w:t>
      </w:r>
    </w:p>
    <w:p>
      <w:pPr>
        <w:spacing w:before="80"/>
      </w:pPr>
    </w:p>
    <w:p>
      <w:pPr>
        <w:pStyle w:val="Heading3"/>
        <w:spacing w:after="80" w:before="200"/>
      </w:pPr>
      <w:r>
        <w:rPr>
          <w:rFonts w:ascii="Calibri" w:cs="Calibri" w:eastAsia="Calibri" w:hAnsi="Calibri"/>
          <w:b/>
          <w:bCs/>
          <w:color w:val="2D5BA8"/>
          <w:sz w:val="22"/>
          <w:szCs w:val="22"/>
        </w:rPr>
        <w:t xml:space="preserve">Starter — Illustrative ROI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Metric</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Value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Typical client baseline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$500K – $1M annual revenue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Incremental annual revenue (conservative – aggressive)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$180,000 – $480,000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Build</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$5,000 – $8,000 (midpoint $6,500)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Retainer (×12)</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$6,000 – $9,600 (midpoint $7,800)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3rd-party tools (×12)</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$2,400 – $4,800 (midpoint $3,600)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Total Year-1 investment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 $17,900 (midpoint)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ROI multiple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10x – 27x</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Payback period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 – 2 months</w:t>
            </w:r>
          </w:p>
        </w:tc>
      </w:tr>
    </w:tbl>
    <w:p>
      <w:pPr>
        <w:spacing w:before="120"/>
      </w:pPr>
    </w:p>
    <w:p>
      <w:pPr>
        <w:pStyle w:val="Heading3"/>
        <w:spacing w:after="80" w:before="200"/>
      </w:pPr>
      <w:r>
        <w:rPr>
          <w:rFonts w:ascii="Calibri" w:cs="Calibri" w:eastAsia="Calibri" w:hAnsi="Calibri"/>
          <w:b/>
          <w:bCs/>
          <w:color w:val="1A7A6E"/>
          <w:sz w:val="22"/>
          <w:szCs w:val="22"/>
        </w:rPr>
        <w:t xml:space="preserve">Growth — Illustrative ROI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Metric</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Value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Typical client baseline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$8M – $25M annual revenue / ARR</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Incremental annual revenue (conservative – aggressive)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$350,000 – $900,000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Build</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$10,000 – $20,000 (midpoint $15,000)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Retainer (×12)</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$14,400 – $18,000 (midpoint $16,200)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3rd-party tools (×12)</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$12,000 – $24,000 (midpoint $18,000)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Total Year-1 investment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 $49,200 (midpoint)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ROI multiple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7x – 18x</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Payback period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 – 2 months</w:t>
            </w:r>
          </w:p>
        </w:tc>
      </w:tr>
    </w:tbl>
    <w:p>
      <w:pPr>
        <w:spacing w:before="120"/>
      </w:pPr>
    </w:p>
    <w:p>
      <w:pPr>
        <w:pStyle w:val="Heading3"/>
        <w:spacing w:after="80" w:before="200"/>
      </w:pPr>
      <w:r>
        <w:rPr>
          <w:rFonts w:ascii="Calibri" w:cs="Calibri" w:eastAsia="Calibri" w:hAnsi="Calibri"/>
          <w:b/>
          <w:bCs/>
          <w:color w:val="5C2D7A"/>
          <w:sz w:val="22"/>
          <w:szCs w:val="22"/>
        </w:rPr>
        <w:t xml:space="preserve">Scale — Illustrative ROI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Metric</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Value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Typical client baseline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$30M – $100M ARR</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Incremental annual revenue (conservative – aggressive)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$1,000,000 – $2,300,000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Build</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$30,000 – $60,000 (midpoint $45,000)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Retainer (×12)</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$18,000 – $30,000 (midpoint $24,000)</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Year-1 investment — 3rd-party tools (×12)</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$30,000 – $30,000+ (using the $2,500+/mo summary floor)</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Total Year-1 investment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 $99,000 (midpoint)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ROI multiple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10x – 23x</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Payback period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 – 3 months</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2A4A" w:val="clear"/>
            <w:tcMar>
              <w:top w:type="dxa" w:w="160"/>
              <w:left w:type="dxa" w:w="160"/>
              <w:bottom w:type="dxa" w:w="160"/>
              <w:right w:type="dxa" w:w="160"/>
            </w:tcMar>
          </w:tcPr>
          <w:p>
            <w:pPr>
              <w:jc w:val="center"/>
            </w:pPr>
            <w:r>
              <w:rPr>
                <w:rFonts w:ascii="Calibri" w:cs="Calibri" w:eastAsia="Calibri" w:hAnsi="Calibri"/>
                <w:b/>
                <w:bCs/>
                <w:color w:val="FFFFFF"/>
                <w:sz w:val="44"/>
                <w:szCs w:val="44"/>
              </w:rPr>
              <w:t xml:space="preserve">10–27x</w:t>
            </w:r>
          </w:p>
          <w:p>
            <w:pPr>
              <w:spacing w:before="20"/>
              <w:jc w:val="center"/>
            </w:pPr>
            <w:r>
              <w:rPr>
                <w:rFonts w:ascii="Calibri" w:cs="Calibri" w:eastAsia="Calibri" w:hAnsi="Calibri"/>
                <w:color w:val="B8C9E8"/>
                <w:sz w:val="16"/>
                <w:szCs w:val="16"/>
              </w:rPr>
              <w:t xml:space="preserve">Starter
Year-1 ROI multiple</w:t>
            </w:r>
          </w:p>
        </w:tc>
        <w:tc>
          <w:tcPr>
            <w:tcW w:type="dxa" w:w="3066"/>
            <w:shd w:fill="1B2A4A" w:val="clear"/>
            <w:tcMar>
              <w:top w:type="dxa" w:w="160"/>
              <w:left w:type="dxa" w:w="160"/>
              <w:bottom w:type="dxa" w:w="160"/>
              <w:right w:type="dxa" w:w="160"/>
            </w:tcMar>
          </w:tcPr>
          <w:p>
            <w:pPr>
              <w:jc w:val="center"/>
            </w:pPr>
            <w:r>
              <w:rPr>
                <w:rFonts w:ascii="Calibri" w:cs="Calibri" w:eastAsia="Calibri" w:hAnsi="Calibri"/>
                <w:b/>
                <w:bCs/>
                <w:color w:val="FFFFFF"/>
                <w:sz w:val="44"/>
                <w:szCs w:val="44"/>
              </w:rPr>
              <w:t xml:space="preserve">7–18x</w:t>
            </w:r>
          </w:p>
          <w:p>
            <w:pPr>
              <w:spacing w:before="20"/>
              <w:jc w:val="center"/>
            </w:pPr>
            <w:r>
              <w:rPr>
                <w:rFonts w:ascii="Calibri" w:cs="Calibri" w:eastAsia="Calibri" w:hAnsi="Calibri"/>
                <w:color w:val="B8C9E8"/>
                <w:sz w:val="16"/>
                <w:szCs w:val="16"/>
              </w:rPr>
              <w:t xml:space="preserve">Growth
Year-1 ROI multiple</w:t>
            </w:r>
          </w:p>
        </w:tc>
        <w:tc>
          <w:tcPr>
            <w:tcW w:type="dxa" w:w="3066"/>
            <w:shd w:fill="1B2A4A" w:val="clear"/>
            <w:tcMar>
              <w:top w:type="dxa" w:w="160"/>
              <w:left w:type="dxa" w:w="160"/>
              <w:bottom w:type="dxa" w:w="160"/>
              <w:right w:type="dxa" w:w="160"/>
            </w:tcMar>
          </w:tcPr>
          <w:p>
            <w:pPr>
              <w:jc w:val="center"/>
            </w:pPr>
            <w:r>
              <w:rPr>
                <w:rFonts w:ascii="Calibri" w:cs="Calibri" w:eastAsia="Calibri" w:hAnsi="Calibri"/>
                <w:b/>
                <w:bCs/>
                <w:color w:val="FFFFFF"/>
                <w:sz w:val="44"/>
                <w:szCs w:val="44"/>
              </w:rPr>
              <w:t xml:space="preserve">10–23x</w:t>
            </w:r>
          </w:p>
          <w:p>
            <w:pPr>
              <w:spacing w:before="20"/>
              <w:jc w:val="center"/>
            </w:pPr>
            <w:r>
              <w:rPr>
                <w:rFonts w:ascii="Calibri" w:cs="Calibri" w:eastAsia="Calibri" w:hAnsi="Calibri"/>
                <w:color w:val="B8C9E8"/>
                <w:sz w:val="16"/>
                <w:szCs w:val="16"/>
              </w:rPr>
              <w:t xml:space="preserve">Scale
Year-1 ROI multiple</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C45C00" w:sz="16"/>
              <w:left w:val="thick" w:color="C45C00" w:sz="16"/>
              <w:bottom w:val="single" w:color="C45C00" w:sz="4"/>
              <w:right w:val="single" w:color="C45C00"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C45C00"/>
                <w:sz w:val="20"/>
                <w:szCs w:val="20"/>
              </w:rPr>
              <w:t xml:space="preserve">Why These Multiples Jumped From the Previous Draft</w:t>
            </w:r>
          </w:p>
          <w:p>
            <w:pPr>
              <w:spacing w:after="40" w:before="40" w:line="300" w:lineRule="auto"/>
            </w:pPr>
            <w:r>
              <w:rPr>
                <w:rFonts w:ascii="Calibri" w:cs="Calibri" w:eastAsia="Calibri" w:hAnsi="Calibri"/>
                <w:color w:val="111827"/>
                <w:sz w:val="20"/>
                <w:szCs w:val="20"/>
              </w:rPr>
              <w:t xml:space="preserve">These ROI multiples are recalculated against the current, lower build and retainer pricing — they are meaningfully higher than in the previous draft because total Year-1 investment dropped faster than the underlying revenue-impact estimates did. Read this alongside the Blended Rate Check flag in Section 7: the same price cut that pushed these ROI multiples up also pushed the effective hourly rate down to a level that may be hard to defend internally. A very high ROI multiple is a good sales input but can also signal the tier is now underpriced relative to the value being claimed — worth a final sanity check before this goes external.</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C45C00" w:sz="16"/>
              <w:left w:val="thick" w:color="C45C00" w:sz="16"/>
              <w:bottom w:val="single" w:color="C45C00" w:sz="4"/>
              <w:right w:val="single" w:color="C45C00"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C45C00"/>
                <w:sz w:val="20"/>
                <w:szCs w:val="20"/>
              </w:rPr>
              <w:t xml:space="preserve">Why Scale's Multiple Isn't Automatically the Best Argument</w:t>
            </w:r>
          </w:p>
          <w:p>
            <w:pPr>
              <w:spacing w:after="40" w:before="40" w:line="300" w:lineRule="auto"/>
            </w:pPr>
            <w:r>
              <w:rPr>
                <w:rFonts w:ascii="Calibri" w:cs="Calibri" w:eastAsia="Calibri" w:hAnsi="Calibri"/>
                <w:color w:val="111827"/>
                <w:sz w:val="20"/>
                <w:szCs w:val="20"/>
              </w:rPr>
              <w:t xml:space="preserve">Even after recalculation, Scale's multiple should not be quoted to a Starter- or Growth-fit prospect — it reflects a much larger revenue base, so the same percentage of pipeline improvement produces a much larger absolute dollar return. Use each tier's own multiple against its own typical baseline; use Scale's multiple only against Enterprise-scale prospects where the underlying baseline actually supports it.</w:t>
            </w:r>
          </w:p>
        </w:tc>
      </w:tr>
    </w:tbl>
    <w:p>
      <w:r>
        <w:br w:type="page"/>
      </w:r>
    </w:p>
    <w:p>
      <w:pPr>
        <w:pStyle w:val="Heading1"/>
        <w:shd w:fill="1B2A4A" w:val="clear"/>
        <w:spacing w:after="160" w:before="480"/>
      </w:pPr>
      <w:r>
        <w:rPr>
          <w:rFonts w:ascii="Calibri" w:cs="Calibri" w:eastAsia="Calibri" w:hAnsi="Calibri"/>
          <w:b/>
          <w:bCs/>
          <w:color w:val="FFFFFF"/>
          <w:sz w:val="32"/>
          <w:szCs w:val="32"/>
        </w:rPr>
        <w:t xml:space="preserve">  10. Tier × ICP Fit Matrix</w:t>
      </w:r>
    </w:p>
    <w:p>
      <w:pPr>
        <w:spacing w:before="40"/>
      </w:pPr>
    </w:p>
    <w:p>
      <w:pPr>
        <w:spacing w:after="60" w:before="60" w:line="320" w:lineRule="auto"/>
      </w:pPr>
      <w:r>
        <w:rPr>
          <w:rFonts w:ascii="Calibri" w:cs="Calibri" w:eastAsia="Calibri" w:hAnsi="Calibri"/>
          <w:color w:val="111827"/>
          <w:sz w:val="20"/>
          <w:szCs w:val="20"/>
        </w:rPr>
        <w:t xml:space="preserve">Use this to steer a discovery call toward the right tier before quoting anything. ● = strong default fit   ◐ = viable, often as an entry point to the next tier up   ○ = possible but uncommon.</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800"/>
            <w:shd w:fill="1B2A4A" w:val="clear"/>
            <w:tcMar>
              <w:top w:type="dxa" w:w="100"/>
              <w:left w:type="dxa" w:w="140"/>
              <w:bottom w:type="dxa" w:w="100"/>
              <w:right w:type="dxa" w:w="140"/>
            </w:tcMar>
            <w:vAlign w:val="center"/>
          </w:tcPr>
          <w:p>
            <w:pPr>
              <w:jc w:val="left"/>
            </w:pPr>
            <w:r>
              <w:rPr>
                <w:rFonts w:ascii="Calibri" w:cs="Calibri" w:eastAsia="Calibri" w:hAnsi="Calibri"/>
                <w:b/>
                <w:bCs/>
                <w:color w:val="FFFFFF"/>
                <w:sz w:val="17"/>
                <w:szCs w:val="17"/>
              </w:rPr>
              <w:t xml:space="preserve">ICP</w:t>
            </w:r>
          </w:p>
        </w:tc>
        <w:tc>
          <w:tcPr>
            <w:tcW w:type="dxa" w:w="1800"/>
            <w:shd w:fill="1B2A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Starter
50%</w:t>
            </w:r>
          </w:p>
        </w:tc>
        <w:tc>
          <w:tcPr>
            <w:tcW w:type="dxa" w:w="1800"/>
            <w:shd w:fill="1B2A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Growth
75%</w:t>
            </w:r>
          </w:p>
        </w:tc>
        <w:tc>
          <w:tcPr>
            <w:tcW w:type="dxa" w:w="1800"/>
            <w:shd w:fill="1B2A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Scale
100%</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ICP 1 — Product Companies (PLG/ELG SaaS)</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ICP 2 — Service Companies (Agencies, Firms)</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r>
      <w:tr>
        <w:tc>
          <w:tcPr>
            <w:tcW w:type="dxa" w:w="3800"/>
            <w:shd w:fill="F4F5F7"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ICP 3 — Enterprise Companies ($10M–$500M ARR)</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4F5F7"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r>
      <w:tr>
        <w:tc>
          <w:tcPr>
            <w:tcW w:type="dxa" w:w="3800"/>
            <w:shd w:fill="FFFFFF" w:val="clear"/>
            <w:tcMar>
              <w:top w:type="dxa" w:w="90"/>
              <w:left w:type="dxa" w:w="140"/>
              <w:bottom w:type="dxa" w:w="90"/>
              <w:right w:type="dxa" w:w="140"/>
            </w:tcMar>
            <w:vAlign w:val="center"/>
          </w:tcPr>
          <w:p>
            <w:pPr>
              <w:spacing w:line="260" w:lineRule="auto"/>
              <w:jc w:val="left"/>
            </w:pPr>
            <w:r>
              <w:rPr>
                <w:rFonts w:ascii="Calibri" w:cs="Calibri" w:eastAsia="Calibri" w:hAnsi="Calibri"/>
                <w:b/>
                <w:bCs/>
                <w:color w:val="111827"/>
                <w:sz w:val="17"/>
                <w:szCs w:val="17"/>
              </w:rPr>
              <w:t xml:space="preserve">ICP 4 — Traditional Businesses</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1A7A3E"/>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C45C00"/>
                <w:sz w:val="17"/>
                <w:szCs w:val="17"/>
              </w:rPr>
              <w:t xml:space="preserve">◐</w:t>
            </w:r>
          </w:p>
        </w:tc>
        <w:tc>
          <w:tcPr>
            <w:tcW w:type="dxa" w:w="1800"/>
            <w:shd w:fill="FFFFFF" w:val="clear"/>
            <w:tcMar>
              <w:top w:type="dxa" w:w="90"/>
              <w:left w:type="dxa" w:w="140"/>
              <w:bottom w:type="dxa" w:w="90"/>
              <w:right w:type="dxa" w:w="140"/>
            </w:tcMar>
            <w:vAlign w:val="center"/>
          </w:tcPr>
          <w:p>
            <w:pPr>
              <w:spacing w:line="260" w:lineRule="auto"/>
              <w:jc w:val="center"/>
            </w:pPr>
            <w:r>
              <w:rPr>
                <w:rFonts w:ascii="Calibri" w:cs="Calibri" w:eastAsia="Calibri" w:hAnsi="Calibri"/>
                <w:b w:val="false"/>
                <w:bCs w:val="false"/>
                <w:color w:val="6B7280"/>
                <w:sz w:val="17"/>
                <w:szCs w:val="17"/>
              </w:rPr>
              <w:t xml:space="preserve">○</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1A7A6E" w:sz="16"/>
              <w:left w:val="thick" w:color="1A7A6E" w:sz="16"/>
              <w:bottom w:val="single" w:color="1A7A6E" w:sz="4"/>
              <w:right w:val="single" w:color="1A7A6E"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1A7A6E"/>
                <w:sz w:val="20"/>
                <w:szCs w:val="20"/>
              </w:rPr>
              <w:t xml:space="preserve">Reading the Matrix</w:t>
            </w:r>
          </w:p>
          <w:p>
            <w:pPr>
              <w:spacing w:after="40" w:before="40" w:line="300" w:lineRule="auto"/>
            </w:pPr>
            <w:r>
              <w:rPr>
                <w:rFonts w:ascii="Calibri" w:cs="Calibri" w:eastAsia="Calibri" w:hAnsi="Calibri"/>
                <w:color w:val="111827"/>
                <w:sz w:val="20"/>
                <w:szCs w:val="20"/>
              </w:rPr>
              <w:t xml:space="preserve">Product Companies most often land in Growth because completing the Score layer with enrichment is the actual PLG wedge; Starter's scoring engine is a strong entry point but Scale is usually premature pre-Series B. Enterprise Companies default to Scale because a fragmented, multi-tool revenue operation needs all ten GRIF layers unified before ELG signal (buying-committee behavior, account expansion) can be acted on reliably — Growth is a viable entry engagement for an Enterprise account not yet ready to commit to the full build. Service and Traditional Businesses most often start at Starter — getting a real scoring engine live immediately, not just a CRM — and graduate to Growth once that foundation is trusted and adopted.</w:t>
            </w:r>
          </w:p>
        </w:tc>
      </w:tr>
    </w:tbl>
    <w:p>
      <w:r>
        <w:br w:type="page"/>
      </w:r>
    </w:p>
    <w:p>
      <w:pPr>
        <w:pStyle w:val="Heading1"/>
        <w:shd w:fill="1B2A4A" w:val="clear"/>
        <w:spacing w:after="160" w:before="480"/>
      </w:pPr>
      <w:r>
        <w:rPr>
          <w:rFonts w:ascii="Calibri" w:cs="Calibri" w:eastAsia="Calibri" w:hAnsi="Calibri"/>
          <w:b/>
          <w:bCs/>
          <w:color w:val="FFFFFF"/>
          <w:sz w:val="32"/>
          <w:szCs w:val="32"/>
        </w:rPr>
        <w:t xml:space="preserve">  11. Add-Ons, Retainers &amp; Upgrade Path</w:t>
      </w:r>
    </w:p>
    <w:p>
      <w:pPr>
        <w:spacing w:before="40"/>
      </w:pPr>
    </w:p>
    <w:p>
      <w:pPr>
        <w:pStyle w:val="Heading2"/>
        <w:spacing w:after="100" w:before="280"/>
      </w:pPr>
      <w:r>
        <w:rPr>
          <w:rFonts w:ascii="Calibri" w:cs="Calibri" w:eastAsia="Calibri" w:hAnsi="Calibri"/>
          <w:b/>
          <w:bCs/>
          <w:color w:val="1B2A4A"/>
          <w:sz w:val="26"/>
          <w:szCs w:val="26"/>
        </w:rPr>
        <w:t xml:space="preserve">Standalone Add-Ons (Any Tier)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Add-On</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Price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Additional ICP/persona build-out</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$500 – $600 per persona, added to any tier</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Conversation intelligence integration (Gong/Chorus)</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$1,000 – $2,000 — available as a Growth add-on ahead of a full Scale upgrade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AI SDR / autonomous outbound agent</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$4,000 – $6,000 — available as a Growth add-on ahead of a full Scale upgrade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Data warehouse &amp; Customer 360 build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$6,000 – $10,000 — available as a Growth add-on ahead of a full Scale upgrade</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Additional CLE/bar-association or referral-network integration (LegalTech-style verticals)</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$1,200 – $2,000</w:t>
            </w:r>
          </w:p>
        </w:tc>
      </w:tr>
    </w:tbl>
    <w:p>
      <w:pPr>
        <w:spacing w:before="120"/>
      </w:pPr>
    </w:p>
    <w:p>
      <w:pPr>
        <w:pStyle w:val="Heading2"/>
        <w:spacing w:after="100" w:before="280"/>
      </w:pPr>
      <w:r>
        <w:rPr>
          <w:rFonts w:ascii="Calibri" w:cs="Calibri" w:eastAsia="Calibri" w:hAnsi="Calibri"/>
          <w:b/>
          <w:bCs/>
          <w:color w:val="1B2A4A"/>
          <w:sz w:val="26"/>
          <w:szCs w:val="26"/>
        </w:rPr>
        <w:t xml:space="preserve">Ongoing Retainer — What the Client Is Actually Paying For</w:t>
      </w:r>
    </w:p>
    <w:p>
      <w:pPr>
        <w:spacing w:after="60" w:before="60" w:line="320" w:lineRule="auto"/>
      </w:pPr>
      <w:r>
        <w:rPr>
          <w:rFonts w:ascii="Calibri" w:cs="Calibri" w:eastAsia="Calibri" w:hAnsi="Calibri"/>
          <w:color w:val="111827"/>
          <w:sz w:val="20"/>
          <w:szCs w:val="20"/>
        </w:rPr>
        <w:t xml:space="preserve">Every tier transitions to a monthly retainer once the initial build is complete. The retainer is not a maintenance fee for leaving a system alone — it is priced against a defined block of Growen's engineering and revenue-strategy time each month, spent keeping the signal engine tuned as the client's market, product, and pipeline change. The itemized scope below is what should be quoted and defended in a pricing conversation, not just the dollar figure.</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C45C00" w:sz="16"/>
              <w:left w:val="thick" w:color="C45C00" w:sz="16"/>
              <w:bottom w:val="single" w:color="C45C00" w:sz="4"/>
              <w:right w:val="single" w:color="C45C00"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C45C00"/>
                <w:sz w:val="20"/>
                <w:szCs w:val="20"/>
              </w:rPr>
              <w:t xml:space="preserve">Why This Isn't Just "Leaving the System Running"</w:t>
            </w:r>
          </w:p>
          <w:p>
            <w:pPr>
              <w:spacing w:after="40" w:before="40" w:line="300" w:lineRule="auto"/>
            </w:pPr>
            <w:r>
              <w:rPr>
                <w:rFonts w:ascii="Calibri" w:cs="Calibri" w:eastAsia="Calibri" w:hAnsi="Calibri"/>
                <w:color w:val="111827"/>
                <w:sz w:val="20"/>
                <w:szCs w:val="20"/>
              </w:rPr>
              <w:t xml:space="preserve">A PLG/ELG signal engine degrades without active tuning: scoring models drift as conversion patterns change, enrichment data goes stale, new signal sources appear that the system doesn't know about yet, and AI-drafted content needs continual quality review. The retainer is Growen staying in the system as a fractional revenue-systems team, not a subscription fee for software that runs itself.</w:t>
            </w:r>
          </w:p>
        </w:tc>
      </w:tr>
    </w:tbl>
    <w:p>
      <w:pPr>
        <w:spacing w:before="80"/>
      </w:pPr>
    </w:p>
    <w:p>
      <w:pPr>
        <w:pStyle w:val="Heading3"/>
        <w:spacing w:after="80" w:before="200"/>
      </w:pPr>
      <w:r>
        <w:rPr>
          <w:rFonts w:ascii="Calibri" w:cs="Calibri" w:eastAsia="Calibri" w:hAnsi="Calibri"/>
          <w:b/>
          <w:bCs/>
          <w:color w:val="2D5BA8"/>
          <w:sz w:val="22"/>
          <w:szCs w:val="22"/>
        </w:rPr>
        <w:t xml:space="preserve">Starter Retainer — $500 – $800/month</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Up to 10–12 hours/month of hands-on system administration</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Monthly 30-minute performance review call with a one-page report: scored pipeline health, follow-up completion rate, response rate by sequence</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Monthly scoring-model review — checking the rules-based model against the prior month's actual conversion outcomes</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Up to 2 minor automation adjustments/month (e.g., a new signal source added, SLA timing changed, sequence copy refreshed)</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CRM field-hygiene check and cleanup pass</w:t>
      </w:r>
    </w:p>
    <w:p>
      <w:pPr>
        <w:spacing w:after="36" w:before="36" w:line="290" w:lineRule="auto"/>
        <w:ind w:left="360" w:hanging="260"/>
      </w:pPr>
      <w:r>
        <w:rPr>
          <w:rFonts w:ascii="Calibri" w:cs="Calibri" w:eastAsia="Calibri" w:hAnsi="Calibri"/>
          <w:b/>
          <w:bCs/>
          <w:color w:val="2D5BA8"/>
          <w:sz w:val="19"/>
          <w:szCs w:val="19"/>
        </w:rPr>
        <w:t xml:space="preserve">✓  </w:t>
      </w:r>
      <w:r>
        <w:rPr>
          <w:rFonts w:ascii="Calibri" w:cs="Calibri" w:eastAsia="Calibri" w:hAnsi="Calibri"/>
          <w:color w:val="111827"/>
          <w:sz w:val="19"/>
          <w:szCs w:val="19"/>
        </w:rPr>
        <w:t xml:space="preserve">Email/Slack support, 2-business-day response SLA</w:t>
      </w:r>
    </w:p>
    <w:p>
      <w:pPr>
        <w:spacing w:after="60" w:before="60" w:line="320" w:lineRule="auto"/>
      </w:pPr>
      <w:r>
        <w:rPr>
          <w:rFonts w:ascii="Calibri" w:cs="Calibri" w:eastAsia="Calibri" w:hAnsi="Calibri"/>
          <w:color w:val="111827"/>
          <w:sz w:val="20"/>
          <w:szCs w:val="20"/>
        </w:rPr>
        <w:t xml:space="preserve">Not included: enrichment pipeline management, AI-drafted content, or persona expansion — these are Growth-tier or add-on scope, quoted separately if the client isn't ready to upgrade the full tier.</w:t>
      </w:r>
    </w:p>
    <w:p>
      <w:pPr>
        <w:spacing w:before="80"/>
      </w:pPr>
    </w:p>
    <w:p>
      <w:pPr>
        <w:pStyle w:val="Heading3"/>
        <w:spacing w:after="80" w:before="200"/>
      </w:pPr>
      <w:r>
        <w:rPr>
          <w:rFonts w:ascii="Calibri" w:cs="Calibri" w:eastAsia="Calibri" w:hAnsi="Calibri"/>
          <w:b/>
          <w:bCs/>
          <w:color w:val="1A7A6E"/>
          <w:sz w:val="22"/>
          <w:szCs w:val="22"/>
        </w:rPr>
        <w:t xml:space="preserve">Growth Retainer — $1,200 – $1,500/month</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Up to 15–20 hours/month of dedicated revenue-systems engineering time</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Monthly scoring-model AND enrichment-pipeline review, retuned against the prior month's actual conversion data — this is the core justification for the price step-up from Starter</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Enrichment data refresh: weekly for actively engaged accounts, full re-run quarterly across the base</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One new sequence or messaging variant tested per month (A/B cycle), with results reviewed at the monthly call</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Quarterly persona/ICP definition refinement as the client's market or product evolves</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Monthly reporting review plus one quarterly strategy session with a Growen revenue architect</w:t>
      </w:r>
    </w:p>
    <w:p>
      <w:pPr>
        <w:spacing w:after="36" w:before="36" w:line="290" w:lineRule="auto"/>
        <w:ind w:left="360" w:hanging="260"/>
      </w:pPr>
      <w:r>
        <w:rPr>
          <w:rFonts w:ascii="Calibri" w:cs="Calibri" w:eastAsia="Calibri" w:hAnsi="Calibri"/>
          <w:b/>
          <w:bCs/>
          <w:color w:val="1A7A6E"/>
          <w:sz w:val="19"/>
          <w:szCs w:val="19"/>
        </w:rPr>
        <w:t xml:space="preserve">✓  </w:t>
      </w:r>
      <w:r>
        <w:rPr>
          <w:rFonts w:ascii="Calibri" w:cs="Calibri" w:eastAsia="Calibri" w:hAnsi="Calibri"/>
          <w:color w:val="111827"/>
          <w:sz w:val="19"/>
          <w:szCs w:val="19"/>
        </w:rPr>
        <w:t xml:space="preserve">Priority email/Slack support, 1-business-day response SLA</w:t>
      </w:r>
    </w:p>
    <w:p>
      <w:pPr>
        <w:spacing w:after="60" w:before="60" w:line="320" w:lineRule="auto"/>
      </w:pPr>
      <w:r>
        <w:rPr>
          <w:rFonts w:ascii="Calibri" w:cs="Calibri" w:eastAsia="Calibri" w:hAnsi="Calibri"/>
          <w:color w:val="111827"/>
          <w:sz w:val="20"/>
          <w:szCs w:val="20"/>
        </w:rPr>
        <w:t xml:space="preserve">Not included: net-new GRIF layers (e.g., adding conversation intelligence or a data warehouse) — these are Scale-tier scope or a priced add-on from the table above.</w:t>
      </w:r>
    </w:p>
    <w:p>
      <w:pPr>
        <w:spacing w:before="80"/>
      </w:pPr>
    </w:p>
    <w:p>
      <w:pPr>
        <w:pStyle w:val="Heading3"/>
        <w:spacing w:after="80" w:before="200"/>
      </w:pPr>
      <w:r>
        <w:rPr>
          <w:rFonts w:ascii="Calibri" w:cs="Calibri" w:eastAsia="Calibri" w:hAnsi="Calibri"/>
          <w:b/>
          <w:bCs/>
          <w:color w:val="5C2D7A"/>
          <w:sz w:val="22"/>
          <w:szCs w:val="22"/>
        </w:rPr>
        <w:t xml:space="preserve">Scale Retainer — $1,500 – $2,500/month</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Up to 30+ hours/month of dedicated revenue-systems engineering — effectively a fractional systems team, not a support contract</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Full health monitoring across all 10 GRIF layers: data pipeline uptime, AI agent output quality, integration health, scoring drift</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Quarterly forecast-model recalibration against actual closed-deal data</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Monthly buying-committee data refresh for active enterprise opportunities</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Ongoing AI agent tuning — SDR/research agent prompts and workflows updated as new patterns and objections emerge</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One scoping conversation per quarter for the next highest-leverage GRIF layer (Month 7–12 expansion candidates)</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Dedicated Slack channel with same-business-day response SLA</w:t>
      </w:r>
    </w:p>
    <w:p>
      <w:pPr>
        <w:spacing w:after="36" w:before="36" w:line="290" w:lineRule="auto"/>
        <w:ind w:left="360" w:hanging="260"/>
      </w:pPr>
      <w:r>
        <w:rPr>
          <w:rFonts w:ascii="Calibri" w:cs="Calibri" w:eastAsia="Calibri" w:hAnsi="Calibri"/>
          <w:b/>
          <w:bCs/>
          <w:color w:val="5C2D7A"/>
          <w:sz w:val="19"/>
          <w:szCs w:val="19"/>
        </w:rPr>
        <w:t xml:space="preserve">✓  </w:t>
      </w:r>
      <w:r>
        <w:rPr>
          <w:rFonts w:ascii="Calibri" w:cs="Calibri" w:eastAsia="Calibri" w:hAnsi="Calibri"/>
          <w:color w:val="111827"/>
          <w:sz w:val="19"/>
          <w:szCs w:val="19"/>
        </w:rPr>
        <w:t xml:space="preserve">Quarterly Executive Business Review — Growen presents performance against the original baseline metrics to the client's leadership</w:t>
      </w:r>
    </w:p>
    <w:p>
      <w:pPr>
        <w:spacing w:after="60" w:before="60" w:line="320" w:lineRule="auto"/>
      </w:pPr>
      <w:r>
        <w:rPr>
          <w:rFonts w:ascii="Calibri" w:cs="Calibri" w:eastAsia="Calibri" w:hAnsi="Calibri"/>
          <w:color w:val="111827"/>
          <w:sz w:val="20"/>
          <w:szCs w:val="20"/>
        </w:rPr>
        <w:t xml:space="preserve">Not included: full net-new GRIF layer builds from scratch (e.g., building CPQ where none existed) — the scoping conversation is included in the retainer, but the build itself is quoted and delivered as a separate project.</w:t>
      </w:r>
    </w:p>
    <w:p>
      <w:pPr>
        <w:spacing w:before="120"/>
      </w:pPr>
    </w:p>
    <w:p>
      <w:pPr>
        <w:pStyle w:val="Heading2"/>
        <w:spacing w:after="100" w:before="280"/>
      </w:pPr>
      <w:r>
        <w:rPr>
          <w:rFonts w:ascii="Calibri" w:cs="Calibri" w:eastAsia="Calibri" w:hAnsi="Calibri"/>
          <w:b/>
          <w:bCs/>
          <w:color w:val="1B2A4A"/>
          <w:sz w:val="26"/>
          <w:szCs w:val="26"/>
        </w:rPr>
        <w:t xml:space="preserve">Upgrade Path</w:t>
      </w:r>
    </w:p>
    <w:p>
      <w:pPr>
        <w:spacing w:after="60" w:before="60" w:line="320" w:lineRule="auto"/>
      </w:pPr>
      <w:r>
        <w:rPr>
          <w:rFonts w:ascii="Calibri" w:cs="Calibri" w:eastAsia="Calibri" w:hAnsi="Calibri"/>
          <w:color w:val="111827"/>
          <w:sz w:val="20"/>
          <w:szCs w:val="20"/>
        </w:rPr>
        <w:t xml:space="preserve">Tiers are designed to be climbed, not just chosen once. A client who signs Starter and adopts it well is the easiest possible Growth upsell — the CRM foundation and scoring engine are already in place, so a Growth upgrade only needs to add enrichment, AI-assisted outreach, and expansion detection on top of infrastructure that already works. The same logic applies moving from Growth to Scale. Pricing for an upgrade credits the client for infrastructure already built — an upgrade is priced as the delta between tiers, not the next tier's full price.</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Upgrade Path</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Terms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Starter → Growth upgrade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$8,000 – $15,000 (delta), typically 6–10 weeks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Growth → Scale upgrade</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$22,000 – $40,000 (delta), typically 12–16 weeks</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Starter → Scale (direct)</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Full Scale price applies; recommended only when the client is confident they will need the full build within 6 months anyway</w:t>
            </w:r>
          </w:p>
        </w:tc>
      </w:tr>
    </w:tbl>
    <w:p>
      <w:r>
        <w:br w:type="page"/>
      </w:r>
    </w:p>
    <w:p>
      <w:pPr>
        <w:pStyle w:val="Heading1"/>
        <w:shd w:fill="1B2A4A" w:val="clear"/>
        <w:spacing w:after="160" w:before="480"/>
      </w:pPr>
      <w:r>
        <w:rPr>
          <w:rFonts w:ascii="Calibri" w:cs="Calibri" w:eastAsia="Calibri" w:hAnsi="Calibri"/>
          <w:b/>
          <w:bCs/>
          <w:color w:val="FFFFFF"/>
          <w:sz w:val="32"/>
          <w:szCs w:val="32"/>
        </w:rPr>
        <w:t xml:space="preserve">  12. Sales Playbook — Positioning the Three Tiers</w:t>
      </w:r>
    </w:p>
    <w:p>
      <w:pPr>
        <w:spacing w:before="40"/>
      </w:pPr>
    </w:p>
    <w:p>
      <w:pPr>
        <w:pStyle w:val="Heading2"/>
        <w:spacing w:after="100" w:before="280"/>
      </w:pPr>
      <w:r>
        <w:rPr>
          <w:rFonts w:ascii="Calibri" w:cs="Calibri" w:eastAsia="Calibri" w:hAnsi="Calibri"/>
          <w:b/>
          <w:bCs/>
          <w:color w:val="1B2A4A"/>
          <w:sz w:val="26"/>
          <w:szCs w:val="26"/>
        </w:rPr>
        <w:t xml:space="preserve">How to Open the Tier Conversation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thick" w:color="2D5BA8" w:sz="16"/>
              <w:left w:val="thick" w:color="2D5BA8" w:sz="16"/>
              <w:bottom w:val="single" w:color="2D5BA8" w:sz="4"/>
              <w:right w:val="single" w:color="2D5BA8" w:sz="4"/>
            </w:tcBorders>
            <w:shd w:fill="E8EDF8" w:val="clear"/>
            <w:tcMar>
              <w:top w:type="dxa" w:w="140"/>
              <w:left w:type="dxa" w:w="220"/>
              <w:bottom w:type="dxa" w:w="140"/>
              <w:right w:type="dxa" w:w="220"/>
            </w:tcMar>
          </w:tcPr>
          <w:p>
            <w:pPr>
              <w:spacing w:after="30" w:before="30"/>
            </w:pPr>
            <w:r>
              <w:rPr>
                <w:rFonts w:ascii="Calibri" w:cs="Calibri" w:eastAsia="Calibri" w:hAnsi="Calibri"/>
                <w:b/>
                <w:bCs/>
                <w:color w:val="2D5BA8"/>
                <w:sz w:val="20"/>
                <w:szCs w:val="20"/>
              </w:rPr>
              <w:t xml:space="preserve">The Framing Line</w:t>
            </w:r>
          </w:p>
          <w:p>
            <w:pPr>
              <w:spacing w:after="40" w:before="40" w:line="300" w:lineRule="auto"/>
            </w:pPr>
            <w:r>
              <w:rPr>
                <w:rFonts w:ascii="Calibri" w:cs="Calibri" w:eastAsia="Calibri" w:hAnsi="Calibri"/>
                <w:color w:val="111827"/>
                <w:sz w:val="20"/>
                <w:szCs w:val="20"/>
              </w:rPr>
              <w:t xml:space="preserve">"We're a revenue infrastructure company — we install the systems that make product-led or enterprise-led growth actually work, whatever signal your business runs on. We package that three ways, based on how much of the signal engine you want installed. Starter gets you to half — a real scoring engine live in weeks, not just a CRM. Growth gets you to about three-quarters — enrichment and AI-assisted outreach acting on that scoring engine automatically. Scale completes the architecture end-to-end — all ten layers working together, which is where most of our Enterprise clients land. Based on what you've described, I'd guess you're a [Growth/Scale] fit — want me to walk through the hours, the tooling cost, and the expected return?"</w:t>
            </w:r>
          </w:p>
        </w:tc>
      </w:tr>
    </w:tbl>
    <w:p>
      <w:pPr>
        <w:spacing w:before="80"/>
      </w:pPr>
    </w:p>
    <w:p>
      <w:pPr>
        <w:pStyle w:val="Heading2"/>
        <w:spacing w:after="100" w:before="280"/>
      </w:pPr>
      <w:r>
        <w:rPr>
          <w:rFonts w:ascii="Calibri" w:cs="Calibri" w:eastAsia="Calibri" w:hAnsi="Calibri"/>
          <w:b/>
          <w:bCs/>
          <w:color w:val="1B2A4A"/>
          <w:sz w:val="26"/>
          <w:szCs w:val="26"/>
        </w:rPr>
        <w:t xml:space="preserve">Objection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Objection</w:t>
            </w:r>
          </w:p>
        </w:tc>
        <w:tc>
          <w:tcPr>
            <w:tcW w:type="dxa" w:w="6200"/>
            <w:shd w:fill="1B2A4A" w:val="clear"/>
            <w:tcMar>
              <w:top w:type="dxa" w:w="100"/>
              <w:left w:type="dxa" w:w="160"/>
              <w:bottom w:type="dxa" w:w="100"/>
              <w:right w:type="dxa" w:w="160"/>
            </w:tcMar>
          </w:tcPr>
          <w:p>
            <w:pPr>
              <w:spacing w:line="280" w:lineRule="auto"/>
            </w:pPr>
            <w:r>
              <w:rPr>
                <w:rFonts w:ascii="Calibri" w:cs="Calibri" w:eastAsia="Calibri" w:hAnsi="Calibri"/>
                <w:b/>
                <w:bCs/>
                <w:color w:val="FFFFFF"/>
                <w:sz w:val="18"/>
                <w:szCs w:val="18"/>
              </w:rPr>
              <w:t xml:space="preserve">Response Framework</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"Can we just start with Starter and see?"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Yes — that's the intended path for most Service and Traditional Business clients, and Starter now ships with a real scoring engine, not just a CRM, so it's a complete product on its own. Frame the Starter → Growth upgrade credit explicitly so the prospect knows they aren't throwing away spend by starting small.</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"Scale seems expensive up front."</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Anchor to the Tier-Wise ROI section — for a $30M–$100M ARR Enterprise client, Scale is positioned to return 10x–23x on Year-1 investment, which reframes the price as a return multiple, not a cost. Never quote Scale's multiple to a Starter-fit prospect; use Starter's own 10x–27x range instead.</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"Why is Starter priced higher than a basic CRM setup?"</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Because it isn't a CRM setup — it ships with a real, working PQL/lead scoring engine from week one, which is Revenue Intelligence infrastructure most competitors don't install until a much larger engagement. Point to the Engineering Hours table (130–180 hrs, including a dedicated Automation &amp; Scoring Specialist) as the concrete justification.</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"We don't know which tier we need."</w:t>
            </w:r>
          </w:p>
        </w:tc>
        <w:tc>
          <w:tcPr>
            <w:tcW w:type="dxa" w:w="6200"/>
            <w:shd w:fill="FFFFFF"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That's exactly what the Month 1 Diagnostic Sprint ($2,500–$5,000, standalone, creditable toward any tier) is for — recommend it as a low-commitment first step rather than guessing the tier on the spot.</w:t>
            </w:r>
          </w:p>
        </w:tc>
      </w:tr>
      <w:tr>
        <w:tc>
          <w:tcPr>
            <w:tcW w:type="dxa" w:w="3000"/>
            <w:shd w:fill="F4F5F7" w:val="clear"/>
            <w:tcMar>
              <w:top w:type="dxa" w:w="100"/>
              <w:left w:type="dxa" w:w="160"/>
              <w:bottom w:type="dxa" w:w="100"/>
              <w:right w:type="dxa" w:w="160"/>
            </w:tcMar>
          </w:tcPr>
          <w:p>
            <w:pPr>
              <w:spacing w:line="280" w:lineRule="auto"/>
            </w:pPr>
            <w:r>
              <w:rPr>
                <w:rFonts w:ascii="Calibri" w:cs="Calibri" w:eastAsia="Calibri" w:hAnsi="Calibri"/>
                <w:b/>
                <w:bCs/>
                <w:color w:val="111827"/>
                <w:sz w:val="18"/>
                <w:szCs w:val="18"/>
              </w:rPr>
              <w:t xml:space="preserve">"Why not just quote us a custom scope?"</w:t>
            </w:r>
          </w:p>
        </w:tc>
        <w:tc>
          <w:tcPr>
            <w:tcW w:type="dxa" w:w="6200"/>
            <w:shd w:fill="F4F5F7" w:val="clear"/>
            <w:tcMar>
              <w:top w:type="dxa" w:w="100"/>
              <w:left w:type="dxa" w:w="160"/>
              <w:bottom w:type="dxa" w:w="100"/>
              <w:right w:type="dxa" w:w="160"/>
            </w:tcMar>
          </w:tcPr>
          <w:p>
            <w:pPr>
              <w:spacing w:line="280" w:lineRule="auto"/>
            </w:pPr>
            <w:r>
              <w:rPr>
                <w:rFonts w:ascii="Calibri" w:cs="Calibri" w:eastAsia="Calibri" w:hAnsi="Calibri"/>
                <w:b w:val="false"/>
                <w:bCs w:val="false"/>
                <w:color w:val="111827"/>
                <w:sz w:val="18"/>
                <w:szCs w:val="18"/>
              </w:rPr>
              <w:t xml:space="preserve">Custom scoping is still available for genuine edge cases, but the tiers cover the vast majority of Growen's client base and let the prospect sign faster — position custom scoping as the exception, not the default.</w:t>
            </w:r>
          </w:p>
        </w:tc>
      </w:tr>
    </w:tbl>
    <w:p>
      <w:pPr>
        <w:spacing w:before="120"/>
      </w:pPr>
    </w:p>
    <w:p>
      <w:pPr>
        <w:pStyle w:val="Heading2"/>
        <w:spacing w:after="100" w:before="280"/>
      </w:pPr>
      <w:r>
        <w:rPr>
          <w:rFonts w:ascii="Calibri" w:cs="Calibri" w:eastAsia="Calibri" w:hAnsi="Calibri"/>
          <w:b/>
          <w:bCs/>
          <w:color w:val="1B2A4A"/>
          <w:sz w:val="26"/>
          <w:szCs w:val="26"/>
        </w:rPr>
        <w:t xml:space="preserve">Quick Reference — Pricing Summary</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66"/>
            <w:shd w:fill="1B2A4A" w:val="clear"/>
            <w:tcMar>
              <w:top w:type="dxa" w:w="160"/>
              <w:left w:type="dxa" w:w="160"/>
              <w:bottom w:type="dxa" w:w="160"/>
              <w:right w:type="dxa" w:w="160"/>
            </w:tcMar>
          </w:tcPr>
          <w:p>
            <w:pPr>
              <w:jc w:val="center"/>
            </w:pPr>
            <w:r>
              <w:rPr>
                <w:rFonts w:ascii="Calibri" w:cs="Calibri" w:eastAsia="Calibri" w:hAnsi="Calibri"/>
                <w:b/>
                <w:bCs/>
                <w:color w:val="FFFFFF"/>
                <w:sz w:val="44"/>
                <w:szCs w:val="44"/>
              </w:rPr>
              <w:t xml:space="preserve">50%</w:t>
            </w:r>
          </w:p>
          <w:p>
            <w:pPr>
              <w:spacing w:before="20"/>
              <w:jc w:val="center"/>
            </w:pPr>
            <w:r>
              <w:rPr>
                <w:rFonts w:ascii="Calibri" w:cs="Calibri" w:eastAsia="Calibri" w:hAnsi="Calibri"/>
                <w:color w:val="B8C9E8"/>
                <w:sz w:val="16"/>
                <w:szCs w:val="16"/>
              </w:rPr>
              <w:t xml:space="preserve">Starter
$5K–$8K</w:t>
            </w:r>
          </w:p>
        </w:tc>
        <w:tc>
          <w:tcPr>
            <w:tcW w:type="dxa" w:w="3066"/>
            <w:shd w:fill="1B2A4A" w:val="clear"/>
            <w:tcMar>
              <w:top w:type="dxa" w:w="160"/>
              <w:left w:type="dxa" w:w="160"/>
              <w:bottom w:type="dxa" w:w="160"/>
              <w:right w:type="dxa" w:w="160"/>
            </w:tcMar>
          </w:tcPr>
          <w:p>
            <w:pPr>
              <w:jc w:val="center"/>
            </w:pPr>
            <w:r>
              <w:rPr>
                <w:rFonts w:ascii="Calibri" w:cs="Calibri" w:eastAsia="Calibri" w:hAnsi="Calibri"/>
                <w:b/>
                <w:bCs/>
                <w:color w:val="FFFFFF"/>
                <w:sz w:val="44"/>
                <w:szCs w:val="44"/>
              </w:rPr>
              <w:t xml:space="preserve">75%</w:t>
            </w:r>
          </w:p>
          <w:p>
            <w:pPr>
              <w:spacing w:before="20"/>
              <w:jc w:val="center"/>
            </w:pPr>
            <w:r>
              <w:rPr>
                <w:rFonts w:ascii="Calibri" w:cs="Calibri" w:eastAsia="Calibri" w:hAnsi="Calibri"/>
                <w:color w:val="B8C9E8"/>
                <w:sz w:val="16"/>
                <w:szCs w:val="16"/>
              </w:rPr>
              <w:t xml:space="preserve">Growth
$10K–$20K</w:t>
            </w:r>
          </w:p>
        </w:tc>
        <w:tc>
          <w:tcPr>
            <w:tcW w:type="dxa" w:w="3066"/>
            <w:shd w:fill="1B2A4A" w:val="clear"/>
            <w:tcMar>
              <w:top w:type="dxa" w:w="160"/>
              <w:left w:type="dxa" w:w="160"/>
              <w:bottom w:type="dxa" w:w="160"/>
              <w:right w:type="dxa" w:w="160"/>
            </w:tcMar>
          </w:tcPr>
          <w:p>
            <w:pPr>
              <w:jc w:val="center"/>
            </w:pPr>
            <w:r>
              <w:rPr>
                <w:rFonts w:ascii="Calibri" w:cs="Calibri" w:eastAsia="Calibri" w:hAnsi="Calibri"/>
                <w:b/>
                <w:bCs/>
                <w:color w:val="FFFFFF"/>
                <w:sz w:val="44"/>
                <w:szCs w:val="44"/>
              </w:rPr>
              <w:t xml:space="preserve">100%</w:t>
            </w:r>
          </w:p>
          <w:p>
            <w:pPr>
              <w:spacing w:before="20"/>
              <w:jc w:val="center"/>
            </w:pPr>
            <w:r>
              <w:rPr>
                <w:rFonts w:ascii="Calibri" w:cs="Calibri" w:eastAsia="Calibri" w:hAnsi="Calibri"/>
                <w:color w:val="B8C9E8"/>
                <w:sz w:val="16"/>
                <w:szCs w:val="16"/>
              </w:rPr>
              <w:t xml:space="preserve">Scale
$30K–$60K</w:t>
            </w:r>
          </w:p>
        </w:tc>
      </w:tr>
    </w:tbl>
    <w:p>
      <w:pPr>
        <w:spacing w:before="120"/>
      </w:pPr>
    </w:p>
    <w:p>
      <w:pPr>
        <w:pBdr>
          <w:bottom w:val="single" w:color="2D5BA8" w:sz="6"/>
        </w:pBdr>
        <w:spacing w:after="120" w:before="120"/>
      </w:pPr>
    </w:p>
    <w:p>
      <w:pPr>
        <w:spacing w:after="200" w:before="200"/>
        <w:jc w:val="center"/>
      </w:pPr>
      <w:r>
        <w:rPr>
          <w:rFonts w:ascii="Calibri" w:cs="Calibri" w:eastAsia="Calibri" w:hAnsi="Calibri"/>
          <w:b/>
          <w:bCs/>
          <w:color w:val="1B2A4A"/>
          <w:sz w:val="18"/>
          <w:szCs w:val="18"/>
        </w:rPr>
        <w:t xml:space="preserve">GROWEN  ·  Productized Automation Tiers  ·  </w:t>
      </w:r>
      <w:r>
        <w:rPr>
          <w:rFonts w:ascii="Calibri" w:cs="Calibri" w:eastAsia="Calibri" w:hAnsi="Calibri"/>
          <w:color w:val="6B7280"/>
          <w:sz w:val="18"/>
          <w:szCs w:val="18"/>
        </w:rPr>
        <w:t xml:space="preserve">Confidential &amp; Proprietary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BA8" w:sz="4"/>
      </w:pBdr>
      <w:jc w:val="center"/>
    </w:pPr>
    <w:r>
      <w:rPr>
        <w:rFonts w:ascii="Calibri" w:cs="Calibri" w:eastAsia="Calibri" w:hAnsi="Calibri"/>
        <w:color w:val="6B7280"/>
        <w:sz w:val="16"/>
        <w:szCs w:val="16"/>
      </w:rPr>
      <w:t xml:space="preserve">Growen  ·  Productized Automation Tiers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800"/>
          <w:tcBorders>
            <w:top w:val="none"/>
            <w:left w:val="none"/>
            <w:bottom w:val="thick" w:color="2D5BA8" w:sz="8"/>
            <w:right w:val="none"/>
          </w:tcBorders>
        </w:tcPr>
        <w:p>
          <w:r>
            <w:rPr>
              <w:rFonts w:ascii="Calibri" w:cs="Calibri" w:eastAsia="Calibri" w:hAnsi="Calibri"/>
              <w:b/>
              <w:bCs/>
              <w:color w:val="1B2A4A"/>
              <w:sz w:val="16"/>
              <w:szCs w:val="16"/>
            </w:rPr>
            <w:t xml:space="preserve">GROWEN  —  Productized Automation Tiers</w:t>
          </w:r>
        </w:p>
      </w:tc>
      <w:tc>
        <w:tcPr>
          <w:tcW w:type="dxa" w:w="3400"/>
          <w:tcBorders>
            <w:top w:val="none"/>
            <w:left w:val="none"/>
            <w:bottom w:val="thick" w:color="2D5BA8" w:sz="8"/>
            <w:right w:val="none"/>
          </w:tcBorders>
        </w:tcPr>
        <w:p>
          <w:pPr>
            <w:jc w:val="right"/>
          </w:pPr>
          <w:r>
            <w:rPr>
              <w:rFonts w:ascii="Calibri" w:cs="Calibri" w:eastAsia="Calibri" w:hAnsi="Calibri"/>
              <w:color w:val="6B7280"/>
              <w:sz w:val="16"/>
              <w:szCs w:val="16"/>
            </w:rPr>
            <w:t xml:space="preserve">CONFIDENTIAL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FFFFFF"/>
      <w:sz w:val="32"/>
      <w:szCs w:val="32"/>
    </w:rPr>
  </w:style>
  <w:style w:type="paragraph" w:styleId="Heading2">
    <w:name w:val="Heading 2"/>
    <w:rPr>
      <w:rFonts w:ascii="Calibri" w:cs="Calibri" w:eastAsia="Calibri" w:hAnsi="Calibri"/>
      <w:b/>
      <w:bCs/>
      <w:color w:val="1B2A4A"/>
      <w:sz w:val="26"/>
      <w:szCs w:val="26"/>
    </w:rPr>
  </w:style>
  <w:style w:type="paragraph" w:styleId="Heading3">
    <w:name w:val="Heading 3"/>
    <w:rPr>
      <w:rFonts w:ascii="Calibri" w:cs="Calibri" w:eastAsia="Calibri" w:hAnsi="Calibri"/>
      <w:b/>
      <w:bCs/>
      <w:color w:val="2D5B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2026-08-09T17:15:54.180Z</dcterms:created>
  <dcterms:modified xsi:type="dcterms:W3CDTF">2026-08-09T17:15:54.195Z</dcterms:modified>
</cp:coreProperties>
</file>

<file path=docProps/custom.xml><?xml version="1.0" encoding="utf-8"?>
<Properties xmlns="http://schemas.openxmlformats.org/officeDocument/2006/custom-properties" xmlns:vt="http://schemas.openxmlformats.org/officeDocument/2006/docPropsVTypes"/>
</file>