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4E5E" w14:textId="77777777" w:rsidR="007E7A78"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Integrated Child Development Services (ICDS)</w:t>
      </w:r>
    </w:p>
    <w:p w14:paraId="024371A2" w14:textId="77777777" w:rsidR="00445E94" w:rsidRDefault="00445E94" w:rsidP="00445E94">
      <w:pPr>
        <w:rPr>
          <w:rFonts w:ascii="Abadi" w:hAnsi="Abadi"/>
          <w:color w:val="000000" w:themeColor="text1"/>
          <w:sz w:val="28"/>
          <w:szCs w:val="28"/>
        </w:rPr>
      </w:pPr>
      <w:r w:rsidRPr="00445E94">
        <w:rPr>
          <w:rFonts w:ascii="Abadi" w:hAnsi="Abadi"/>
          <w:color w:val="000000" w:themeColor="text1"/>
          <w:sz w:val="28"/>
          <w:szCs w:val="28"/>
        </w:rPr>
        <w:t>Objectives</w:t>
      </w:r>
    </w:p>
    <w:p w14:paraId="323DAE6A" w14:textId="56F56C35" w:rsidR="00D00631" w:rsidRPr="00445E94" w:rsidRDefault="00D00631" w:rsidP="00445E94">
      <w:pPr>
        <w:rPr>
          <w:rFonts w:ascii="Abadi" w:hAnsi="Abadi"/>
          <w:color w:val="000000" w:themeColor="text1"/>
          <w:sz w:val="28"/>
          <w:szCs w:val="28"/>
        </w:rPr>
      </w:pPr>
      <w:r w:rsidRPr="00D00631">
        <w:rPr>
          <w:rFonts w:ascii="Abadi" w:hAnsi="Abadi"/>
          <w:color w:val="000000" w:themeColor="text1"/>
          <w:sz w:val="28"/>
          <w:szCs w:val="28"/>
        </w:rPr>
        <w:t>The objectives are to improve the nutritional and overall health status of pre-school children in the age group of 0–6 years, to lay a strong foundation for their proper physical, psychological, and social development, and to reduce the incidence of mortality, morbidity, malnutrition, and school drop-out. The scheme also aims to ensure effective coordination between policy formulation and implementation among various departments involved in child development, while enhancing the capability of mothers to take care of the normal health and nutritional needs of their children through proper nutrition and health education.</w:t>
      </w:r>
    </w:p>
    <w:p w14:paraId="57DBFD63" w14:textId="77777777" w:rsidR="00445E94" w:rsidRPr="00445E94" w:rsidRDefault="00445E94" w:rsidP="00445E94">
      <w:pPr>
        <w:rPr>
          <w:rFonts w:ascii="Abadi" w:hAnsi="Abadi"/>
          <w:b/>
          <w:bCs/>
          <w:color w:val="000000" w:themeColor="text1"/>
          <w:sz w:val="28"/>
          <w:szCs w:val="28"/>
        </w:rPr>
      </w:pPr>
      <w:r w:rsidRPr="00445E94">
        <w:rPr>
          <w:rFonts w:ascii="Abadi" w:hAnsi="Abadi"/>
          <w:b/>
          <w:bCs/>
          <w:color w:val="000000" w:themeColor="text1"/>
          <w:sz w:val="28"/>
          <w:szCs w:val="28"/>
        </w:rPr>
        <w:t>Services</w:t>
      </w:r>
    </w:p>
    <w:p w14:paraId="2D949249" w14:textId="77777777" w:rsidR="00445E94" w:rsidRPr="00445E94" w:rsidRDefault="00445E94" w:rsidP="00445E94">
      <w:pPr>
        <w:numPr>
          <w:ilvl w:val="0"/>
          <w:numId w:val="8"/>
        </w:numPr>
        <w:rPr>
          <w:rFonts w:ascii="Abadi" w:hAnsi="Abadi"/>
          <w:b/>
          <w:bCs/>
          <w:color w:val="000000" w:themeColor="text1"/>
          <w:sz w:val="28"/>
          <w:szCs w:val="28"/>
        </w:rPr>
      </w:pPr>
      <w:r w:rsidRPr="00445E94">
        <w:rPr>
          <w:rFonts w:ascii="Abadi" w:hAnsi="Abadi"/>
          <w:b/>
          <w:bCs/>
          <w:color w:val="000000" w:themeColor="text1"/>
          <w:sz w:val="28"/>
          <w:szCs w:val="28"/>
        </w:rPr>
        <w:t>Supplementary Nutrition.</w:t>
      </w:r>
    </w:p>
    <w:p w14:paraId="37BCD3C3" w14:textId="77777777" w:rsidR="00445E94" w:rsidRPr="00445E94" w:rsidRDefault="00445E94" w:rsidP="00445E94">
      <w:pPr>
        <w:numPr>
          <w:ilvl w:val="0"/>
          <w:numId w:val="8"/>
        </w:numPr>
        <w:rPr>
          <w:rFonts w:ascii="Abadi" w:hAnsi="Abadi"/>
          <w:b/>
          <w:bCs/>
          <w:color w:val="000000" w:themeColor="text1"/>
          <w:sz w:val="28"/>
          <w:szCs w:val="28"/>
        </w:rPr>
      </w:pPr>
      <w:r w:rsidRPr="00445E94">
        <w:rPr>
          <w:rFonts w:ascii="Abadi" w:hAnsi="Abadi"/>
          <w:b/>
          <w:bCs/>
          <w:color w:val="000000" w:themeColor="text1"/>
          <w:sz w:val="28"/>
          <w:szCs w:val="28"/>
        </w:rPr>
        <w:t>Health Check-up.</w:t>
      </w:r>
    </w:p>
    <w:p w14:paraId="6214A020" w14:textId="77777777" w:rsidR="00445E94" w:rsidRPr="00445E94" w:rsidRDefault="00445E94" w:rsidP="00445E94">
      <w:pPr>
        <w:numPr>
          <w:ilvl w:val="0"/>
          <w:numId w:val="8"/>
        </w:numPr>
        <w:rPr>
          <w:rFonts w:ascii="Abadi" w:hAnsi="Abadi"/>
          <w:b/>
          <w:bCs/>
          <w:color w:val="000000" w:themeColor="text1"/>
          <w:sz w:val="28"/>
          <w:szCs w:val="28"/>
        </w:rPr>
      </w:pPr>
      <w:r w:rsidRPr="00445E94">
        <w:rPr>
          <w:rFonts w:ascii="Abadi" w:hAnsi="Abadi"/>
          <w:b/>
          <w:bCs/>
          <w:color w:val="000000" w:themeColor="text1"/>
          <w:sz w:val="28"/>
          <w:szCs w:val="28"/>
        </w:rPr>
        <w:t>Immunization.</w:t>
      </w:r>
    </w:p>
    <w:p w14:paraId="4C4FE5FC" w14:textId="77777777" w:rsidR="00445E94" w:rsidRPr="00445E94" w:rsidRDefault="00445E94" w:rsidP="00445E94">
      <w:pPr>
        <w:numPr>
          <w:ilvl w:val="0"/>
          <w:numId w:val="8"/>
        </w:numPr>
        <w:rPr>
          <w:rFonts w:ascii="Abadi" w:hAnsi="Abadi"/>
          <w:b/>
          <w:bCs/>
          <w:color w:val="000000" w:themeColor="text1"/>
          <w:sz w:val="28"/>
          <w:szCs w:val="28"/>
        </w:rPr>
      </w:pPr>
      <w:r w:rsidRPr="00445E94">
        <w:rPr>
          <w:rFonts w:ascii="Abadi" w:hAnsi="Abadi"/>
          <w:b/>
          <w:bCs/>
          <w:color w:val="000000" w:themeColor="text1"/>
          <w:sz w:val="28"/>
          <w:szCs w:val="28"/>
        </w:rPr>
        <w:t>Referral Services.</w:t>
      </w:r>
    </w:p>
    <w:p w14:paraId="3036BFC7" w14:textId="77777777" w:rsidR="00445E94" w:rsidRPr="00445E94" w:rsidRDefault="00445E94" w:rsidP="00445E94">
      <w:pPr>
        <w:numPr>
          <w:ilvl w:val="0"/>
          <w:numId w:val="8"/>
        </w:numPr>
        <w:rPr>
          <w:rFonts w:ascii="Abadi" w:hAnsi="Abadi"/>
          <w:b/>
          <w:bCs/>
          <w:color w:val="000000" w:themeColor="text1"/>
          <w:sz w:val="28"/>
          <w:szCs w:val="28"/>
        </w:rPr>
      </w:pPr>
      <w:r w:rsidRPr="00445E94">
        <w:rPr>
          <w:rFonts w:ascii="Abadi" w:hAnsi="Abadi"/>
          <w:b/>
          <w:bCs/>
          <w:color w:val="000000" w:themeColor="text1"/>
          <w:sz w:val="28"/>
          <w:szCs w:val="28"/>
        </w:rPr>
        <w:t>Early Childhood Care and Pre-school Education.</w:t>
      </w:r>
    </w:p>
    <w:p w14:paraId="3F67F6DB" w14:textId="77777777" w:rsidR="00445E94" w:rsidRPr="00445E94" w:rsidRDefault="00445E94" w:rsidP="00445E94">
      <w:pPr>
        <w:numPr>
          <w:ilvl w:val="0"/>
          <w:numId w:val="8"/>
        </w:numPr>
        <w:rPr>
          <w:rFonts w:ascii="Abadi" w:hAnsi="Abadi"/>
          <w:b/>
          <w:bCs/>
          <w:color w:val="000000" w:themeColor="text1"/>
          <w:sz w:val="28"/>
          <w:szCs w:val="28"/>
        </w:rPr>
      </w:pPr>
      <w:r w:rsidRPr="00445E94">
        <w:rPr>
          <w:rFonts w:ascii="Abadi" w:hAnsi="Abadi"/>
          <w:b/>
          <w:bCs/>
          <w:color w:val="000000" w:themeColor="text1"/>
          <w:sz w:val="28"/>
          <w:szCs w:val="28"/>
        </w:rPr>
        <w:t>Nutrition and Health Education.</w:t>
      </w:r>
    </w:p>
    <w:p w14:paraId="1865FB16" w14:textId="77777777" w:rsidR="00445E94" w:rsidRPr="00A80692" w:rsidRDefault="00445E94" w:rsidP="007E7A78">
      <w:pPr>
        <w:rPr>
          <w:rFonts w:ascii="Abadi" w:hAnsi="Abadi"/>
          <w:b/>
          <w:bCs/>
          <w:color w:val="000000" w:themeColor="text1"/>
          <w:sz w:val="28"/>
          <w:szCs w:val="28"/>
        </w:rPr>
      </w:pPr>
    </w:p>
    <w:p w14:paraId="152816A5" w14:textId="77777777" w:rsidR="007E7A78" w:rsidRPr="00A80692"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2. Benefits</w:t>
      </w:r>
    </w:p>
    <w:p w14:paraId="3DF98006" w14:textId="77777777" w:rsidR="007E7A78" w:rsidRPr="00A80692" w:rsidRDefault="007E7A78" w:rsidP="007E7A78">
      <w:pPr>
        <w:numPr>
          <w:ilvl w:val="0"/>
          <w:numId w:val="2"/>
        </w:numPr>
        <w:rPr>
          <w:rFonts w:ascii="Abadi" w:hAnsi="Abadi"/>
          <w:color w:val="000000" w:themeColor="text1"/>
          <w:sz w:val="28"/>
          <w:szCs w:val="28"/>
        </w:rPr>
      </w:pPr>
      <w:r w:rsidRPr="00A80692">
        <w:rPr>
          <w:rFonts w:ascii="Abadi" w:hAnsi="Abadi"/>
          <w:color w:val="000000" w:themeColor="text1"/>
          <w:sz w:val="28"/>
          <w:szCs w:val="28"/>
        </w:rPr>
        <w:t>Supplementary nutrition for:</w:t>
      </w:r>
    </w:p>
    <w:p w14:paraId="27B135FB" w14:textId="77777777" w:rsidR="007E7A78" w:rsidRPr="00A80692" w:rsidRDefault="007E7A78" w:rsidP="007E7A78">
      <w:pPr>
        <w:numPr>
          <w:ilvl w:val="1"/>
          <w:numId w:val="2"/>
        </w:numPr>
        <w:rPr>
          <w:rFonts w:ascii="Abadi" w:hAnsi="Abadi"/>
          <w:color w:val="000000" w:themeColor="text1"/>
          <w:sz w:val="28"/>
          <w:szCs w:val="28"/>
        </w:rPr>
      </w:pPr>
      <w:r w:rsidRPr="00A80692">
        <w:rPr>
          <w:rFonts w:ascii="Abadi" w:hAnsi="Abadi"/>
          <w:color w:val="000000" w:themeColor="text1"/>
          <w:sz w:val="28"/>
          <w:szCs w:val="28"/>
        </w:rPr>
        <w:t>Children (0–6 years)</w:t>
      </w:r>
    </w:p>
    <w:p w14:paraId="5470A2D1" w14:textId="77777777" w:rsidR="007E7A78" w:rsidRPr="00A80692" w:rsidRDefault="007E7A78" w:rsidP="007E7A78">
      <w:pPr>
        <w:numPr>
          <w:ilvl w:val="1"/>
          <w:numId w:val="2"/>
        </w:numPr>
        <w:rPr>
          <w:rFonts w:ascii="Abadi" w:hAnsi="Abadi"/>
          <w:color w:val="000000" w:themeColor="text1"/>
          <w:sz w:val="28"/>
          <w:szCs w:val="28"/>
        </w:rPr>
      </w:pPr>
      <w:r w:rsidRPr="00A80692">
        <w:rPr>
          <w:rFonts w:ascii="Abadi" w:hAnsi="Abadi"/>
          <w:color w:val="000000" w:themeColor="text1"/>
          <w:sz w:val="28"/>
          <w:szCs w:val="28"/>
        </w:rPr>
        <w:t>Pregnant women</w:t>
      </w:r>
    </w:p>
    <w:p w14:paraId="00231474" w14:textId="77777777" w:rsidR="007E7A78" w:rsidRPr="00A80692" w:rsidRDefault="007E7A78" w:rsidP="007E7A78">
      <w:pPr>
        <w:numPr>
          <w:ilvl w:val="1"/>
          <w:numId w:val="2"/>
        </w:numPr>
        <w:rPr>
          <w:rFonts w:ascii="Abadi" w:hAnsi="Abadi"/>
          <w:color w:val="000000" w:themeColor="text1"/>
          <w:sz w:val="28"/>
          <w:szCs w:val="28"/>
        </w:rPr>
      </w:pPr>
      <w:r w:rsidRPr="00A80692">
        <w:rPr>
          <w:rFonts w:ascii="Abadi" w:hAnsi="Abadi"/>
          <w:color w:val="000000" w:themeColor="text1"/>
          <w:sz w:val="28"/>
          <w:szCs w:val="28"/>
        </w:rPr>
        <w:t>Lactating mothers</w:t>
      </w:r>
    </w:p>
    <w:p w14:paraId="5CD46887" w14:textId="77777777" w:rsidR="007E7A78" w:rsidRPr="00A80692" w:rsidRDefault="007E7A78" w:rsidP="007E7A78">
      <w:pPr>
        <w:numPr>
          <w:ilvl w:val="0"/>
          <w:numId w:val="2"/>
        </w:numPr>
        <w:rPr>
          <w:rFonts w:ascii="Abadi" w:hAnsi="Abadi"/>
          <w:color w:val="000000" w:themeColor="text1"/>
          <w:sz w:val="28"/>
          <w:szCs w:val="28"/>
        </w:rPr>
      </w:pPr>
      <w:r w:rsidRPr="00A80692">
        <w:rPr>
          <w:rFonts w:ascii="Abadi" w:hAnsi="Abadi"/>
          <w:color w:val="000000" w:themeColor="text1"/>
          <w:sz w:val="28"/>
          <w:szCs w:val="28"/>
        </w:rPr>
        <w:t>Pre-school non-formal education</w:t>
      </w:r>
    </w:p>
    <w:p w14:paraId="5BBADA56" w14:textId="77777777" w:rsidR="007E7A78" w:rsidRPr="00A80692" w:rsidRDefault="007E7A78" w:rsidP="007E7A78">
      <w:pPr>
        <w:numPr>
          <w:ilvl w:val="0"/>
          <w:numId w:val="2"/>
        </w:numPr>
        <w:rPr>
          <w:rFonts w:ascii="Abadi" w:hAnsi="Abadi"/>
          <w:color w:val="000000" w:themeColor="text1"/>
          <w:sz w:val="28"/>
          <w:szCs w:val="28"/>
        </w:rPr>
      </w:pPr>
      <w:r w:rsidRPr="00A80692">
        <w:rPr>
          <w:rFonts w:ascii="Abadi" w:hAnsi="Abadi"/>
          <w:color w:val="000000" w:themeColor="text1"/>
          <w:sz w:val="28"/>
          <w:szCs w:val="28"/>
        </w:rPr>
        <w:t>Health check-ups and growth monitoring</w:t>
      </w:r>
    </w:p>
    <w:p w14:paraId="2A56EE8F" w14:textId="77777777" w:rsidR="007E7A78" w:rsidRPr="00A80692" w:rsidRDefault="007E7A78" w:rsidP="007E7A78">
      <w:pPr>
        <w:numPr>
          <w:ilvl w:val="0"/>
          <w:numId w:val="2"/>
        </w:numPr>
        <w:rPr>
          <w:rFonts w:ascii="Abadi" w:hAnsi="Abadi"/>
          <w:color w:val="000000" w:themeColor="text1"/>
          <w:sz w:val="28"/>
          <w:szCs w:val="28"/>
        </w:rPr>
      </w:pPr>
      <w:r w:rsidRPr="00A80692">
        <w:rPr>
          <w:rFonts w:ascii="Abadi" w:hAnsi="Abadi"/>
          <w:color w:val="000000" w:themeColor="text1"/>
          <w:sz w:val="28"/>
          <w:szCs w:val="28"/>
        </w:rPr>
        <w:t>Immunization support (linked with health department)</w:t>
      </w:r>
    </w:p>
    <w:p w14:paraId="640AAB34" w14:textId="77777777" w:rsidR="007E7A78" w:rsidRPr="00A80692" w:rsidRDefault="007E7A78" w:rsidP="007E7A78">
      <w:pPr>
        <w:numPr>
          <w:ilvl w:val="0"/>
          <w:numId w:val="2"/>
        </w:numPr>
        <w:rPr>
          <w:rFonts w:ascii="Abadi" w:hAnsi="Abadi"/>
          <w:color w:val="000000" w:themeColor="text1"/>
          <w:sz w:val="28"/>
          <w:szCs w:val="28"/>
        </w:rPr>
      </w:pPr>
      <w:r w:rsidRPr="00A80692">
        <w:rPr>
          <w:rFonts w:ascii="Abadi" w:hAnsi="Abadi"/>
          <w:color w:val="000000" w:themeColor="text1"/>
          <w:sz w:val="28"/>
          <w:szCs w:val="28"/>
        </w:rPr>
        <w:t>Nutrition and health education for mothers</w:t>
      </w:r>
    </w:p>
    <w:p w14:paraId="0856E022" w14:textId="77777777" w:rsidR="007E7A78" w:rsidRPr="00A80692"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3. Eligibility Criteria</w:t>
      </w:r>
    </w:p>
    <w:p w14:paraId="07E11D98" w14:textId="77777777" w:rsidR="007E7A78" w:rsidRPr="00A80692" w:rsidRDefault="007E7A78" w:rsidP="00DE35C4">
      <w:pPr>
        <w:ind w:left="720"/>
        <w:rPr>
          <w:rFonts w:ascii="Abadi" w:hAnsi="Abadi"/>
          <w:color w:val="000000" w:themeColor="text1"/>
          <w:sz w:val="28"/>
          <w:szCs w:val="28"/>
        </w:rPr>
      </w:pPr>
      <w:r w:rsidRPr="00A80692">
        <w:rPr>
          <w:rFonts w:ascii="Abadi" w:hAnsi="Abadi"/>
          <w:color w:val="000000" w:themeColor="text1"/>
          <w:sz w:val="28"/>
          <w:szCs w:val="28"/>
        </w:rPr>
        <w:t xml:space="preserve">Children aged </w:t>
      </w:r>
      <w:r w:rsidRPr="00A80692">
        <w:rPr>
          <w:rFonts w:ascii="Abadi" w:hAnsi="Abadi"/>
          <w:b/>
          <w:bCs/>
          <w:color w:val="000000" w:themeColor="text1"/>
          <w:sz w:val="28"/>
          <w:szCs w:val="28"/>
        </w:rPr>
        <w:t>0–6 years</w:t>
      </w:r>
    </w:p>
    <w:p w14:paraId="62390E42" w14:textId="77777777" w:rsidR="007E7A78" w:rsidRPr="00A80692" w:rsidRDefault="007E7A78" w:rsidP="00DE35C4">
      <w:pPr>
        <w:ind w:left="720"/>
        <w:rPr>
          <w:rFonts w:ascii="Abadi" w:hAnsi="Abadi"/>
          <w:color w:val="000000" w:themeColor="text1"/>
          <w:sz w:val="28"/>
          <w:szCs w:val="28"/>
        </w:rPr>
      </w:pPr>
      <w:r w:rsidRPr="00A80692">
        <w:rPr>
          <w:rFonts w:ascii="Abadi" w:hAnsi="Abadi"/>
          <w:color w:val="000000" w:themeColor="text1"/>
          <w:sz w:val="28"/>
          <w:szCs w:val="28"/>
        </w:rPr>
        <w:t>Pregnant women</w:t>
      </w:r>
    </w:p>
    <w:p w14:paraId="41E4E31A" w14:textId="77777777" w:rsidR="007E7A78" w:rsidRPr="00A80692" w:rsidRDefault="007E7A78" w:rsidP="00DE35C4">
      <w:pPr>
        <w:ind w:left="720"/>
        <w:rPr>
          <w:rFonts w:ascii="Abadi" w:hAnsi="Abadi"/>
          <w:color w:val="000000" w:themeColor="text1"/>
          <w:sz w:val="28"/>
          <w:szCs w:val="28"/>
        </w:rPr>
      </w:pPr>
      <w:r w:rsidRPr="00A80692">
        <w:rPr>
          <w:rFonts w:ascii="Abadi" w:hAnsi="Abadi"/>
          <w:color w:val="000000" w:themeColor="text1"/>
          <w:sz w:val="28"/>
          <w:szCs w:val="28"/>
        </w:rPr>
        <w:lastRenderedPageBreak/>
        <w:t>Lactating mothers</w:t>
      </w:r>
    </w:p>
    <w:p w14:paraId="04E93038" w14:textId="77777777" w:rsidR="007E7A78" w:rsidRPr="00A80692" w:rsidRDefault="007E7A78" w:rsidP="00DE35C4">
      <w:pPr>
        <w:ind w:left="720"/>
        <w:rPr>
          <w:rFonts w:ascii="Abadi" w:hAnsi="Abadi"/>
          <w:color w:val="000000" w:themeColor="text1"/>
          <w:sz w:val="28"/>
          <w:szCs w:val="28"/>
        </w:rPr>
      </w:pPr>
      <w:r w:rsidRPr="00A80692">
        <w:rPr>
          <w:rFonts w:ascii="Abadi" w:hAnsi="Abadi"/>
          <w:color w:val="000000" w:themeColor="text1"/>
          <w:sz w:val="28"/>
          <w:szCs w:val="28"/>
        </w:rPr>
        <w:t xml:space="preserve">Must be registered with </w:t>
      </w:r>
      <w:r w:rsidRPr="00A80692">
        <w:rPr>
          <w:rFonts w:ascii="Abadi" w:hAnsi="Abadi"/>
          <w:b/>
          <w:bCs/>
          <w:color w:val="000000" w:themeColor="text1"/>
          <w:sz w:val="28"/>
          <w:szCs w:val="28"/>
        </w:rPr>
        <w:t>Anganwadi centre</w:t>
      </w:r>
    </w:p>
    <w:p w14:paraId="00EB8AAC" w14:textId="77777777" w:rsidR="007E7A78" w:rsidRPr="00A80692" w:rsidRDefault="007E7A78" w:rsidP="00DE35C4">
      <w:pPr>
        <w:ind w:left="720"/>
        <w:rPr>
          <w:rFonts w:ascii="Abadi" w:hAnsi="Abadi"/>
          <w:color w:val="000000" w:themeColor="text1"/>
          <w:sz w:val="28"/>
          <w:szCs w:val="28"/>
        </w:rPr>
      </w:pPr>
      <w:r w:rsidRPr="00A80692">
        <w:rPr>
          <w:rFonts w:ascii="Abadi" w:hAnsi="Abadi"/>
          <w:color w:val="000000" w:themeColor="text1"/>
          <w:sz w:val="28"/>
          <w:szCs w:val="28"/>
        </w:rPr>
        <w:t>No income or caste restriction</w:t>
      </w:r>
    </w:p>
    <w:p w14:paraId="6733900B" w14:textId="77777777" w:rsidR="007E7A78" w:rsidRPr="00A80692"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4. Documents Required</w:t>
      </w:r>
    </w:p>
    <w:p w14:paraId="46F860A5" w14:textId="61FCC054" w:rsidR="007E7A78" w:rsidRPr="00A80692" w:rsidRDefault="009A78A6" w:rsidP="00DE35C4">
      <w:pPr>
        <w:ind w:left="720"/>
        <w:rPr>
          <w:rFonts w:ascii="Abadi" w:hAnsi="Abadi"/>
          <w:color w:val="000000" w:themeColor="text1"/>
          <w:sz w:val="28"/>
          <w:szCs w:val="28"/>
        </w:rPr>
      </w:pPr>
      <w:r>
        <w:rPr>
          <w:rFonts w:ascii="Abadi" w:hAnsi="Abadi"/>
          <w:color w:val="000000" w:themeColor="text1"/>
          <w:sz w:val="28"/>
          <w:szCs w:val="28"/>
        </w:rPr>
        <w:t>T</w:t>
      </w:r>
      <w:r w:rsidRPr="009A78A6">
        <w:rPr>
          <w:rFonts w:ascii="Abadi" w:hAnsi="Abadi"/>
          <w:color w:val="000000" w:themeColor="text1"/>
          <w:sz w:val="28"/>
          <w:szCs w:val="28"/>
        </w:rPr>
        <w:t>o register for Integrated Child Development Services (ICDS) benefits like nutrition and health check-ups, you primarily need the </w:t>
      </w:r>
      <w:r w:rsidRPr="009A78A6">
        <w:rPr>
          <w:rFonts w:ascii="Abadi" w:hAnsi="Abadi"/>
          <w:b/>
          <w:bCs/>
          <w:color w:val="000000" w:themeColor="text1"/>
          <w:sz w:val="28"/>
          <w:szCs w:val="28"/>
        </w:rPr>
        <w:t>Aadhaar card of the mother/pregnant woman or the child</w:t>
      </w:r>
      <w:r w:rsidRPr="009A78A6">
        <w:rPr>
          <w:rFonts w:ascii="Abadi" w:hAnsi="Abadi"/>
          <w:color w:val="000000" w:themeColor="text1"/>
          <w:sz w:val="28"/>
          <w:szCs w:val="28"/>
        </w:rPr>
        <w:t>, and sometimes the child's </w:t>
      </w:r>
      <w:r w:rsidRPr="009A78A6">
        <w:rPr>
          <w:rFonts w:ascii="Abadi" w:hAnsi="Abadi"/>
          <w:b/>
          <w:bCs/>
          <w:color w:val="000000" w:themeColor="text1"/>
          <w:sz w:val="28"/>
          <w:szCs w:val="28"/>
        </w:rPr>
        <w:t>birth certificate</w:t>
      </w:r>
      <w:r w:rsidRPr="009A78A6">
        <w:rPr>
          <w:rFonts w:ascii="Abadi" w:hAnsi="Abadi"/>
          <w:color w:val="000000" w:themeColor="text1"/>
          <w:sz w:val="28"/>
          <w:szCs w:val="28"/>
        </w:rPr>
        <w:t>, with registration typically done at your local Anganwadi Centre (AWC) via the Anganwadi Worker (AWW). The AWW uses the Poshan Tracker app to log details for supplementary food, Take-Home Rations (THR), health services (immunization, check-ups), and pre-school education for children (0-6 yrs), pregnant women, and lactating mothers. </w:t>
      </w:r>
    </w:p>
    <w:p w14:paraId="41A0822B" w14:textId="77777777" w:rsidR="007E7A78" w:rsidRPr="00A80692"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5. Application Process</w:t>
      </w:r>
    </w:p>
    <w:p w14:paraId="45AE787F" w14:textId="77777777" w:rsidR="007E7A78" w:rsidRPr="00A80692"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Offline</w:t>
      </w:r>
    </w:p>
    <w:p w14:paraId="515187E9" w14:textId="77777777" w:rsidR="007E7A78" w:rsidRPr="00A80692" w:rsidRDefault="007E7A78" w:rsidP="007E7A78">
      <w:pPr>
        <w:numPr>
          <w:ilvl w:val="0"/>
          <w:numId w:val="5"/>
        </w:numPr>
        <w:rPr>
          <w:rFonts w:ascii="Abadi" w:hAnsi="Abadi"/>
          <w:color w:val="000000" w:themeColor="text1"/>
          <w:sz w:val="28"/>
          <w:szCs w:val="28"/>
        </w:rPr>
      </w:pPr>
      <w:r w:rsidRPr="00A80692">
        <w:rPr>
          <w:rFonts w:ascii="Abadi" w:hAnsi="Abadi"/>
          <w:color w:val="000000" w:themeColor="text1"/>
          <w:sz w:val="28"/>
          <w:szCs w:val="28"/>
        </w:rPr>
        <w:t xml:space="preserve">Register at nearest </w:t>
      </w:r>
      <w:r w:rsidRPr="00A80692">
        <w:rPr>
          <w:rFonts w:ascii="Abadi" w:hAnsi="Abadi"/>
          <w:b/>
          <w:bCs/>
          <w:color w:val="000000" w:themeColor="text1"/>
          <w:sz w:val="28"/>
          <w:szCs w:val="28"/>
        </w:rPr>
        <w:t>Anganwadi Centre</w:t>
      </w:r>
    </w:p>
    <w:p w14:paraId="3FD7E570" w14:textId="77777777" w:rsidR="007E7A78" w:rsidRPr="00A80692" w:rsidRDefault="007E7A78" w:rsidP="007E7A78">
      <w:pPr>
        <w:numPr>
          <w:ilvl w:val="0"/>
          <w:numId w:val="5"/>
        </w:numPr>
        <w:rPr>
          <w:rFonts w:ascii="Abadi" w:hAnsi="Abadi"/>
          <w:color w:val="000000" w:themeColor="text1"/>
          <w:sz w:val="28"/>
          <w:szCs w:val="28"/>
        </w:rPr>
      </w:pPr>
      <w:r w:rsidRPr="00A80692">
        <w:rPr>
          <w:rFonts w:ascii="Abadi" w:hAnsi="Abadi"/>
          <w:color w:val="000000" w:themeColor="text1"/>
          <w:sz w:val="28"/>
          <w:szCs w:val="28"/>
        </w:rPr>
        <w:t>Verification by Anganwadi worker</w:t>
      </w:r>
    </w:p>
    <w:p w14:paraId="5889D3D3" w14:textId="77777777" w:rsidR="007E7A78" w:rsidRPr="00A80692" w:rsidRDefault="007E7A78" w:rsidP="007E7A78">
      <w:pPr>
        <w:rPr>
          <w:rFonts w:ascii="Abadi" w:hAnsi="Abadi"/>
          <w:b/>
          <w:bCs/>
          <w:color w:val="000000" w:themeColor="text1"/>
          <w:sz w:val="28"/>
          <w:szCs w:val="28"/>
        </w:rPr>
      </w:pPr>
      <w:r w:rsidRPr="00A80692">
        <w:rPr>
          <w:rFonts w:ascii="Abadi" w:hAnsi="Abadi"/>
          <w:b/>
          <w:bCs/>
          <w:color w:val="000000" w:themeColor="text1"/>
          <w:sz w:val="28"/>
          <w:szCs w:val="28"/>
        </w:rPr>
        <w:t>Online</w:t>
      </w:r>
    </w:p>
    <w:p w14:paraId="3A903333" w14:textId="77777777" w:rsidR="007E7A78" w:rsidRPr="00A80692" w:rsidRDefault="007E7A78" w:rsidP="007E7A78">
      <w:pPr>
        <w:numPr>
          <w:ilvl w:val="0"/>
          <w:numId w:val="6"/>
        </w:numPr>
        <w:rPr>
          <w:rFonts w:ascii="Abadi" w:hAnsi="Abadi"/>
          <w:color w:val="000000" w:themeColor="text1"/>
          <w:sz w:val="28"/>
          <w:szCs w:val="28"/>
        </w:rPr>
      </w:pPr>
      <w:r w:rsidRPr="00A80692">
        <w:rPr>
          <w:rFonts w:ascii="Abadi" w:hAnsi="Abadi"/>
          <w:color w:val="000000" w:themeColor="text1"/>
          <w:sz w:val="28"/>
          <w:szCs w:val="28"/>
        </w:rPr>
        <w:t>Beneficiary data entered by Anganwadi worker on ICDS portal (no direct online application)</w:t>
      </w:r>
    </w:p>
    <w:p w14:paraId="3F351609" w14:textId="77777777" w:rsidR="000549A8" w:rsidRDefault="000549A8"/>
    <w:sectPr w:rsidR="00054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084"/>
    <w:multiLevelType w:val="multilevel"/>
    <w:tmpl w:val="A21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3FE0"/>
    <w:multiLevelType w:val="multilevel"/>
    <w:tmpl w:val="6378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A518A"/>
    <w:multiLevelType w:val="multilevel"/>
    <w:tmpl w:val="CF48A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2304054"/>
    <w:multiLevelType w:val="multilevel"/>
    <w:tmpl w:val="2BE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B031F"/>
    <w:multiLevelType w:val="multilevel"/>
    <w:tmpl w:val="E74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A6C47"/>
    <w:multiLevelType w:val="multilevel"/>
    <w:tmpl w:val="461CF4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DA978D9"/>
    <w:multiLevelType w:val="multilevel"/>
    <w:tmpl w:val="D5B6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24D9C"/>
    <w:multiLevelType w:val="multilevel"/>
    <w:tmpl w:val="427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737960">
    <w:abstractNumId w:val="4"/>
  </w:num>
  <w:num w:numId="2" w16cid:durableId="1396314510">
    <w:abstractNumId w:val="6"/>
  </w:num>
  <w:num w:numId="3" w16cid:durableId="1282610072">
    <w:abstractNumId w:val="3"/>
  </w:num>
  <w:num w:numId="4" w16cid:durableId="2102136602">
    <w:abstractNumId w:val="7"/>
  </w:num>
  <w:num w:numId="5" w16cid:durableId="940920563">
    <w:abstractNumId w:val="1"/>
  </w:num>
  <w:num w:numId="6" w16cid:durableId="1461071203">
    <w:abstractNumId w:val="0"/>
  </w:num>
  <w:num w:numId="7" w16cid:durableId="146938526">
    <w:abstractNumId w:val="2"/>
  </w:num>
  <w:num w:numId="8" w16cid:durableId="1449275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78"/>
    <w:rsid w:val="000113EF"/>
    <w:rsid w:val="000549A8"/>
    <w:rsid w:val="00445E94"/>
    <w:rsid w:val="005C19BA"/>
    <w:rsid w:val="007E7A78"/>
    <w:rsid w:val="00940B79"/>
    <w:rsid w:val="009A78A6"/>
    <w:rsid w:val="00D00631"/>
    <w:rsid w:val="00D1450D"/>
    <w:rsid w:val="00DE3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4D21"/>
  <w15:chartTrackingRefBased/>
  <w15:docId w15:val="{2988023D-E61F-441F-8D69-940239AE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A78"/>
  </w:style>
  <w:style w:type="paragraph" w:styleId="Heading1">
    <w:name w:val="heading 1"/>
    <w:basedOn w:val="Normal"/>
    <w:next w:val="Normal"/>
    <w:link w:val="Heading1Char"/>
    <w:uiPriority w:val="9"/>
    <w:qFormat/>
    <w:rsid w:val="007E7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A78"/>
    <w:rPr>
      <w:rFonts w:eastAsiaTheme="majorEastAsia" w:cstheme="majorBidi"/>
      <w:color w:val="272727" w:themeColor="text1" w:themeTint="D8"/>
    </w:rPr>
  </w:style>
  <w:style w:type="paragraph" w:styleId="Title">
    <w:name w:val="Title"/>
    <w:basedOn w:val="Normal"/>
    <w:next w:val="Normal"/>
    <w:link w:val="TitleChar"/>
    <w:uiPriority w:val="10"/>
    <w:qFormat/>
    <w:rsid w:val="007E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A78"/>
    <w:pPr>
      <w:spacing w:before="160"/>
      <w:jc w:val="center"/>
    </w:pPr>
    <w:rPr>
      <w:i/>
      <w:iCs/>
      <w:color w:val="404040" w:themeColor="text1" w:themeTint="BF"/>
    </w:rPr>
  </w:style>
  <w:style w:type="character" w:customStyle="1" w:styleId="QuoteChar">
    <w:name w:val="Quote Char"/>
    <w:basedOn w:val="DefaultParagraphFont"/>
    <w:link w:val="Quote"/>
    <w:uiPriority w:val="29"/>
    <w:rsid w:val="007E7A78"/>
    <w:rPr>
      <w:i/>
      <w:iCs/>
      <w:color w:val="404040" w:themeColor="text1" w:themeTint="BF"/>
    </w:rPr>
  </w:style>
  <w:style w:type="paragraph" w:styleId="ListParagraph">
    <w:name w:val="List Paragraph"/>
    <w:basedOn w:val="Normal"/>
    <w:uiPriority w:val="34"/>
    <w:qFormat/>
    <w:rsid w:val="007E7A78"/>
    <w:pPr>
      <w:ind w:left="720"/>
      <w:contextualSpacing/>
    </w:pPr>
  </w:style>
  <w:style w:type="character" w:styleId="IntenseEmphasis">
    <w:name w:val="Intense Emphasis"/>
    <w:basedOn w:val="DefaultParagraphFont"/>
    <w:uiPriority w:val="21"/>
    <w:qFormat/>
    <w:rsid w:val="007E7A78"/>
    <w:rPr>
      <w:i/>
      <w:iCs/>
      <w:color w:val="0F4761" w:themeColor="accent1" w:themeShade="BF"/>
    </w:rPr>
  </w:style>
  <w:style w:type="paragraph" w:styleId="IntenseQuote">
    <w:name w:val="Intense Quote"/>
    <w:basedOn w:val="Normal"/>
    <w:next w:val="Normal"/>
    <w:link w:val="IntenseQuoteChar"/>
    <w:uiPriority w:val="30"/>
    <w:qFormat/>
    <w:rsid w:val="007E7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A78"/>
    <w:rPr>
      <w:i/>
      <w:iCs/>
      <w:color w:val="0F4761" w:themeColor="accent1" w:themeShade="BF"/>
    </w:rPr>
  </w:style>
  <w:style w:type="character" w:styleId="IntenseReference">
    <w:name w:val="Intense Reference"/>
    <w:basedOn w:val="DefaultParagraphFont"/>
    <w:uiPriority w:val="32"/>
    <w:qFormat/>
    <w:rsid w:val="007E7A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6</cp:revision>
  <dcterms:created xsi:type="dcterms:W3CDTF">2026-01-10T18:02:00Z</dcterms:created>
  <dcterms:modified xsi:type="dcterms:W3CDTF">2026-01-11T16:08:00Z</dcterms:modified>
</cp:coreProperties>
</file>