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60AE5" w14:textId="243A05B4" w:rsidR="000975F0" w:rsidRDefault="003052FE" w:rsidP="003052FE">
      <w:pPr>
        <w:rPr>
          <w:sz w:val="24"/>
          <w:szCs w:val="24"/>
        </w:rPr>
      </w:pPr>
      <w:r>
        <w:rPr>
          <w:sz w:val="24"/>
          <w:szCs w:val="24"/>
        </w:rPr>
        <w:t>Key points from research</w:t>
      </w:r>
    </w:p>
    <w:p w14:paraId="318AAF36" w14:textId="1B1A4C94" w:rsidR="003052FE" w:rsidRPr="005E6EBF" w:rsidRDefault="003052FE" w:rsidP="005E6EBF">
      <w:pPr>
        <w:pStyle w:val="ListParagraph"/>
        <w:numPr>
          <w:ilvl w:val="0"/>
          <w:numId w:val="2"/>
        </w:numPr>
        <w:rPr>
          <w:b/>
          <w:bCs/>
          <w:sz w:val="24"/>
          <w:szCs w:val="24"/>
        </w:rPr>
      </w:pPr>
      <w:r w:rsidRPr="005E6EBF">
        <w:rPr>
          <w:b/>
          <w:bCs/>
          <w:sz w:val="24"/>
          <w:szCs w:val="24"/>
        </w:rPr>
        <w:t>The Anatomy of AI's Carbon Emissions</w:t>
      </w:r>
    </w:p>
    <w:p w14:paraId="30707F23" w14:textId="77777777" w:rsidR="003052FE" w:rsidRPr="003052FE" w:rsidRDefault="003052FE" w:rsidP="003052FE">
      <w:pPr>
        <w:rPr>
          <w:sz w:val="24"/>
          <w:szCs w:val="24"/>
        </w:rPr>
      </w:pPr>
      <w:r w:rsidRPr="003052FE">
        <w:rPr>
          <w:sz w:val="24"/>
          <w:szCs w:val="24"/>
        </w:rPr>
        <w:t>AI's carbon footprint is primarily categorized into two main components: "embodied" emissions and "operational" emissions</w:t>
      </w:r>
    </w:p>
    <w:p w14:paraId="63CDC0BA" w14:textId="2350155C" w:rsidR="003052FE" w:rsidRDefault="003052FE" w:rsidP="003052FE">
      <w:pPr>
        <w:rPr>
          <w:sz w:val="24"/>
          <w:szCs w:val="24"/>
        </w:rPr>
      </w:pPr>
      <w:r>
        <w:rPr>
          <w:sz w:val="24"/>
          <w:szCs w:val="24"/>
        </w:rPr>
        <w:t>(</w:t>
      </w:r>
      <w:hyperlink r:id="rId5" w:history="1">
        <w:r w:rsidRPr="00625E84">
          <w:rPr>
            <w:rStyle w:val="Hyperlink"/>
            <w:sz w:val="24"/>
            <w:szCs w:val="24"/>
          </w:rPr>
          <w:t>https://www.carbon-direct.com/insights/understanding-the-carbon-footprint-of-ai-and-how-to-reduce-it</w:t>
        </w:r>
      </w:hyperlink>
      <w:r>
        <w:rPr>
          <w:sz w:val="24"/>
          <w:szCs w:val="24"/>
        </w:rPr>
        <w:t>)</w:t>
      </w:r>
    </w:p>
    <w:p w14:paraId="168CDE54" w14:textId="444E088D" w:rsidR="003052FE" w:rsidRDefault="005E6EBF" w:rsidP="003052FE">
      <w:pPr>
        <w:rPr>
          <w:sz w:val="24"/>
          <w:szCs w:val="24"/>
        </w:rPr>
      </w:pPr>
      <w:r w:rsidRPr="005E6EBF">
        <w:rPr>
          <w:b/>
          <w:bCs/>
          <w:sz w:val="24"/>
          <w:szCs w:val="24"/>
        </w:rPr>
        <w:t>Training</w:t>
      </w:r>
      <w:r w:rsidRPr="005E6EBF">
        <w:rPr>
          <w:sz w:val="24"/>
          <w:szCs w:val="24"/>
        </w:rPr>
        <w:t>: The computational power required to train large-scale AI models, especially generative AI models with billions of parameters like OpenAI's GPT-3 and GPT-4, demands a staggering amount of electricity, directly leading to increased carbon dioxide emissions. For instance, training GPT-3 alone consumed an estimated 1,287 megawatt-hours (MWh) of electricity, generating about 552 tons of CO2. The training of just a few AI models can emit over 626,000 pounds of CO2, which is equivalent to nearly five times the lifetime emissions of an average American car.</w:t>
      </w:r>
    </w:p>
    <w:p w14:paraId="70E2B981" w14:textId="1591415E" w:rsidR="005E6EBF" w:rsidRDefault="005E6EBF" w:rsidP="003052FE">
      <w:pPr>
        <w:rPr>
          <w:sz w:val="24"/>
          <w:szCs w:val="24"/>
        </w:rPr>
      </w:pPr>
      <w:r w:rsidRPr="005E6EBF">
        <w:rPr>
          <w:b/>
          <w:bCs/>
          <w:sz w:val="24"/>
          <w:szCs w:val="24"/>
        </w:rPr>
        <w:t>Inference</w:t>
      </w:r>
      <w:r w:rsidRPr="005E6EBF">
        <w:rPr>
          <w:sz w:val="24"/>
          <w:szCs w:val="24"/>
        </w:rPr>
        <w:t xml:space="preserve">: Once an AI model is trained, energy demands persist during inference, which is the process of using a trained model to make predictions or generate outputs. A single ChatGPT search, for example, consumes 10 times as much data as a Google search </w:t>
      </w:r>
      <w:r w:rsidRPr="005E6EBF">
        <w:rPr>
          <w:sz w:val="24"/>
          <w:szCs w:val="24"/>
          <w:vertAlign w:val="superscript"/>
        </w:rPr>
        <w:t xml:space="preserve">1 </w:t>
      </w:r>
      <w:r w:rsidRPr="005E6EBF">
        <w:rPr>
          <w:sz w:val="24"/>
          <w:szCs w:val="24"/>
        </w:rPr>
        <w:t>and is estimated to use about five times more electricity than a simple web search.</w:t>
      </w:r>
      <w:r w:rsidRPr="005E6EBF">
        <w:rPr>
          <w:sz w:val="24"/>
          <w:szCs w:val="24"/>
          <w:vertAlign w:val="superscript"/>
        </w:rPr>
        <w:t xml:space="preserve"> 2 </w:t>
      </w:r>
      <w:r w:rsidRPr="005E6EBF">
        <w:rPr>
          <w:sz w:val="24"/>
          <w:szCs w:val="24"/>
        </w:rPr>
        <w:t>Experts anticipate that the electricity demands of generative AI inference will eventually dominate, as these models become ubiquitous and future versions grow larger and more complex</w:t>
      </w:r>
      <w:r>
        <w:rPr>
          <w:sz w:val="24"/>
          <w:szCs w:val="24"/>
        </w:rPr>
        <w:t>.</w:t>
      </w:r>
    </w:p>
    <w:p w14:paraId="1A42F3D8" w14:textId="77777777" w:rsidR="005E6EBF" w:rsidRDefault="005E6EBF" w:rsidP="003052FE">
      <w:pPr>
        <w:rPr>
          <w:sz w:val="24"/>
          <w:szCs w:val="24"/>
        </w:rPr>
      </w:pPr>
    </w:p>
    <w:p w14:paraId="034C11D2" w14:textId="0B24ACE2" w:rsidR="005E6EBF" w:rsidRDefault="005E6EBF" w:rsidP="005E6EBF">
      <w:pPr>
        <w:pStyle w:val="ListParagraph"/>
        <w:numPr>
          <w:ilvl w:val="0"/>
          <w:numId w:val="2"/>
        </w:numPr>
        <w:rPr>
          <w:b/>
          <w:bCs/>
          <w:sz w:val="24"/>
          <w:szCs w:val="24"/>
        </w:rPr>
      </w:pPr>
      <w:r w:rsidRPr="005E6EBF">
        <w:rPr>
          <w:b/>
          <w:bCs/>
          <w:sz w:val="24"/>
          <w:szCs w:val="24"/>
        </w:rPr>
        <w:t>Beyond Carbon: Water Consumption and E-Waste</w:t>
      </w:r>
    </w:p>
    <w:p w14:paraId="63FEDC6F" w14:textId="52A9781F" w:rsidR="005E6EBF" w:rsidRDefault="005E6EBF" w:rsidP="005E6EBF">
      <w:pPr>
        <w:rPr>
          <w:sz w:val="24"/>
          <w:szCs w:val="24"/>
        </w:rPr>
      </w:pPr>
      <w:r w:rsidRPr="005E6EBF">
        <w:rPr>
          <w:b/>
          <w:bCs/>
          <w:sz w:val="24"/>
          <w:szCs w:val="24"/>
        </w:rPr>
        <w:t>Water Demands for Cooling Data Centers</w:t>
      </w:r>
      <w:r>
        <w:rPr>
          <w:b/>
          <w:bCs/>
          <w:sz w:val="24"/>
          <w:szCs w:val="24"/>
        </w:rPr>
        <w:t xml:space="preserve">: </w:t>
      </w:r>
      <w:r w:rsidRPr="005E6EBF">
        <w:rPr>
          <w:sz w:val="24"/>
          <w:szCs w:val="24"/>
        </w:rPr>
        <w:t>a non-peer-reviewed study estimated that training GPT-3 in Microsoft's US data centers could have consumed up to 700,000 liters (184,920.45 gallons) of freshwater.</w:t>
      </w:r>
    </w:p>
    <w:p w14:paraId="351333F3" w14:textId="644F196F" w:rsidR="005E6EBF" w:rsidRDefault="005E6EBF" w:rsidP="005E6EBF">
      <w:pPr>
        <w:rPr>
          <w:sz w:val="24"/>
          <w:szCs w:val="24"/>
        </w:rPr>
      </w:pPr>
      <w:r w:rsidRPr="005E6EBF">
        <w:rPr>
          <w:b/>
          <w:bCs/>
          <w:sz w:val="24"/>
          <w:szCs w:val="24"/>
        </w:rPr>
        <w:t>Electronic Waste from AI Hardware Lifecycle</w:t>
      </w:r>
      <w:r w:rsidRPr="005E6EBF">
        <w:rPr>
          <w:b/>
          <w:bCs/>
          <w:sz w:val="24"/>
          <w:szCs w:val="24"/>
        </w:rPr>
        <w:t>:</w:t>
      </w:r>
      <w:r>
        <w:rPr>
          <w:sz w:val="24"/>
          <w:szCs w:val="24"/>
        </w:rPr>
        <w:t xml:space="preserve"> </w:t>
      </w:r>
      <w:r w:rsidRPr="005E6EBF">
        <w:rPr>
          <w:sz w:val="24"/>
          <w:szCs w:val="24"/>
        </w:rPr>
        <w:t>The production and improper disposal of AI hardware generate electronic waste (e-waste), which contains harmful chemicals that can contaminate the environment</w:t>
      </w:r>
      <w:r>
        <w:rPr>
          <w:sz w:val="24"/>
          <w:szCs w:val="24"/>
        </w:rPr>
        <w:t>.</w:t>
      </w:r>
    </w:p>
    <w:p w14:paraId="26CBC6E2" w14:textId="58A4925E" w:rsidR="005E6EBF" w:rsidRDefault="005E6EBF" w:rsidP="005E6EBF">
      <w:pPr>
        <w:pStyle w:val="ListParagraph"/>
        <w:numPr>
          <w:ilvl w:val="0"/>
          <w:numId w:val="2"/>
        </w:numPr>
        <w:rPr>
          <w:b/>
          <w:bCs/>
          <w:sz w:val="24"/>
          <w:szCs w:val="24"/>
        </w:rPr>
      </w:pPr>
      <w:r w:rsidRPr="005E6EBF">
        <w:rPr>
          <w:b/>
          <w:bCs/>
          <w:sz w:val="24"/>
          <w:szCs w:val="24"/>
        </w:rPr>
        <w:t>Data Centers: The Energy Nexus of AI</w:t>
      </w:r>
    </w:p>
    <w:p w14:paraId="6D4C1152" w14:textId="797FA2B2" w:rsidR="005E6EBF" w:rsidRPr="005E6EBF" w:rsidRDefault="005E6EBF" w:rsidP="005E6EBF">
      <w:pPr>
        <w:rPr>
          <w:sz w:val="24"/>
          <w:szCs w:val="24"/>
        </w:rPr>
      </w:pPr>
      <w:r w:rsidRPr="005E6EBF">
        <w:rPr>
          <w:sz w:val="24"/>
          <w:szCs w:val="24"/>
        </w:rPr>
        <w:t>Current and Projected Electricity Consumption</w:t>
      </w:r>
    </w:p>
    <w:p w14:paraId="399B1624" w14:textId="1A415D38" w:rsidR="005E6EBF" w:rsidRDefault="005E6EBF" w:rsidP="005E6EBF">
      <w:pPr>
        <w:rPr>
          <w:sz w:val="24"/>
          <w:szCs w:val="24"/>
        </w:rPr>
      </w:pPr>
      <w:r w:rsidRPr="005E6EBF">
        <w:rPr>
          <w:sz w:val="24"/>
          <w:szCs w:val="24"/>
        </w:rPr>
        <w:t xml:space="preserve">In 2023, US data centers accounted for over 4% of total US electricity consumption, with 56% derived from fossil fuels, generating more than 105 million tons of CO2e. This share is projected to rise to 6% by 2026. Globally, electricity demand from data centers is projected to more than double by 2030, reaching approximately 945 terawatt-hours (TWh), which is </w:t>
      </w:r>
      <w:r w:rsidRPr="005E6EBF">
        <w:rPr>
          <w:sz w:val="24"/>
          <w:szCs w:val="24"/>
        </w:rPr>
        <w:lastRenderedPageBreak/>
        <w:t>slightly more than the entire electricity consumption of Japan today. AI-optimized data centers alone are expected to quadruple their electricity demand by 2030.</w:t>
      </w:r>
    </w:p>
    <w:p w14:paraId="45AD93B0" w14:textId="77777777" w:rsidR="005E6EBF" w:rsidRPr="005E6EBF" w:rsidRDefault="005E6EBF" w:rsidP="005E6EBF">
      <w:pPr>
        <w:rPr>
          <w:b/>
          <w:bCs/>
          <w:sz w:val="24"/>
          <w:szCs w:val="24"/>
        </w:rPr>
      </w:pPr>
      <w:r w:rsidRPr="005E6EBF">
        <w:rPr>
          <w:b/>
          <w:bCs/>
          <w:sz w:val="24"/>
          <w:szCs w:val="24"/>
        </w:rPr>
        <w:t>2. Impact of Power Mix and Location</w:t>
      </w:r>
    </w:p>
    <w:p w14:paraId="2F07953D" w14:textId="77777777" w:rsidR="005E6EBF" w:rsidRPr="005E6EBF" w:rsidRDefault="005E6EBF" w:rsidP="005E6EBF">
      <w:pPr>
        <w:rPr>
          <w:sz w:val="24"/>
          <w:szCs w:val="24"/>
        </w:rPr>
      </w:pPr>
      <w:r w:rsidRPr="005E6EBF">
        <w:rPr>
          <w:sz w:val="24"/>
          <w:szCs w:val="24"/>
        </w:rPr>
        <w:t>Only about 40% of a data center's electricity demand is used for actual computing; the remaining 60% is for non-computing uses, with approximately 40% for heating, ventilation, and air conditioning (HVAC) and 20% for power supply systems, fans, and IT equipment drivers.</w:t>
      </w:r>
    </w:p>
    <w:p w14:paraId="5B3495B5" w14:textId="77777777" w:rsidR="005E6EBF" w:rsidRDefault="005E6EBF" w:rsidP="005E6EBF">
      <w:pPr>
        <w:rPr>
          <w:sz w:val="24"/>
          <w:szCs w:val="24"/>
        </w:rPr>
      </w:pPr>
    </w:p>
    <w:p w14:paraId="6D42F3E8" w14:textId="165CCFB6" w:rsidR="005E6EBF" w:rsidRDefault="005E6EBF" w:rsidP="005E6EBF">
      <w:pPr>
        <w:rPr>
          <w:sz w:val="24"/>
          <w:szCs w:val="24"/>
        </w:rPr>
      </w:pPr>
      <w:r w:rsidRPr="005E6EBF">
        <w:rPr>
          <w:b/>
          <w:bCs/>
          <w:sz w:val="24"/>
          <w:szCs w:val="24"/>
        </w:rPr>
        <w:t>the short shelf-life of generative AI models, driven by the constant demand for new applications, means that the energy used to train prior versions often goes to waste, contributing to a compounding effect of resource depletion</w:t>
      </w:r>
    </w:p>
    <w:p w14:paraId="443A57B3" w14:textId="77777777" w:rsidR="005E6EBF" w:rsidRPr="005E6EBF" w:rsidRDefault="005E6EBF" w:rsidP="005E6EBF">
      <w:pPr>
        <w:rPr>
          <w:sz w:val="24"/>
          <w:szCs w:val="24"/>
        </w:rPr>
      </w:pPr>
      <w:r w:rsidRPr="005E6EBF">
        <w:rPr>
          <w:b/>
          <w:bCs/>
          <w:sz w:val="24"/>
          <w:szCs w:val="24"/>
        </w:rPr>
        <w:t>Table 1: Estimated Carbon Footprint of Major AI Models (Training)</w:t>
      </w:r>
    </w:p>
    <w:tbl>
      <w:tblPr>
        <w:tblStyle w:val="GridTable4"/>
        <w:tblW w:w="0" w:type="auto"/>
        <w:tblLook w:val="04A0" w:firstRow="1" w:lastRow="0" w:firstColumn="1" w:lastColumn="0" w:noHBand="0" w:noVBand="1"/>
      </w:tblPr>
      <w:tblGrid>
        <w:gridCol w:w="1061"/>
        <w:gridCol w:w="1680"/>
        <w:gridCol w:w="1756"/>
        <w:gridCol w:w="1749"/>
        <w:gridCol w:w="2115"/>
        <w:gridCol w:w="989"/>
      </w:tblGrid>
      <w:tr w:rsidR="005E6EBF" w:rsidRPr="005E6EBF" w14:paraId="73275436" w14:textId="77777777" w:rsidTr="005E6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3BE2" w14:textId="77777777" w:rsidR="005E6EBF" w:rsidRPr="005E6EBF" w:rsidRDefault="005E6EBF" w:rsidP="005E6EBF">
            <w:pPr>
              <w:spacing w:after="160" w:line="259" w:lineRule="auto"/>
              <w:rPr>
                <w:sz w:val="24"/>
                <w:szCs w:val="24"/>
              </w:rPr>
            </w:pPr>
            <w:r w:rsidRPr="005E6EBF">
              <w:rPr>
                <w:sz w:val="24"/>
                <w:szCs w:val="24"/>
              </w:rPr>
              <w:t>Model Name</w:t>
            </w:r>
          </w:p>
        </w:tc>
        <w:tc>
          <w:tcPr>
            <w:tcW w:w="0" w:type="auto"/>
            <w:hideMark/>
          </w:tcPr>
          <w:p w14:paraId="675CF603" w14:textId="77777777" w:rsidR="005E6EBF" w:rsidRPr="005E6EBF" w:rsidRDefault="005E6EBF" w:rsidP="005E6EBF">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5E6EBF">
              <w:rPr>
                <w:sz w:val="24"/>
                <w:szCs w:val="24"/>
              </w:rPr>
              <w:t>Approximate Parameters</w:t>
            </w:r>
          </w:p>
        </w:tc>
        <w:tc>
          <w:tcPr>
            <w:tcW w:w="0" w:type="auto"/>
            <w:hideMark/>
          </w:tcPr>
          <w:p w14:paraId="7456B1AB" w14:textId="77777777" w:rsidR="005E6EBF" w:rsidRPr="005E6EBF" w:rsidRDefault="005E6EBF" w:rsidP="005E6EBF">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5E6EBF">
              <w:rPr>
                <w:sz w:val="24"/>
                <w:szCs w:val="24"/>
              </w:rPr>
              <w:t>Estimated CO2e (Unit)</w:t>
            </w:r>
          </w:p>
        </w:tc>
        <w:tc>
          <w:tcPr>
            <w:tcW w:w="0" w:type="auto"/>
            <w:hideMark/>
          </w:tcPr>
          <w:p w14:paraId="3CEAF27E" w14:textId="77777777" w:rsidR="005E6EBF" w:rsidRPr="005E6EBF" w:rsidRDefault="005E6EBF" w:rsidP="005E6EBF">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5E6EBF">
              <w:rPr>
                <w:sz w:val="24"/>
                <w:szCs w:val="24"/>
              </w:rPr>
              <w:t>Equivalence</w:t>
            </w:r>
          </w:p>
        </w:tc>
        <w:tc>
          <w:tcPr>
            <w:tcW w:w="0" w:type="auto"/>
            <w:hideMark/>
          </w:tcPr>
          <w:p w14:paraId="1C65B1E7" w14:textId="77777777" w:rsidR="005E6EBF" w:rsidRPr="005E6EBF" w:rsidRDefault="005E6EBF" w:rsidP="005E6EBF">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5E6EBF">
              <w:rPr>
                <w:sz w:val="24"/>
                <w:szCs w:val="24"/>
              </w:rPr>
              <w:t>Key Factor Influencing Emissions</w:t>
            </w:r>
          </w:p>
        </w:tc>
        <w:tc>
          <w:tcPr>
            <w:tcW w:w="0" w:type="auto"/>
            <w:hideMark/>
          </w:tcPr>
          <w:p w14:paraId="0466B480" w14:textId="77777777" w:rsidR="005E6EBF" w:rsidRPr="005E6EBF" w:rsidRDefault="005E6EBF" w:rsidP="005E6EBF">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5E6EBF">
              <w:rPr>
                <w:sz w:val="24"/>
                <w:szCs w:val="24"/>
              </w:rPr>
              <w:t>Source</w:t>
            </w:r>
          </w:p>
        </w:tc>
      </w:tr>
      <w:tr w:rsidR="005E6EBF" w:rsidRPr="005E6EBF" w14:paraId="2763684E" w14:textId="77777777" w:rsidTr="005E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D680EC" w14:textId="77777777" w:rsidR="005E6EBF" w:rsidRPr="005E6EBF" w:rsidRDefault="005E6EBF" w:rsidP="005E6EBF">
            <w:pPr>
              <w:spacing w:after="160" w:line="259" w:lineRule="auto"/>
              <w:rPr>
                <w:sz w:val="24"/>
                <w:szCs w:val="24"/>
              </w:rPr>
            </w:pPr>
            <w:r w:rsidRPr="005E6EBF">
              <w:rPr>
                <w:sz w:val="24"/>
                <w:szCs w:val="24"/>
              </w:rPr>
              <w:t>BERT</w:t>
            </w:r>
          </w:p>
        </w:tc>
        <w:tc>
          <w:tcPr>
            <w:tcW w:w="0" w:type="auto"/>
            <w:hideMark/>
          </w:tcPr>
          <w:p w14:paraId="2E1CA764" w14:textId="77777777" w:rsidR="005E6EBF" w:rsidRPr="005E6EBF" w:rsidRDefault="005E6EBF" w:rsidP="005E6EB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5E6EBF">
              <w:rPr>
                <w:sz w:val="24"/>
                <w:szCs w:val="24"/>
              </w:rPr>
              <w:t>200 million</w:t>
            </w:r>
          </w:p>
        </w:tc>
        <w:tc>
          <w:tcPr>
            <w:tcW w:w="0" w:type="auto"/>
            <w:hideMark/>
          </w:tcPr>
          <w:p w14:paraId="1C4E7003" w14:textId="77777777" w:rsidR="005E6EBF" w:rsidRPr="005E6EBF" w:rsidRDefault="005E6EBF" w:rsidP="005E6EB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5E6EBF">
              <w:rPr>
                <w:sz w:val="24"/>
                <w:szCs w:val="24"/>
              </w:rPr>
              <w:t>626,000 pounds</w:t>
            </w:r>
          </w:p>
        </w:tc>
        <w:tc>
          <w:tcPr>
            <w:tcW w:w="0" w:type="auto"/>
            <w:hideMark/>
          </w:tcPr>
          <w:p w14:paraId="082BDDEA" w14:textId="77777777" w:rsidR="005E6EBF" w:rsidRPr="005E6EBF" w:rsidRDefault="005E6EBF" w:rsidP="005E6EB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5E6EBF">
              <w:rPr>
                <w:sz w:val="24"/>
                <w:szCs w:val="24"/>
              </w:rPr>
              <w:t>~5x lifetime emissions of an average American car</w:t>
            </w:r>
          </w:p>
        </w:tc>
        <w:tc>
          <w:tcPr>
            <w:tcW w:w="0" w:type="auto"/>
            <w:hideMark/>
          </w:tcPr>
          <w:p w14:paraId="15ECFDAD" w14:textId="77777777" w:rsidR="005E6EBF" w:rsidRPr="005E6EBF" w:rsidRDefault="005E6EBF" w:rsidP="005E6EB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5E6EBF">
              <w:rPr>
                <w:sz w:val="24"/>
                <w:szCs w:val="24"/>
              </w:rPr>
              <w:t>Model size, training process</w:t>
            </w:r>
          </w:p>
        </w:tc>
        <w:tc>
          <w:tcPr>
            <w:tcW w:w="0" w:type="auto"/>
            <w:hideMark/>
          </w:tcPr>
          <w:p w14:paraId="3FCC9B02" w14:textId="77777777" w:rsidR="005E6EBF" w:rsidRPr="005E6EBF" w:rsidRDefault="005E6EBF" w:rsidP="005E6EB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5E6EBF" w:rsidRPr="005E6EBF" w14:paraId="6556521D" w14:textId="77777777" w:rsidTr="005E6EBF">
        <w:tc>
          <w:tcPr>
            <w:cnfStyle w:val="001000000000" w:firstRow="0" w:lastRow="0" w:firstColumn="1" w:lastColumn="0" w:oddVBand="0" w:evenVBand="0" w:oddHBand="0" w:evenHBand="0" w:firstRowFirstColumn="0" w:firstRowLastColumn="0" w:lastRowFirstColumn="0" w:lastRowLastColumn="0"/>
            <w:tcW w:w="0" w:type="auto"/>
            <w:hideMark/>
          </w:tcPr>
          <w:p w14:paraId="2BA5443D" w14:textId="77777777" w:rsidR="005E6EBF" w:rsidRPr="005E6EBF" w:rsidRDefault="005E6EBF" w:rsidP="005E6EBF">
            <w:pPr>
              <w:spacing w:after="160" w:line="259" w:lineRule="auto"/>
              <w:rPr>
                <w:sz w:val="24"/>
                <w:szCs w:val="24"/>
              </w:rPr>
            </w:pPr>
            <w:r w:rsidRPr="005E6EBF">
              <w:rPr>
                <w:sz w:val="24"/>
                <w:szCs w:val="24"/>
              </w:rPr>
              <w:t>GPT-3</w:t>
            </w:r>
          </w:p>
        </w:tc>
        <w:tc>
          <w:tcPr>
            <w:tcW w:w="0" w:type="auto"/>
            <w:hideMark/>
          </w:tcPr>
          <w:p w14:paraId="7E37B212" w14:textId="77777777" w:rsidR="005E6EBF" w:rsidRPr="005E6EBF" w:rsidRDefault="005E6EBF" w:rsidP="005E6EB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5E6EBF">
              <w:rPr>
                <w:sz w:val="24"/>
                <w:szCs w:val="24"/>
              </w:rPr>
              <w:t>175 billion</w:t>
            </w:r>
          </w:p>
        </w:tc>
        <w:tc>
          <w:tcPr>
            <w:tcW w:w="0" w:type="auto"/>
            <w:hideMark/>
          </w:tcPr>
          <w:p w14:paraId="39B75B8B" w14:textId="77777777" w:rsidR="005E6EBF" w:rsidRPr="005E6EBF" w:rsidRDefault="005E6EBF" w:rsidP="005E6EB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5E6EBF">
              <w:rPr>
                <w:sz w:val="24"/>
                <w:szCs w:val="24"/>
              </w:rPr>
              <w:t>500 metric tons (1M+ pounds)</w:t>
            </w:r>
          </w:p>
        </w:tc>
        <w:tc>
          <w:tcPr>
            <w:tcW w:w="0" w:type="auto"/>
            <w:hideMark/>
          </w:tcPr>
          <w:p w14:paraId="4A3FB8D7" w14:textId="77777777" w:rsidR="005E6EBF" w:rsidRPr="005E6EBF" w:rsidRDefault="005E6EBF" w:rsidP="005E6EB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5E6EBF">
              <w:rPr>
                <w:sz w:val="24"/>
                <w:szCs w:val="24"/>
              </w:rPr>
              <w:t>~610 one-way direct flights from NYC to Paris</w:t>
            </w:r>
          </w:p>
        </w:tc>
        <w:tc>
          <w:tcPr>
            <w:tcW w:w="0" w:type="auto"/>
            <w:hideMark/>
          </w:tcPr>
          <w:p w14:paraId="09A2E5AD" w14:textId="77777777" w:rsidR="005E6EBF" w:rsidRPr="005E6EBF" w:rsidRDefault="005E6EBF" w:rsidP="005E6EB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5E6EBF">
              <w:rPr>
                <w:sz w:val="24"/>
                <w:szCs w:val="24"/>
              </w:rPr>
              <w:t>Model size, training process, energy source</w:t>
            </w:r>
          </w:p>
        </w:tc>
        <w:tc>
          <w:tcPr>
            <w:tcW w:w="0" w:type="auto"/>
            <w:hideMark/>
          </w:tcPr>
          <w:p w14:paraId="4951E1F5" w14:textId="77777777" w:rsidR="005E6EBF" w:rsidRPr="005E6EBF" w:rsidRDefault="005E6EBF" w:rsidP="005E6EB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5E6EBF" w:rsidRPr="005E6EBF" w14:paraId="09D40906" w14:textId="77777777" w:rsidTr="005E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9901C5" w14:textId="77777777" w:rsidR="005E6EBF" w:rsidRPr="005E6EBF" w:rsidRDefault="005E6EBF" w:rsidP="005E6EBF">
            <w:pPr>
              <w:spacing w:after="160" w:line="259" w:lineRule="auto"/>
              <w:rPr>
                <w:sz w:val="24"/>
                <w:szCs w:val="24"/>
              </w:rPr>
            </w:pPr>
            <w:r w:rsidRPr="005E6EBF">
              <w:rPr>
                <w:sz w:val="24"/>
                <w:szCs w:val="24"/>
              </w:rPr>
              <w:t>BLOOM</w:t>
            </w:r>
          </w:p>
        </w:tc>
        <w:tc>
          <w:tcPr>
            <w:tcW w:w="0" w:type="auto"/>
            <w:hideMark/>
          </w:tcPr>
          <w:p w14:paraId="77E5B73B" w14:textId="77777777" w:rsidR="005E6EBF" w:rsidRPr="005E6EBF" w:rsidRDefault="005E6EBF" w:rsidP="005E6EB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5E6EBF">
              <w:rPr>
                <w:sz w:val="24"/>
                <w:szCs w:val="24"/>
              </w:rPr>
              <w:t>175 billion</w:t>
            </w:r>
          </w:p>
        </w:tc>
        <w:tc>
          <w:tcPr>
            <w:tcW w:w="0" w:type="auto"/>
            <w:hideMark/>
          </w:tcPr>
          <w:p w14:paraId="42B35C60" w14:textId="77777777" w:rsidR="005E6EBF" w:rsidRPr="005E6EBF" w:rsidRDefault="005E6EBF" w:rsidP="005E6EB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5E6EBF">
              <w:rPr>
                <w:sz w:val="24"/>
                <w:szCs w:val="24"/>
              </w:rPr>
              <w:t>25 metric tons</w:t>
            </w:r>
          </w:p>
        </w:tc>
        <w:tc>
          <w:tcPr>
            <w:tcW w:w="0" w:type="auto"/>
            <w:hideMark/>
          </w:tcPr>
          <w:p w14:paraId="75EBB825" w14:textId="77777777" w:rsidR="005E6EBF" w:rsidRPr="005E6EBF" w:rsidRDefault="005E6EBF" w:rsidP="005E6EB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5E6EBF">
              <w:rPr>
                <w:sz w:val="24"/>
                <w:szCs w:val="24"/>
              </w:rPr>
              <w:t>~5% of GPT-3's footprint</w:t>
            </w:r>
          </w:p>
        </w:tc>
        <w:tc>
          <w:tcPr>
            <w:tcW w:w="0" w:type="auto"/>
            <w:hideMark/>
          </w:tcPr>
          <w:p w14:paraId="6F046B82" w14:textId="77777777" w:rsidR="005E6EBF" w:rsidRPr="005E6EBF" w:rsidRDefault="005E6EBF" w:rsidP="005E6EB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5E6EBF">
              <w:rPr>
                <w:sz w:val="24"/>
                <w:szCs w:val="24"/>
              </w:rPr>
              <w:t>Energy source (trained on nuclear-powered supercomputer)</w:t>
            </w:r>
          </w:p>
        </w:tc>
        <w:tc>
          <w:tcPr>
            <w:tcW w:w="0" w:type="auto"/>
            <w:hideMark/>
          </w:tcPr>
          <w:p w14:paraId="179D5509" w14:textId="77777777" w:rsidR="005E6EBF" w:rsidRPr="005E6EBF" w:rsidRDefault="005E6EBF" w:rsidP="005E6EB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5E6EBF" w:rsidRPr="005E6EBF" w14:paraId="3F7A7F15" w14:textId="77777777" w:rsidTr="005E6EBF">
        <w:tc>
          <w:tcPr>
            <w:cnfStyle w:val="001000000000" w:firstRow="0" w:lastRow="0" w:firstColumn="1" w:lastColumn="0" w:oddVBand="0" w:evenVBand="0" w:oddHBand="0" w:evenHBand="0" w:firstRowFirstColumn="0" w:firstRowLastColumn="0" w:lastRowFirstColumn="0" w:lastRowLastColumn="0"/>
            <w:tcW w:w="0" w:type="auto"/>
            <w:hideMark/>
          </w:tcPr>
          <w:p w14:paraId="266ADAFC" w14:textId="77777777" w:rsidR="005E6EBF" w:rsidRPr="005E6EBF" w:rsidRDefault="005E6EBF" w:rsidP="005E6EBF">
            <w:pPr>
              <w:spacing w:after="160" w:line="259" w:lineRule="auto"/>
              <w:rPr>
                <w:sz w:val="24"/>
                <w:szCs w:val="24"/>
              </w:rPr>
            </w:pPr>
            <w:r w:rsidRPr="005E6EBF">
              <w:rPr>
                <w:sz w:val="24"/>
                <w:szCs w:val="24"/>
              </w:rPr>
              <w:t>GPT-4</w:t>
            </w:r>
          </w:p>
        </w:tc>
        <w:tc>
          <w:tcPr>
            <w:tcW w:w="0" w:type="auto"/>
            <w:hideMark/>
          </w:tcPr>
          <w:p w14:paraId="6C5FCB0A" w14:textId="77777777" w:rsidR="005E6EBF" w:rsidRPr="005E6EBF" w:rsidRDefault="005E6EBF" w:rsidP="005E6EB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5E6EBF">
              <w:rPr>
                <w:sz w:val="24"/>
                <w:szCs w:val="24"/>
              </w:rPr>
              <w:t>170 trillion</w:t>
            </w:r>
          </w:p>
        </w:tc>
        <w:tc>
          <w:tcPr>
            <w:tcW w:w="0" w:type="auto"/>
            <w:hideMark/>
          </w:tcPr>
          <w:p w14:paraId="31FD2224" w14:textId="77777777" w:rsidR="005E6EBF" w:rsidRPr="005E6EBF" w:rsidRDefault="005E6EBF" w:rsidP="005E6EB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5E6EBF">
              <w:rPr>
                <w:sz w:val="24"/>
                <w:szCs w:val="24"/>
              </w:rPr>
              <w:t>Equivalent to 61,000 transatlantic flights (single training)</w:t>
            </w:r>
          </w:p>
        </w:tc>
        <w:tc>
          <w:tcPr>
            <w:tcW w:w="0" w:type="auto"/>
            <w:hideMark/>
          </w:tcPr>
          <w:p w14:paraId="57137AF2" w14:textId="77777777" w:rsidR="005E6EBF" w:rsidRPr="005E6EBF" w:rsidRDefault="005E6EBF" w:rsidP="005E6EB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5E6EBF">
              <w:rPr>
                <w:sz w:val="24"/>
                <w:szCs w:val="24"/>
              </w:rPr>
              <w:t>Exponential increase in parameters</w:t>
            </w:r>
          </w:p>
        </w:tc>
        <w:tc>
          <w:tcPr>
            <w:tcW w:w="0" w:type="auto"/>
            <w:hideMark/>
          </w:tcPr>
          <w:p w14:paraId="216074C7" w14:textId="77777777" w:rsidR="005E6EBF" w:rsidRPr="005E6EBF" w:rsidRDefault="005E6EBF" w:rsidP="005E6EB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5E6EBF">
              <w:rPr>
                <w:sz w:val="24"/>
                <w:szCs w:val="24"/>
              </w:rPr>
              <w:t>Model size, training process</w:t>
            </w:r>
          </w:p>
        </w:tc>
        <w:tc>
          <w:tcPr>
            <w:tcW w:w="0" w:type="auto"/>
            <w:hideMark/>
          </w:tcPr>
          <w:p w14:paraId="0C6CA820" w14:textId="77777777" w:rsidR="005E6EBF" w:rsidRPr="005E6EBF" w:rsidRDefault="005E6EBF" w:rsidP="005E6EB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
        </w:tc>
      </w:tr>
    </w:tbl>
    <w:p w14:paraId="2947BB67" w14:textId="77777777" w:rsidR="005E6EBF" w:rsidRDefault="005E6EBF" w:rsidP="005E6EBF">
      <w:pPr>
        <w:rPr>
          <w:sz w:val="24"/>
          <w:szCs w:val="24"/>
        </w:rPr>
      </w:pPr>
    </w:p>
    <w:p w14:paraId="77699FAA" w14:textId="4B4A7CA9" w:rsidR="005E6EBF" w:rsidRDefault="005E6EBF" w:rsidP="005E6EBF">
      <w:pPr>
        <w:rPr>
          <w:sz w:val="24"/>
          <w:szCs w:val="24"/>
        </w:rPr>
      </w:pPr>
      <w:r w:rsidRPr="005E6EBF">
        <w:rPr>
          <w:sz w:val="24"/>
          <w:szCs w:val="24"/>
        </w:rPr>
        <w:lastRenderedPageBreak/>
        <w:drawing>
          <wp:inline distT="0" distB="0" distL="0" distR="0" wp14:anchorId="039D3784" wp14:editId="41FD1B8D">
            <wp:extent cx="5943600" cy="4130040"/>
            <wp:effectExtent l="0" t="0" r="0" b="3810"/>
            <wp:docPr id="1091847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47718" name="Picture 1" descr="A screenshot of a computer&#10;&#10;AI-generated content may be incorrect."/>
                    <pic:cNvPicPr/>
                  </pic:nvPicPr>
                  <pic:blipFill>
                    <a:blip r:embed="rId6"/>
                    <a:stretch>
                      <a:fillRect/>
                    </a:stretch>
                  </pic:blipFill>
                  <pic:spPr>
                    <a:xfrm>
                      <a:off x="0" y="0"/>
                      <a:ext cx="5943600" cy="4130040"/>
                    </a:xfrm>
                    <a:prstGeom prst="rect">
                      <a:avLst/>
                    </a:prstGeom>
                  </pic:spPr>
                </pic:pic>
              </a:graphicData>
            </a:graphic>
          </wp:inline>
        </w:drawing>
      </w:r>
    </w:p>
    <w:p w14:paraId="4934B3DF" w14:textId="4ED7D8C2" w:rsidR="005E6EBF" w:rsidRDefault="005E6EBF" w:rsidP="005E6EBF">
      <w:pPr>
        <w:rPr>
          <w:sz w:val="24"/>
          <w:szCs w:val="24"/>
        </w:rPr>
      </w:pPr>
      <w:hyperlink r:id="rId7" w:history="1">
        <w:r w:rsidRPr="00625E84">
          <w:rPr>
            <w:rStyle w:val="Hyperlink"/>
            <w:sz w:val="24"/>
            <w:szCs w:val="24"/>
          </w:rPr>
          <w:t>https://libguides.ecu.edu/c.php?g=1395131&amp;p=10318505</w:t>
        </w:r>
      </w:hyperlink>
      <w:r>
        <w:rPr>
          <w:sz w:val="24"/>
          <w:szCs w:val="24"/>
        </w:rPr>
        <w:t xml:space="preserve"> </w:t>
      </w:r>
    </w:p>
    <w:p w14:paraId="247D214D" w14:textId="77777777" w:rsidR="005E6EBF" w:rsidRDefault="005E6EBF" w:rsidP="005E6EBF">
      <w:pPr>
        <w:rPr>
          <w:sz w:val="24"/>
          <w:szCs w:val="24"/>
        </w:rPr>
      </w:pPr>
    </w:p>
    <w:p w14:paraId="2110CEE7" w14:textId="782CD33D" w:rsidR="00B0341E" w:rsidRPr="00B0341E" w:rsidRDefault="00B0341E" w:rsidP="005E6EBF">
      <w:pPr>
        <w:rPr>
          <w:b/>
          <w:bCs/>
          <w:sz w:val="24"/>
          <w:szCs w:val="24"/>
        </w:rPr>
      </w:pPr>
      <w:r w:rsidRPr="00B0341E">
        <w:rPr>
          <w:b/>
          <w:bCs/>
          <w:sz w:val="24"/>
          <w:szCs w:val="24"/>
        </w:rPr>
        <w:t>Measuring and Reporting AI's Environmental Impact</w:t>
      </w:r>
    </w:p>
    <w:p w14:paraId="53A0F710" w14:textId="36FF31D0" w:rsidR="00B0341E" w:rsidRPr="00B0341E" w:rsidRDefault="00B0341E" w:rsidP="00B0341E">
      <w:pPr>
        <w:pStyle w:val="ListParagraph"/>
        <w:numPr>
          <w:ilvl w:val="0"/>
          <w:numId w:val="3"/>
        </w:numPr>
        <w:rPr>
          <w:sz w:val="24"/>
          <w:szCs w:val="24"/>
        </w:rPr>
      </w:pPr>
      <w:r w:rsidRPr="00B0341E">
        <w:rPr>
          <w:sz w:val="24"/>
          <w:szCs w:val="24"/>
        </w:rPr>
        <w:t>Methodologies and Key Metrics</w:t>
      </w:r>
    </w:p>
    <w:p w14:paraId="2F254F68" w14:textId="103BF51E" w:rsidR="00B0341E" w:rsidRPr="00B0341E" w:rsidRDefault="00B0341E" w:rsidP="00B0341E">
      <w:pPr>
        <w:ind w:left="720"/>
        <w:rPr>
          <w:sz w:val="24"/>
          <w:szCs w:val="24"/>
        </w:rPr>
      </w:pPr>
      <w:r w:rsidRPr="00B0341E">
        <w:rPr>
          <w:sz w:val="24"/>
          <w:szCs w:val="24"/>
        </w:rPr>
        <w:t>1. Life Cycle Assessment (LCA)</w:t>
      </w:r>
    </w:p>
    <w:p w14:paraId="5C779309" w14:textId="77777777" w:rsidR="00B0341E" w:rsidRDefault="00B0341E" w:rsidP="00B0341E">
      <w:pPr>
        <w:ind w:left="720"/>
        <w:rPr>
          <w:sz w:val="24"/>
          <w:szCs w:val="24"/>
        </w:rPr>
      </w:pPr>
      <w:r w:rsidRPr="00B0341E">
        <w:rPr>
          <w:sz w:val="24"/>
          <w:szCs w:val="24"/>
        </w:rPr>
        <w:t>2. Data Center Efficiency Metrics</w:t>
      </w:r>
    </w:p>
    <w:p w14:paraId="084F4A20" w14:textId="239ED952" w:rsidR="00B0341E" w:rsidRDefault="00B0341E" w:rsidP="00B0341E">
      <w:pPr>
        <w:rPr>
          <w:sz w:val="24"/>
          <w:szCs w:val="24"/>
        </w:rPr>
      </w:pPr>
      <w:r>
        <w:rPr>
          <w:sz w:val="24"/>
          <w:szCs w:val="24"/>
        </w:rPr>
        <w:t xml:space="preserve">        </w:t>
      </w:r>
      <w:r w:rsidRPr="00B0341E">
        <w:rPr>
          <w:sz w:val="24"/>
          <w:szCs w:val="24"/>
        </w:rPr>
        <w:t>B. Tools and Platforms for Carbon Footprint Calculation</w:t>
      </w:r>
    </w:p>
    <w:p w14:paraId="50B42933" w14:textId="1CF4E40C" w:rsidR="00B0341E" w:rsidRDefault="00B0341E" w:rsidP="00B0341E">
      <w:pPr>
        <w:ind w:firstLine="720"/>
        <w:rPr>
          <w:sz w:val="24"/>
          <w:szCs w:val="24"/>
        </w:rPr>
      </w:pPr>
      <w:r w:rsidRPr="00B0341E">
        <w:rPr>
          <w:sz w:val="24"/>
          <w:szCs w:val="24"/>
        </w:rPr>
        <w:t>1. Open-Source Tools</w:t>
      </w:r>
    </w:p>
    <w:p w14:paraId="4E611F6C" w14:textId="6237330C" w:rsidR="00B0341E" w:rsidRDefault="00B0341E" w:rsidP="00B0341E">
      <w:pPr>
        <w:ind w:firstLine="720"/>
        <w:rPr>
          <w:sz w:val="24"/>
          <w:szCs w:val="24"/>
        </w:rPr>
      </w:pPr>
      <w:r>
        <w:rPr>
          <w:sz w:val="24"/>
          <w:szCs w:val="24"/>
        </w:rPr>
        <w:tab/>
        <w:t xml:space="preserve">a. </w:t>
      </w:r>
      <w:proofErr w:type="spellStart"/>
      <w:r w:rsidRPr="00B0341E">
        <w:rPr>
          <w:b/>
          <w:bCs/>
          <w:sz w:val="24"/>
          <w:szCs w:val="24"/>
        </w:rPr>
        <w:t>CodeCarbon</w:t>
      </w:r>
      <w:proofErr w:type="spellEnd"/>
      <w:r w:rsidRPr="00B0341E">
        <w:rPr>
          <w:sz w:val="24"/>
          <w:szCs w:val="24"/>
        </w:rPr>
        <w:t>: A lightweight, open-source Python package that seamlessly integrates into codebases to estimate CO2 emissions from computing resources.</w:t>
      </w:r>
    </w:p>
    <w:p w14:paraId="044C9850" w14:textId="1B072362" w:rsidR="00B0341E" w:rsidRDefault="00B0341E" w:rsidP="00B0341E">
      <w:pPr>
        <w:ind w:left="720" w:firstLine="720"/>
        <w:rPr>
          <w:sz w:val="24"/>
          <w:szCs w:val="24"/>
        </w:rPr>
      </w:pPr>
      <w:r>
        <w:rPr>
          <w:sz w:val="24"/>
          <w:szCs w:val="24"/>
        </w:rPr>
        <w:t xml:space="preserve">b. </w:t>
      </w:r>
      <w:r w:rsidRPr="00B0341E">
        <w:rPr>
          <w:b/>
          <w:bCs/>
          <w:sz w:val="24"/>
          <w:szCs w:val="24"/>
        </w:rPr>
        <w:t>Cloud Carbon Footprint</w:t>
      </w:r>
      <w:r w:rsidRPr="00B0341E">
        <w:rPr>
          <w:sz w:val="24"/>
          <w:szCs w:val="24"/>
        </w:rPr>
        <w:t>: An open-source tool designed to help businesses measure and manage the carbon emissions associated with their cloud usage across multiple providers like AWS, Google Cloud, and Microsoft Azure</w:t>
      </w:r>
    </w:p>
    <w:p w14:paraId="6F76B94D" w14:textId="77777777" w:rsidR="005E6EBF" w:rsidRDefault="005E6EBF" w:rsidP="005E6EBF">
      <w:pPr>
        <w:rPr>
          <w:sz w:val="24"/>
          <w:szCs w:val="24"/>
        </w:rPr>
      </w:pPr>
    </w:p>
    <w:p w14:paraId="7E782A34" w14:textId="5E37B306" w:rsidR="00B0341E" w:rsidRDefault="00B0341E" w:rsidP="00B0341E">
      <w:pPr>
        <w:ind w:firstLine="720"/>
        <w:rPr>
          <w:sz w:val="24"/>
          <w:szCs w:val="24"/>
        </w:rPr>
      </w:pPr>
      <w:r w:rsidRPr="00B0341E">
        <w:rPr>
          <w:sz w:val="24"/>
          <w:szCs w:val="24"/>
        </w:rPr>
        <w:lastRenderedPageBreak/>
        <w:t>2. Commercial Platforms</w:t>
      </w:r>
    </w:p>
    <w:p w14:paraId="303A629A" w14:textId="77777777" w:rsidR="00B0341E" w:rsidRDefault="00B0341E" w:rsidP="00B0341E">
      <w:pPr>
        <w:ind w:firstLine="720"/>
        <w:rPr>
          <w:sz w:val="24"/>
          <w:szCs w:val="24"/>
        </w:rPr>
      </w:pPr>
    </w:p>
    <w:p w14:paraId="5F835F20" w14:textId="77777777" w:rsidR="00B0341E" w:rsidRDefault="00B0341E" w:rsidP="00B0341E">
      <w:pPr>
        <w:ind w:firstLine="720"/>
        <w:rPr>
          <w:sz w:val="24"/>
          <w:szCs w:val="24"/>
        </w:rPr>
      </w:pPr>
    </w:p>
    <w:p w14:paraId="1AEA2842" w14:textId="77777777" w:rsidR="00B0341E" w:rsidRPr="00B0341E" w:rsidRDefault="00B0341E" w:rsidP="00B0341E">
      <w:pPr>
        <w:ind w:firstLine="720"/>
        <w:rPr>
          <w:b/>
          <w:bCs/>
          <w:sz w:val="24"/>
          <w:szCs w:val="24"/>
        </w:rPr>
      </w:pPr>
      <w:r w:rsidRPr="00B0341E">
        <w:rPr>
          <w:b/>
          <w:bCs/>
          <w:sz w:val="24"/>
          <w:szCs w:val="24"/>
        </w:rPr>
        <w:t>C. The Challenge of Transparency and Regulatory Landscape</w:t>
      </w:r>
    </w:p>
    <w:p w14:paraId="241737BB" w14:textId="77777777" w:rsidR="00B0341E" w:rsidRPr="00B0341E" w:rsidRDefault="00B0341E" w:rsidP="00B0341E">
      <w:pPr>
        <w:ind w:firstLine="720"/>
        <w:rPr>
          <w:sz w:val="24"/>
          <w:szCs w:val="24"/>
        </w:rPr>
      </w:pPr>
      <w:r w:rsidRPr="00B0341E">
        <w:rPr>
          <w:sz w:val="24"/>
          <w:szCs w:val="24"/>
        </w:rPr>
        <w:t>A significant challenge in accurately assessing AI's environmental impact is the pervasive lack of transparency from large technology companies developing AI models.</w:t>
      </w:r>
    </w:p>
    <w:p w14:paraId="6DBB12F7" w14:textId="77777777" w:rsidR="00B0341E" w:rsidRDefault="00B0341E" w:rsidP="00B0341E">
      <w:pPr>
        <w:ind w:firstLine="720"/>
        <w:rPr>
          <w:sz w:val="24"/>
          <w:szCs w:val="24"/>
        </w:rPr>
      </w:pPr>
    </w:p>
    <w:p w14:paraId="5FFD84E7" w14:textId="77777777" w:rsidR="00B0341E" w:rsidRPr="00B0341E" w:rsidRDefault="00B0341E" w:rsidP="00B0341E">
      <w:pPr>
        <w:ind w:firstLine="720"/>
        <w:rPr>
          <w:b/>
          <w:bCs/>
          <w:sz w:val="24"/>
          <w:szCs w:val="24"/>
        </w:rPr>
      </w:pPr>
      <w:r w:rsidRPr="00B0341E">
        <w:rPr>
          <w:b/>
          <w:bCs/>
          <w:sz w:val="24"/>
          <w:szCs w:val="24"/>
        </w:rPr>
        <w:t>2. Emerging Regulations and Standards</w:t>
      </w:r>
    </w:p>
    <w:p w14:paraId="1BE079D9" w14:textId="77777777" w:rsidR="00B0341E" w:rsidRPr="00B0341E" w:rsidRDefault="00B0341E" w:rsidP="00B0341E">
      <w:pPr>
        <w:ind w:firstLine="720"/>
        <w:rPr>
          <w:sz w:val="24"/>
          <w:szCs w:val="24"/>
        </w:rPr>
      </w:pPr>
      <w:r w:rsidRPr="00B0341E">
        <w:rPr>
          <w:sz w:val="24"/>
          <w:szCs w:val="24"/>
        </w:rPr>
        <w:t>In response to growing concerns and the need for accountability, a regulatory landscape is emerging to mandate environmental reporting:</w:t>
      </w:r>
    </w:p>
    <w:p w14:paraId="0DAF2AD7" w14:textId="77777777" w:rsidR="00B0341E" w:rsidRPr="00B0341E" w:rsidRDefault="00B0341E" w:rsidP="00B0341E">
      <w:pPr>
        <w:numPr>
          <w:ilvl w:val="0"/>
          <w:numId w:val="4"/>
        </w:numPr>
        <w:rPr>
          <w:sz w:val="24"/>
          <w:szCs w:val="24"/>
        </w:rPr>
      </w:pPr>
      <w:r w:rsidRPr="00B0341E">
        <w:rPr>
          <w:b/>
          <w:bCs/>
          <w:sz w:val="24"/>
          <w:szCs w:val="24"/>
        </w:rPr>
        <w:t>California's Climate Accountability Laws (SB 253 and SB 219)</w:t>
      </w:r>
      <w:r w:rsidRPr="00B0341E">
        <w:rPr>
          <w:sz w:val="24"/>
          <w:szCs w:val="24"/>
        </w:rPr>
        <w:t>: These laws mandate businesses with over $1 billion in annual revenues operating in California to report their Scope 1 (direct), Scope 2 (purchased energy), and Scope 3 (supply chain) greenhouse gas emissions.</w:t>
      </w:r>
    </w:p>
    <w:p w14:paraId="4C6CA057" w14:textId="610F0679" w:rsidR="00B0341E" w:rsidRDefault="00B0341E" w:rsidP="00B0341E">
      <w:pPr>
        <w:ind w:firstLine="720"/>
        <w:rPr>
          <w:sz w:val="24"/>
          <w:szCs w:val="24"/>
        </w:rPr>
      </w:pPr>
      <w:r w:rsidRPr="00B0341E">
        <w:rPr>
          <w:b/>
          <w:bCs/>
          <w:sz w:val="24"/>
          <w:szCs w:val="24"/>
        </w:rPr>
        <w:t>European Union’s Corporate Sustainability Reporting Directive (CSRD)</w:t>
      </w:r>
      <w:r w:rsidRPr="00B0341E">
        <w:rPr>
          <w:sz w:val="24"/>
          <w:szCs w:val="24"/>
        </w:rPr>
        <w:t>: This directive compels large companies and listed SMEs to regularly report their environmental and social impacts, including detailed ESG impacts within their value chains</w:t>
      </w:r>
    </w:p>
    <w:p w14:paraId="69AC327A" w14:textId="71453771" w:rsidR="00B0341E" w:rsidRDefault="00B0341E" w:rsidP="00B0341E">
      <w:pPr>
        <w:ind w:firstLine="720"/>
        <w:rPr>
          <w:sz w:val="24"/>
          <w:szCs w:val="24"/>
        </w:rPr>
      </w:pPr>
      <w:r w:rsidRPr="00B0341E">
        <w:rPr>
          <w:b/>
          <w:bCs/>
          <w:sz w:val="24"/>
          <w:szCs w:val="24"/>
        </w:rPr>
        <w:t>European Commission’s Energy Efficiency Directive (EED)</w:t>
      </w:r>
      <w:r w:rsidRPr="00B0341E">
        <w:rPr>
          <w:sz w:val="24"/>
          <w:szCs w:val="24"/>
        </w:rPr>
        <w:t>: This directive requires data centers operating in the EU that use more than 2,780 MWh of energy annually to report publicly on their energy performance</w:t>
      </w:r>
    </w:p>
    <w:p w14:paraId="55B9BDCF" w14:textId="77777777" w:rsidR="005E6EBF" w:rsidRDefault="005E6EBF" w:rsidP="005E6EBF">
      <w:pPr>
        <w:rPr>
          <w:sz w:val="24"/>
          <w:szCs w:val="24"/>
        </w:rPr>
      </w:pPr>
    </w:p>
    <w:p w14:paraId="4B190384" w14:textId="77777777" w:rsidR="00783553" w:rsidRDefault="00783553" w:rsidP="005E6EBF">
      <w:pPr>
        <w:rPr>
          <w:sz w:val="24"/>
          <w:szCs w:val="24"/>
        </w:rPr>
      </w:pPr>
    </w:p>
    <w:p w14:paraId="7BF0B0F2" w14:textId="77777777" w:rsidR="00783553" w:rsidRDefault="00783553" w:rsidP="005E6EBF">
      <w:pPr>
        <w:rPr>
          <w:sz w:val="24"/>
          <w:szCs w:val="24"/>
        </w:rPr>
      </w:pPr>
    </w:p>
    <w:p w14:paraId="1C38C8D3" w14:textId="128517E4" w:rsidR="00783553" w:rsidRDefault="00783553" w:rsidP="005E6EBF">
      <w:pPr>
        <w:rPr>
          <w:sz w:val="24"/>
          <w:szCs w:val="24"/>
        </w:rPr>
      </w:pPr>
      <w:r>
        <w:rPr>
          <w:sz w:val="24"/>
          <w:szCs w:val="24"/>
        </w:rPr>
        <w:t>Good thing:</w:t>
      </w:r>
    </w:p>
    <w:p w14:paraId="73BED67C" w14:textId="644855E0" w:rsidR="00783553" w:rsidRPr="00783553" w:rsidRDefault="00783553" w:rsidP="00783553">
      <w:pPr>
        <w:rPr>
          <w:b/>
          <w:bCs/>
          <w:sz w:val="24"/>
          <w:szCs w:val="24"/>
        </w:rPr>
      </w:pPr>
      <w:r>
        <w:rPr>
          <w:b/>
          <w:bCs/>
          <w:sz w:val="24"/>
          <w:szCs w:val="24"/>
        </w:rPr>
        <w:t>1</w:t>
      </w:r>
      <w:r w:rsidRPr="00783553">
        <w:rPr>
          <w:b/>
          <w:bCs/>
          <w:sz w:val="24"/>
          <w:szCs w:val="24"/>
        </w:rPr>
        <w:t>. Resource Efficiency</w:t>
      </w:r>
    </w:p>
    <w:p w14:paraId="7B3756FE" w14:textId="77777777" w:rsidR="00783553" w:rsidRPr="00783553" w:rsidRDefault="00783553" w:rsidP="00783553">
      <w:pPr>
        <w:rPr>
          <w:sz w:val="24"/>
          <w:szCs w:val="24"/>
        </w:rPr>
      </w:pPr>
      <w:r w:rsidRPr="00783553">
        <w:rPr>
          <w:sz w:val="24"/>
          <w:szCs w:val="24"/>
        </w:rPr>
        <w:t>AI algorithms can lead to substantial resource savings. For instance, simulations suggest that AI algorithms can save up to 27.6% of water and 57% of energy during tomato seasons compared to conventional practices. AI optimizes irrigation, fertilization, and crop rotations based on historical records, sensor data, and satellite imagery for improved harvests and resource utilization.</w:t>
      </w:r>
    </w:p>
    <w:p w14:paraId="04065DC8" w14:textId="77777777" w:rsidR="00783553" w:rsidRDefault="00783553" w:rsidP="005E6EBF">
      <w:pPr>
        <w:rPr>
          <w:sz w:val="24"/>
          <w:szCs w:val="24"/>
        </w:rPr>
      </w:pPr>
    </w:p>
    <w:p w14:paraId="26DD21FD" w14:textId="6E698FA6" w:rsidR="00783553" w:rsidRDefault="00783553" w:rsidP="005E6EBF">
      <w:pPr>
        <w:rPr>
          <w:sz w:val="24"/>
          <w:szCs w:val="24"/>
        </w:rPr>
      </w:pPr>
      <w:r>
        <w:rPr>
          <w:sz w:val="24"/>
          <w:szCs w:val="24"/>
        </w:rPr>
        <w:lastRenderedPageBreak/>
        <w:t>2</w:t>
      </w:r>
      <w:r w:rsidRPr="00783553">
        <w:rPr>
          <w:sz w:val="24"/>
          <w:szCs w:val="24"/>
        </w:rPr>
        <w:t>. Supply Chain Optimization</w:t>
      </w:r>
    </w:p>
    <w:p w14:paraId="642E86C9" w14:textId="0421FC6A" w:rsidR="00783553" w:rsidRDefault="00783553" w:rsidP="005E6EBF">
      <w:pPr>
        <w:rPr>
          <w:sz w:val="24"/>
          <w:szCs w:val="24"/>
        </w:rPr>
      </w:pPr>
      <w:r w:rsidRPr="00783553">
        <w:rPr>
          <w:sz w:val="24"/>
          <w:szCs w:val="24"/>
        </w:rPr>
        <w:t xml:space="preserve">AI algorithms like reinforcement learning have been used to optimize energy-intensive processes, achieving up to 15% reductions in energy consumption. Supervised machine learning models can predict capture efficiency with over 90% accuracy based on historical data and real-time sensor inputs. In the </w:t>
      </w:r>
      <w:r w:rsidRPr="00783553">
        <w:rPr>
          <w:b/>
          <w:bCs/>
          <w:sz w:val="24"/>
          <w:szCs w:val="24"/>
        </w:rPr>
        <w:t>transport phase</w:t>
      </w:r>
      <w:r w:rsidRPr="00783553">
        <w:rPr>
          <w:sz w:val="24"/>
          <w:szCs w:val="24"/>
        </w:rPr>
        <w:t xml:space="preserve">, AI aids in promoting efficient transmission pipelines and optimizing shipment schedules, potentially reducing transport costs by 15% and shipping delays by 20%. For </w:t>
      </w:r>
      <w:r w:rsidRPr="00783553">
        <w:rPr>
          <w:b/>
          <w:bCs/>
          <w:sz w:val="24"/>
          <w:szCs w:val="24"/>
        </w:rPr>
        <w:t>storage</w:t>
      </w:r>
      <w:r w:rsidRPr="00783553">
        <w:rPr>
          <w:sz w:val="24"/>
          <w:szCs w:val="24"/>
        </w:rPr>
        <w:t>, AI can assist in site selection and observation of stored CO2. AI-driven simulations also significantly accelerate material discovery for CCS, making it 500% faster compared to traditional trial-and-error methods.</w:t>
      </w:r>
    </w:p>
    <w:p w14:paraId="675D768F" w14:textId="77777777" w:rsidR="00783553" w:rsidRDefault="00783553" w:rsidP="005E6EBF">
      <w:pPr>
        <w:rPr>
          <w:sz w:val="24"/>
          <w:szCs w:val="24"/>
        </w:rPr>
      </w:pPr>
    </w:p>
    <w:p w14:paraId="08A08E78" w14:textId="77777777" w:rsidR="00783553" w:rsidRPr="00783553" w:rsidRDefault="00783553" w:rsidP="00783553">
      <w:pPr>
        <w:rPr>
          <w:b/>
          <w:bCs/>
          <w:sz w:val="24"/>
          <w:szCs w:val="24"/>
        </w:rPr>
      </w:pPr>
      <w:r w:rsidRPr="00783553">
        <w:rPr>
          <w:b/>
          <w:bCs/>
          <w:sz w:val="24"/>
          <w:szCs w:val="24"/>
        </w:rPr>
        <w:t>Conclusions and Recommendations</w:t>
      </w:r>
    </w:p>
    <w:p w14:paraId="12864359" w14:textId="77777777" w:rsidR="00783553" w:rsidRPr="00783553" w:rsidRDefault="00783553" w:rsidP="00783553">
      <w:pPr>
        <w:rPr>
          <w:sz w:val="24"/>
          <w:szCs w:val="24"/>
        </w:rPr>
      </w:pPr>
      <w:r w:rsidRPr="00783553">
        <w:rPr>
          <w:sz w:val="24"/>
          <w:szCs w:val="24"/>
        </w:rPr>
        <w:t>The analysis indicates that Artificial Intelligence stands at a critical juncture, presenting both significant environmental challenges and unparalleled opportunities for sustainability. The escalating carbon footprint of AI, driven by energy-intensive training and inference, substantial water demands for cooling data centers, and the embodied emissions from hardware manufacturing, necessitates urgent and comprehensive action. The lack of transparency from major AI developers exacerbates this challenge, hindering accurate measurement and accountability. Furthermore, the potential for a "rebound effect," where efficiency gains are outpaced by exponential growth in AI adoption, underscores the need for systemic changes in how AI is developed and deployed.</w:t>
      </w:r>
    </w:p>
    <w:p w14:paraId="43D2782F" w14:textId="77777777" w:rsidR="00783553" w:rsidRPr="00783553" w:rsidRDefault="00783553" w:rsidP="00783553">
      <w:pPr>
        <w:rPr>
          <w:sz w:val="24"/>
          <w:szCs w:val="24"/>
        </w:rPr>
      </w:pPr>
      <w:r w:rsidRPr="00783553">
        <w:rPr>
          <w:sz w:val="24"/>
          <w:szCs w:val="24"/>
        </w:rPr>
        <w:t>However, the evidence also strongly suggests that AI can be a powerful catalyst for environmental stewardship. Its capabilities in climate modeling, smart grid optimization, environmental monitoring, sustainable agriculture, and carbon capture offer transformative potential to address some of the world's most pressing ecological crises. The path forward requires a dual approach: mitigating AI's negative impacts while strategically leveraging its strengths for broader environmental benefits.</w:t>
      </w:r>
    </w:p>
    <w:p w14:paraId="2D3CC2A2" w14:textId="77777777" w:rsidR="00783553" w:rsidRPr="005E6EBF" w:rsidRDefault="00783553" w:rsidP="005E6EBF">
      <w:pPr>
        <w:rPr>
          <w:sz w:val="24"/>
          <w:szCs w:val="24"/>
        </w:rPr>
      </w:pPr>
    </w:p>
    <w:sectPr w:rsidR="00783553" w:rsidRPr="005E6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7662"/>
    <w:multiLevelType w:val="hybridMultilevel"/>
    <w:tmpl w:val="355C6B7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0D0ACB"/>
    <w:multiLevelType w:val="multilevel"/>
    <w:tmpl w:val="6C2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07FAC"/>
    <w:multiLevelType w:val="multilevel"/>
    <w:tmpl w:val="5DD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C1B8C"/>
    <w:multiLevelType w:val="hybridMultilevel"/>
    <w:tmpl w:val="7F32019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88131775">
    <w:abstractNumId w:val="2"/>
  </w:num>
  <w:num w:numId="2" w16cid:durableId="437601682">
    <w:abstractNumId w:val="3"/>
  </w:num>
  <w:num w:numId="3" w16cid:durableId="2000227208">
    <w:abstractNumId w:val="0"/>
  </w:num>
  <w:num w:numId="4" w16cid:durableId="1404183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F0"/>
    <w:rsid w:val="000975F0"/>
    <w:rsid w:val="003052FE"/>
    <w:rsid w:val="005A5EBC"/>
    <w:rsid w:val="005E6EBF"/>
    <w:rsid w:val="006156C1"/>
    <w:rsid w:val="00673D6A"/>
    <w:rsid w:val="00783553"/>
    <w:rsid w:val="007C3718"/>
    <w:rsid w:val="00B0341E"/>
    <w:rsid w:val="00C04DFA"/>
    <w:rsid w:val="00CC4F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7830"/>
  <w15:chartTrackingRefBased/>
  <w15:docId w15:val="{550C53E7-2366-4C70-A1D5-3196621E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5F0"/>
    <w:rPr>
      <w:rFonts w:eastAsiaTheme="majorEastAsia" w:cstheme="majorBidi"/>
      <w:color w:val="272727" w:themeColor="text1" w:themeTint="D8"/>
    </w:rPr>
  </w:style>
  <w:style w:type="paragraph" w:styleId="Title">
    <w:name w:val="Title"/>
    <w:basedOn w:val="Normal"/>
    <w:next w:val="Normal"/>
    <w:link w:val="TitleChar"/>
    <w:uiPriority w:val="10"/>
    <w:qFormat/>
    <w:rsid w:val="00097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5F0"/>
    <w:pPr>
      <w:spacing w:before="160"/>
      <w:jc w:val="center"/>
    </w:pPr>
    <w:rPr>
      <w:i/>
      <w:iCs/>
      <w:color w:val="404040" w:themeColor="text1" w:themeTint="BF"/>
    </w:rPr>
  </w:style>
  <w:style w:type="character" w:customStyle="1" w:styleId="QuoteChar">
    <w:name w:val="Quote Char"/>
    <w:basedOn w:val="DefaultParagraphFont"/>
    <w:link w:val="Quote"/>
    <w:uiPriority w:val="29"/>
    <w:rsid w:val="000975F0"/>
    <w:rPr>
      <w:i/>
      <w:iCs/>
      <w:color w:val="404040" w:themeColor="text1" w:themeTint="BF"/>
    </w:rPr>
  </w:style>
  <w:style w:type="paragraph" w:styleId="ListParagraph">
    <w:name w:val="List Paragraph"/>
    <w:basedOn w:val="Normal"/>
    <w:uiPriority w:val="34"/>
    <w:qFormat/>
    <w:rsid w:val="000975F0"/>
    <w:pPr>
      <w:ind w:left="720"/>
      <w:contextualSpacing/>
    </w:pPr>
  </w:style>
  <w:style w:type="character" w:styleId="IntenseEmphasis">
    <w:name w:val="Intense Emphasis"/>
    <w:basedOn w:val="DefaultParagraphFont"/>
    <w:uiPriority w:val="21"/>
    <w:qFormat/>
    <w:rsid w:val="000975F0"/>
    <w:rPr>
      <w:i/>
      <w:iCs/>
      <w:color w:val="0F4761" w:themeColor="accent1" w:themeShade="BF"/>
    </w:rPr>
  </w:style>
  <w:style w:type="paragraph" w:styleId="IntenseQuote">
    <w:name w:val="Intense Quote"/>
    <w:basedOn w:val="Normal"/>
    <w:next w:val="Normal"/>
    <w:link w:val="IntenseQuoteChar"/>
    <w:uiPriority w:val="30"/>
    <w:qFormat/>
    <w:rsid w:val="00097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5F0"/>
    <w:rPr>
      <w:i/>
      <w:iCs/>
      <w:color w:val="0F4761" w:themeColor="accent1" w:themeShade="BF"/>
    </w:rPr>
  </w:style>
  <w:style w:type="character" w:styleId="IntenseReference">
    <w:name w:val="Intense Reference"/>
    <w:basedOn w:val="DefaultParagraphFont"/>
    <w:uiPriority w:val="32"/>
    <w:qFormat/>
    <w:rsid w:val="000975F0"/>
    <w:rPr>
      <w:b/>
      <w:bCs/>
      <w:smallCaps/>
      <w:color w:val="0F4761" w:themeColor="accent1" w:themeShade="BF"/>
      <w:spacing w:val="5"/>
    </w:rPr>
  </w:style>
  <w:style w:type="character" w:styleId="Hyperlink">
    <w:name w:val="Hyperlink"/>
    <w:basedOn w:val="DefaultParagraphFont"/>
    <w:uiPriority w:val="99"/>
    <w:unhideWhenUsed/>
    <w:rsid w:val="003052FE"/>
    <w:rPr>
      <w:color w:val="467886" w:themeColor="hyperlink"/>
      <w:u w:val="single"/>
    </w:rPr>
  </w:style>
  <w:style w:type="character" w:styleId="UnresolvedMention">
    <w:name w:val="Unresolved Mention"/>
    <w:basedOn w:val="DefaultParagraphFont"/>
    <w:uiPriority w:val="99"/>
    <w:semiHidden/>
    <w:unhideWhenUsed/>
    <w:rsid w:val="003052FE"/>
    <w:rPr>
      <w:color w:val="605E5C"/>
      <w:shd w:val="clear" w:color="auto" w:fill="E1DFDD"/>
    </w:rPr>
  </w:style>
  <w:style w:type="table" w:styleId="GridTable5Dark">
    <w:name w:val="Grid Table 5 Dark"/>
    <w:basedOn w:val="TableNormal"/>
    <w:uiPriority w:val="50"/>
    <w:rsid w:val="005E6E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5E6E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5414">
      <w:bodyDiv w:val="1"/>
      <w:marLeft w:val="0"/>
      <w:marRight w:val="0"/>
      <w:marTop w:val="0"/>
      <w:marBottom w:val="0"/>
      <w:divBdr>
        <w:top w:val="none" w:sz="0" w:space="0" w:color="auto"/>
        <w:left w:val="none" w:sz="0" w:space="0" w:color="auto"/>
        <w:bottom w:val="none" w:sz="0" w:space="0" w:color="auto"/>
        <w:right w:val="none" w:sz="0" w:space="0" w:color="auto"/>
      </w:divBdr>
    </w:div>
    <w:div w:id="171066607">
      <w:bodyDiv w:val="1"/>
      <w:marLeft w:val="0"/>
      <w:marRight w:val="0"/>
      <w:marTop w:val="0"/>
      <w:marBottom w:val="0"/>
      <w:divBdr>
        <w:top w:val="none" w:sz="0" w:space="0" w:color="auto"/>
        <w:left w:val="none" w:sz="0" w:space="0" w:color="auto"/>
        <w:bottom w:val="none" w:sz="0" w:space="0" w:color="auto"/>
        <w:right w:val="none" w:sz="0" w:space="0" w:color="auto"/>
      </w:divBdr>
      <w:divsChild>
        <w:div w:id="38093859">
          <w:marLeft w:val="0"/>
          <w:marRight w:val="0"/>
          <w:marTop w:val="0"/>
          <w:marBottom w:val="0"/>
          <w:divBdr>
            <w:top w:val="none" w:sz="0" w:space="0" w:color="auto"/>
            <w:left w:val="none" w:sz="0" w:space="0" w:color="auto"/>
            <w:bottom w:val="none" w:sz="0" w:space="0" w:color="auto"/>
            <w:right w:val="none" w:sz="0" w:space="0" w:color="auto"/>
          </w:divBdr>
        </w:div>
      </w:divsChild>
    </w:div>
    <w:div w:id="252052358">
      <w:bodyDiv w:val="1"/>
      <w:marLeft w:val="0"/>
      <w:marRight w:val="0"/>
      <w:marTop w:val="0"/>
      <w:marBottom w:val="0"/>
      <w:divBdr>
        <w:top w:val="none" w:sz="0" w:space="0" w:color="auto"/>
        <w:left w:val="none" w:sz="0" w:space="0" w:color="auto"/>
        <w:bottom w:val="none" w:sz="0" w:space="0" w:color="auto"/>
        <w:right w:val="none" w:sz="0" w:space="0" w:color="auto"/>
      </w:divBdr>
    </w:div>
    <w:div w:id="337002008">
      <w:bodyDiv w:val="1"/>
      <w:marLeft w:val="0"/>
      <w:marRight w:val="0"/>
      <w:marTop w:val="0"/>
      <w:marBottom w:val="0"/>
      <w:divBdr>
        <w:top w:val="none" w:sz="0" w:space="0" w:color="auto"/>
        <w:left w:val="none" w:sz="0" w:space="0" w:color="auto"/>
        <w:bottom w:val="none" w:sz="0" w:space="0" w:color="auto"/>
        <w:right w:val="none" w:sz="0" w:space="0" w:color="auto"/>
      </w:divBdr>
    </w:div>
    <w:div w:id="400370757">
      <w:bodyDiv w:val="1"/>
      <w:marLeft w:val="0"/>
      <w:marRight w:val="0"/>
      <w:marTop w:val="0"/>
      <w:marBottom w:val="0"/>
      <w:divBdr>
        <w:top w:val="none" w:sz="0" w:space="0" w:color="auto"/>
        <w:left w:val="none" w:sz="0" w:space="0" w:color="auto"/>
        <w:bottom w:val="none" w:sz="0" w:space="0" w:color="auto"/>
        <w:right w:val="none" w:sz="0" w:space="0" w:color="auto"/>
      </w:divBdr>
    </w:div>
    <w:div w:id="522287542">
      <w:bodyDiv w:val="1"/>
      <w:marLeft w:val="0"/>
      <w:marRight w:val="0"/>
      <w:marTop w:val="0"/>
      <w:marBottom w:val="0"/>
      <w:divBdr>
        <w:top w:val="none" w:sz="0" w:space="0" w:color="auto"/>
        <w:left w:val="none" w:sz="0" w:space="0" w:color="auto"/>
        <w:bottom w:val="none" w:sz="0" w:space="0" w:color="auto"/>
        <w:right w:val="none" w:sz="0" w:space="0" w:color="auto"/>
      </w:divBdr>
    </w:div>
    <w:div w:id="538712249">
      <w:bodyDiv w:val="1"/>
      <w:marLeft w:val="0"/>
      <w:marRight w:val="0"/>
      <w:marTop w:val="0"/>
      <w:marBottom w:val="0"/>
      <w:divBdr>
        <w:top w:val="none" w:sz="0" w:space="0" w:color="auto"/>
        <w:left w:val="none" w:sz="0" w:space="0" w:color="auto"/>
        <w:bottom w:val="none" w:sz="0" w:space="0" w:color="auto"/>
        <w:right w:val="none" w:sz="0" w:space="0" w:color="auto"/>
      </w:divBdr>
    </w:div>
    <w:div w:id="585917453">
      <w:bodyDiv w:val="1"/>
      <w:marLeft w:val="0"/>
      <w:marRight w:val="0"/>
      <w:marTop w:val="0"/>
      <w:marBottom w:val="0"/>
      <w:divBdr>
        <w:top w:val="none" w:sz="0" w:space="0" w:color="auto"/>
        <w:left w:val="none" w:sz="0" w:space="0" w:color="auto"/>
        <w:bottom w:val="none" w:sz="0" w:space="0" w:color="auto"/>
        <w:right w:val="none" w:sz="0" w:space="0" w:color="auto"/>
      </w:divBdr>
    </w:div>
    <w:div w:id="665789237">
      <w:bodyDiv w:val="1"/>
      <w:marLeft w:val="0"/>
      <w:marRight w:val="0"/>
      <w:marTop w:val="0"/>
      <w:marBottom w:val="0"/>
      <w:divBdr>
        <w:top w:val="none" w:sz="0" w:space="0" w:color="auto"/>
        <w:left w:val="none" w:sz="0" w:space="0" w:color="auto"/>
        <w:bottom w:val="none" w:sz="0" w:space="0" w:color="auto"/>
        <w:right w:val="none" w:sz="0" w:space="0" w:color="auto"/>
      </w:divBdr>
    </w:div>
    <w:div w:id="718355836">
      <w:bodyDiv w:val="1"/>
      <w:marLeft w:val="0"/>
      <w:marRight w:val="0"/>
      <w:marTop w:val="0"/>
      <w:marBottom w:val="0"/>
      <w:divBdr>
        <w:top w:val="none" w:sz="0" w:space="0" w:color="auto"/>
        <w:left w:val="none" w:sz="0" w:space="0" w:color="auto"/>
        <w:bottom w:val="none" w:sz="0" w:space="0" w:color="auto"/>
        <w:right w:val="none" w:sz="0" w:space="0" w:color="auto"/>
      </w:divBdr>
      <w:divsChild>
        <w:div w:id="1204293504">
          <w:marLeft w:val="0"/>
          <w:marRight w:val="0"/>
          <w:marTop w:val="0"/>
          <w:marBottom w:val="0"/>
          <w:divBdr>
            <w:top w:val="none" w:sz="0" w:space="0" w:color="auto"/>
            <w:left w:val="none" w:sz="0" w:space="0" w:color="auto"/>
            <w:bottom w:val="none" w:sz="0" w:space="0" w:color="auto"/>
            <w:right w:val="none" w:sz="0" w:space="0" w:color="auto"/>
          </w:divBdr>
        </w:div>
      </w:divsChild>
    </w:div>
    <w:div w:id="917448482">
      <w:bodyDiv w:val="1"/>
      <w:marLeft w:val="0"/>
      <w:marRight w:val="0"/>
      <w:marTop w:val="0"/>
      <w:marBottom w:val="0"/>
      <w:divBdr>
        <w:top w:val="none" w:sz="0" w:space="0" w:color="auto"/>
        <w:left w:val="none" w:sz="0" w:space="0" w:color="auto"/>
        <w:bottom w:val="none" w:sz="0" w:space="0" w:color="auto"/>
        <w:right w:val="none" w:sz="0" w:space="0" w:color="auto"/>
      </w:divBdr>
    </w:div>
    <w:div w:id="989479779">
      <w:bodyDiv w:val="1"/>
      <w:marLeft w:val="0"/>
      <w:marRight w:val="0"/>
      <w:marTop w:val="0"/>
      <w:marBottom w:val="0"/>
      <w:divBdr>
        <w:top w:val="none" w:sz="0" w:space="0" w:color="auto"/>
        <w:left w:val="none" w:sz="0" w:space="0" w:color="auto"/>
        <w:bottom w:val="none" w:sz="0" w:space="0" w:color="auto"/>
        <w:right w:val="none" w:sz="0" w:space="0" w:color="auto"/>
      </w:divBdr>
    </w:div>
    <w:div w:id="1046872836">
      <w:bodyDiv w:val="1"/>
      <w:marLeft w:val="0"/>
      <w:marRight w:val="0"/>
      <w:marTop w:val="0"/>
      <w:marBottom w:val="0"/>
      <w:divBdr>
        <w:top w:val="none" w:sz="0" w:space="0" w:color="auto"/>
        <w:left w:val="none" w:sz="0" w:space="0" w:color="auto"/>
        <w:bottom w:val="none" w:sz="0" w:space="0" w:color="auto"/>
        <w:right w:val="none" w:sz="0" w:space="0" w:color="auto"/>
      </w:divBdr>
    </w:div>
    <w:div w:id="1114210102">
      <w:bodyDiv w:val="1"/>
      <w:marLeft w:val="0"/>
      <w:marRight w:val="0"/>
      <w:marTop w:val="0"/>
      <w:marBottom w:val="0"/>
      <w:divBdr>
        <w:top w:val="none" w:sz="0" w:space="0" w:color="auto"/>
        <w:left w:val="none" w:sz="0" w:space="0" w:color="auto"/>
        <w:bottom w:val="none" w:sz="0" w:space="0" w:color="auto"/>
        <w:right w:val="none" w:sz="0" w:space="0" w:color="auto"/>
      </w:divBdr>
    </w:div>
    <w:div w:id="1228684792">
      <w:bodyDiv w:val="1"/>
      <w:marLeft w:val="0"/>
      <w:marRight w:val="0"/>
      <w:marTop w:val="0"/>
      <w:marBottom w:val="0"/>
      <w:divBdr>
        <w:top w:val="none" w:sz="0" w:space="0" w:color="auto"/>
        <w:left w:val="none" w:sz="0" w:space="0" w:color="auto"/>
        <w:bottom w:val="none" w:sz="0" w:space="0" w:color="auto"/>
        <w:right w:val="none" w:sz="0" w:space="0" w:color="auto"/>
      </w:divBdr>
    </w:div>
    <w:div w:id="1406880504">
      <w:bodyDiv w:val="1"/>
      <w:marLeft w:val="0"/>
      <w:marRight w:val="0"/>
      <w:marTop w:val="0"/>
      <w:marBottom w:val="0"/>
      <w:divBdr>
        <w:top w:val="none" w:sz="0" w:space="0" w:color="auto"/>
        <w:left w:val="none" w:sz="0" w:space="0" w:color="auto"/>
        <w:bottom w:val="none" w:sz="0" w:space="0" w:color="auto"/>
        <w:right w:val="none" w:sz="0" w:space="0" w:color="auto"/>
      </w:divBdr>
    </w:div>
    <w:div w:id="1545941288">
      <w:bodyDiv w:val="1"/>
      <w:marLeft w:val="0"/>
      <w:marRight w:val="0"/>
      <w:marTop w:val="0"/>
      <w:marBottom w:val="0"/>
      <w:divBdr>
        <w:top w:val="none" w:sz="0" w:space="0" w:color="auto"/>
        <w:left w:val="none" w:sz="0" w:space="0" w:color="auto"/>
        <w:bottom w:val="none" w:sz="0" w:space="0" w:color="auto"/>
        <w:right w:val="none" w:sz="0" w:space="0" w:color="auto"/>
      </w:divBdr>
    </w:div>
    <w:div w:id="1600287548">
      <w:bodyDiv w:val="1"/>
      <w:marLeft w:val="0"/>
      <w:marRight w:val="0"/>
      <w:marTop w:val="0"/>
      <w:marBottom w:val="0"/>
      <w:divBdr>
        <w:top w:val="none" w:sz="0" w:space="0" w:color="auto"/>
        <w:left w:val="none" w:sz="0" w:space="0" w:color="auto"/>
        <w:bottom w:val="none" w:sz="0" w:space="0" w:color="auto"/>
        <w:right w:val="none" w:sz="0" w:space="0" w:color="auto"/>
      </w:divBdr>
    </w:div>
    <w:div w:id="1601402970">
      <w:bodyDiv w:val="1"/>
      <w:marLeft w:val="0"/>
      <w:marRight w:val="0"/>
      <w:marTop w:val="0"/>
      <w:marBottom w:val="0"/>
      <w:divBdr>
        <w:top w:val="none" w:sz="0" w:space="0" w:color="auto"/>
        <w:left w:val="none" w:sz="0" w:space="0" w:color="auto"/>
        <w:bottom w:val="none" w:sz="0" w:space="0" w:color="auto"/>
        <w:right w:val="none" w:sz="0" w:space="0" w:color="auto"/>
      </w:divBdr>
    </w:div>
    <w:div w:id="1743720064">
      <w:bodyDiv w:val="1"/>
      <w:marLeft w:val="0"/>
      <w:marRight w:val="0"/>
      <w:marTop w:val="0"/>
      <w:marBottom w:val="0"/>
      <w:divBdr>
        <w:top w:val="none" w:sz="0" w:space="0" w:color="auto"/>
        <w:left w:val="none" w:sz="0" w:space="0" w:color="auto"/>
        <w:bottom w:val="none" w:sz="0" w:space="0" w:color="auto"/>
        <w:right w:val="none" w:sz="0" w:space="0" w:color="auto"/>
      </w:divBdr>
    </w:div>
    <w:div w:id="1759476058">
      <w:bodyDiv w:val="1"/>
      <w:marLeft w:val="0"/>
      <w:marRight w:val="0"/>
      <w:marTop w:val="0"/>
      <w:marBottom w:val="0"/>
      <w:divBdr>
        <w:top w:val="none" w:sz="0" w:space="0" w:color="auto"/>
        <w:left w:val="none" w:sz="0" w:space="0" w:color="auto"/>
        <w:bottom w:val="none" w:sz="0" w:space="0" w:color="auto"/>
        <w:right w:val="none" w:sz="0" w:space="0" w:color="auto"/>
      </w:divBdr>
    </w:div>
    <w:div w:id="1909227424">
      <w:bodyDiv w:val="1"/>
      <w:marLeft w:val="0"/>
      <w:marRight w:val="0"/>
      <w:marTop w:val="0"/>
      <w:marBottom w:val="0"/>
      <w:divBdr>
        <w:top w:val="none" w:sz="0" w:space="0" w:color="auto"/>
        <w:left w:val="none" w:sz="0" w:space="0" w:color="auto"/>
        <w:bottom w:val="none" w:sz="0" w:space="0" w:color="auto"/>
        <w:right w:val="none" w:sz="0" w:space="0" w:color="auto"/>
      </w:divBdr>
    </w:div>
    <w:div w:id="1936404704">
      <w:bodyDiv w:val="1"/>
      <w:marLeft w:val="0"/>
      <w:marRight w:val="0"/>
      <w:marTop w:val="0"/>
      <w:marBottom w:val="0"/>
      <w:divBdr>
        <w:top w:val="none" w:sz="0" w:space="0" w:color="auto"/>
        <w:left w:val="none" w:sz="0" w:space="0" w:color="auto"/>
        <w:bottom w:val="none" w:sz="0" w:space="0" w:color="auto"/>
        <w:right w:val="none" w:sz="0" w:space="0" w:color="auto"/>
      </w:divBdr>
    </w:div>
    <w:div w:id="1976107179">
      <w:bodyDiv w:val="1"/>
      <w:marLeft w:val="0"/>
      <w:marRight w:val="0"/>
      <w:marTop w:val="0"/>
      <w:marBottom w:val="0"/>
      <w:divBdr>
        <w:top w:val="none" w:sz="0" w:space="0" w:color="auto"/>
        <w:left w:val="none" w:sz="0" w:space="0" w:color="auto"/>
        <w:bottom w:val="none" w:sz="0" w:space="0" w:color="auto"/>
        <w:right w:val="none" w:sz="0" w:space="0" w:color="auto"/>
      </w:divBdr>
    </w:div>
    <w:div w:id="20873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bguides.ecu.edu/c.php?g=1395131&amp;p=103185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arbon-direct.com/insights/understanding-the-carbon-footprint-of-ai-and-how-to-reduce-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5</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Tiwari</dc:creator>
  <cp:keywords/>
  <dc:description/>
  <cp:lastModifiedBy>Arpit Tiwari</cp:lastModifiedBy>
  <cp:revision>1</cp:revision>
  <dcterms:created xsi:type="dcterms:W3CDTF">2025-05-24T19:36:00Z</dcterms:created>
  <dcterms:modified xsi:type="dcterms:W3CDTF">2025-05-25T04:04:00Z</dcterms:modified>
</cp:coreProperties>
</file>