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40" w:line="240" w:lineRule="auto"/>
      </w:pPr>
      <w:r>
        <w:rPr>
          <w:rFonts w:ascii="Arial" w:hAnsi="Arial"/>
          <w:b/>
          <w:color w:val="172D36"/>
          <w:sz w:val="48"/>
        </w:rPr>
        <w:t>MediSync Project Proposal</w:t>
      </w:r>
    </w:p>
    <w:p>
      <w:pPr>
        <w:keepNext/>
        <w:spacing w:before="0" w:after="180" w:line="240" w:lineRule="auto"/>
      </w:pPr>
      <w:r>
        <w:rPr>
          <w:rFonts w:ascii="Arial" w:hAnsi="Arial"/>
          <w:b w:val="0"/>
          <w:color w:val="138A8A"/>
          <w:sz w:val="25"/>
        </w:rPr>
        <w:t>Revised for HackForge Logix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4939"/>
        <w:gridCol w:w="4954"/>
      </w:tblGrid>
      <w:tr>
        <w:trPr>
          <w:tblHeader w:val="true"/>
          <w:cantSplit/>
        </w:trPr>
        <w:tc>
          <w:tcPr>
            <w:tcW w:type="dxa" w:w="4939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PROJECT POSITIONING</w:t>
            </w:r>
          </w:p>
        </w:tc>
        <w:tc>
          <w:tcPr>
            <w:tcW w:type="dxa" w:w="4954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CURRENT PROJECT STATUS</w:t>
            </w:r>
          </w:p>
        </w:tc>
      </w:tr>
      <w:tr>
        <w:trPr>
          <w:cantSplit/>
        </w:trPr>
        <w:tc>
          <w:tcPr>
            <w:tcW w:type="dxa" w:w="493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8"/>
              </w:rPr>
              <w:t>Primary track: Open Innovation</w:t>
              <w:br/>
              <w:t>Secondary tracks: AI/ML and Cybersecurity</w:t>
            </w:r>
          </w:p>
        </w:tc>
        <w:tc>
          <w:tcPr>
            <w:tcW w:type="dxa" w:w="495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8"/>
              </w:rPr>
              <w:t>Wokwi simulation in progress; demonstration sequence requires validation.</w:t>
            </w:r>
          </w:p>
        </w:tc>
      </w:tr>
    </w:tbl>
    <w:p>
      <w:pPr>
        <w:spacing w:before="0" w:after="20" w:line="240" w:lineRule="auto"/>
      </w:pPr>
    </w:p>
    <w:p>
      <w:pPr>
        <w:spacing w:before="40" w:after="60" w:line="259" w:lineRule="auto"/>
      </w:pPr>
      <w:r>
        <w:rPr>
          <w:rFonts w:ascii="Arial" w:hAnsi="Arial"/>
          <w:b/>
          <w:i w:val="0"/>
          <w:color w:val="183A4B"/>
          <w:sz w:val="21"/>
        </w:rPr>
        <w:t>Proposal summary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MediSync is a medication reminder and event-tracking concept for people managing medicines across different schedules and package types. It pairs a planned 12-position home/desk unit with a planned six-compartment portable version. The system is designed to record observable package or position changes around a reminder and leave uncertain events for review. A sensed change is not proof that a dose was swallowed.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9893"/>
      </w:tblGrid>
      <w:tr>
        <w:tc>
          <w:tcPr>
            <w:tcW w:type="dxa" w:w="9893"/>
            <w:shd w:fill="EAF4F4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38A8A"/>
                <w:sz w:val="18"/>
              </w:rPr>
              <w:t xml:space="preserve">Status boundary  </w:t>
            </w:r>
            <w:r>
              <w:rPr>
                <w:rFonts w:ascii="Arial" w:hAnsi="Arial"/>
                <w:b w:val="0"/>
                <w:color w:val="24343A"/>
                <w:sz w:val="18"/>
              </w:rPr>
              <w:t>The current demonstration is simulated in Wokwi. It uses an adjustable HX711 model as a simulated load input and an IR EVENT (SIM) button cue; no physical device, live app or cloud connection is in place. The sequence has not yet been validated, and no ingestion, clinical or adherence outcome has been verified.</w:t>
            </w:r>
          </w:p>
        </w:tc>
      </w:tr>
    </w:tbl>
    <w:p>
      <w:pPr>
        <w:spacing w:before="0" w:after="20" w:line="240" w:lineRule="auto"/>
      </w:pPr>
    </w:p>
    <w:p>
      <w:pPr>
        <w:spacing w:before="0" w:after="40" w:line="259" w:lineRule="auto"/>
      </w:pPr>
      <w:r>
        <w:rPr>
          <w:rFonts w:ascii="Arial" w:hAnsi="Arial"/>
          <w:b w:val="0"/>
          <w:i w:val="0"/>
          <w:color w:val="5B7078"/>
          <w:sz w:val="17"/>
        </w:rPr>
        <w:t>Revised 7 October 2026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Problem Statement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Medication routines can involve several medicines with different schedules and package formats. Bottles, liquid containers and blister packs behave differently, so a single sensing method may not fit every position. A reminder confirms only that an alert was issued; it cannot show whether a person removed a dose or took it.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MediSync explores a physical event record around scheduled reminders. Its goal is to make unresolved reminders easier for a user to review and, in a future connected version, optionally share with an authorized helper. The system must describe sensor observations accurately and must not present them as confirmation of ingestion.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Existing Solutions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 project compared common approaches against mixed packaging, replacement effort, mechanical complexity and the limits of sensor-based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2995"/>
        <w:gridCol w:w="6898"/>
      </w:tblGrid>
      <w:tr>
        <w:trPr>
          <w:tblHeader w:val="true"/>
          <w:cantSplit/>
        </w:trPr>
        <w:tc>
          <w:tcPr>
            <w:tcW w:type="dxa" w:w="2995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Approach reviewed</w:t>
            </w:r>
          </w:p>
        </w:tc>
        <w:tc>
          <w:tcPr>
            <w:tcW w:type="dxa" w:w="6898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Trade-off for this project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RFID tags on containers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A replacement bottle would need a new tag, adding setup work.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Camera for blister packs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Needs space, stable lighting and more processing; not selected for the current prototype.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Motorized dispenser or carousel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Adds moving parts and mechanical failure points.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Pure pill counting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Does not cover liquid medicines or package changes well.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Manual pill-weight entry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Takes effort and may need to be repeated when a package changes.</w:t>
            </w:r>
          </w:p>
        </w:tc>
      </w:tr>
      <w:tr>
        <w:trPr>
          <w:cantSplit/>
        </w:trPr>
        <w:tc>
          <w:tcPr>
            <w:tcW w:type="dxa" w:w="299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IR sensing for blister packs</w:t>
            </w:r>
          </w:p>
        </w:tc>
        <w:tc>
          <w:tcPr>
            <w:tcW w:type="dxa" w:w="689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Kept as a proposed cue, with foil, material, geometry and alignment limits to validate.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Selected market and open-source examples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color w:val="24343A"/>
          <w:sz w:val="18"/>
        </w:rPr>
        <w:t>A few adjacent examples help place the proposal. This is a selective context, not a complete competitor survey or a like-for-like performance comparison.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1944"/>
        <w:gridCol w:w="4003"/>
        <w:gridCol w:w="3946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4003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What it illustrates</w:t>
            </w:r>
          </w:p>
        </w:tc>
        <w:tc>
          <w:tcPr>
            <w:tcW w:type="dxa" w:w="3946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Relevance and limit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rial" w:hAnsi="Arial"/>
                <w:b w:val="0"/>
                <w:color w:val="24343A"/>
                <w:sz w:val="16"/>
              </w:rPr>
              <w:t xml:space="preserve">Hero Help Center / </w:t>
            </w:r>
            <w:hyperlink r:id="rId9">
              <w:r>
                <w:rPr>
                  <w:color w:val="138A8A"/>
                  <w:u w:val="single"/>
                  <w:rFonts w:ascii="Arial" w:hAnsi="Arial"/>
                  <w:sz w:val="16"/>
                </w:rPr>
                <w:t>MedMinder</w:t>
              </w:r>
            </w:hyperlink>
          </w:p>
        </w:tc>
        <w:tc>
          <w:tcPr>
            <w:tcW w:type="dxa" w:w="40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rial" w:hAnsi="Arial"/>
                <w:b w:val="0"/>
                <w:color w:val="24343A"/>
                <w:sz w:val="16"/>
              </w:rPr>
              <w:t xml:space="preserve">Reminder and caregiver-alert example: </w:t>
            </w:r>
            <w:hyperlink r:id="rId10">
              <w:r>
                <w:rPr>
                  <w:color w:val="138A8A"/>
                  <w:u w:val="single"/>
                  <w:rFonts w:ascii="Arial" w:hAnsi="Arial"/>
                  <w:sz w:val="16"/>
                </w:rPr>
                <w:t>Hero Help Center</w:t>
              </w:r>
            </w:hyperlink>
          </w:p>
        </w:tc>
        <w:tc>
          <w:tcPr>
            <w:tcW w:type="dxa" w:w="39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These are established adjacent patterns. MediSync does not yet have a connected app, and its proposal centers on sensing different package types.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/>
            <w:hyperlink r:id="rId11">
              <w:r>
                <w:rPr>
                  <w:color w:val="138A8A"/>
                  <w:u w:val="single"/>
                  <w:rFonts w:ascii="Arial" w:hAnsi="Arial"/>
                  <w:sz w:val="16"/>
                </w:rPr>
                <w:t>Shaztech/Pilldispenser</w:t>
              </w:r>
            </w:hyperlink>
          </w:p>
        </w:tc>
        <w:tc>
          <w:tcPr>
            <w:tcW w:type="dxa" w:w="400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A public project documents an ESP32 carousel with printable parts, PCB files and firmware.</w:t>
            </w:r>
          </w:p>
        </w:tc>
        <w:tc>
          <w:tcPr>
            <w:tcW w:type="dxa" w:w="394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Useful as an embedded and physical-design reference. Its motorized dispensing approach differs from MediSync's proposed reminder and event-tracking concept.</w:t>
            </w:r>
          </w:p>
        </w:tc>
      </w:tr>
    </w:tbl>
    <w:p>
      <w:pPr>
        <w:spacing w:before="0" w:after="20" w:line="240" w:lineRule="auto"/>
      </w:pPr>
    </w:p>
    <w:p>
      <w:pPr>
        <w:spacing w:before="0" w:after="80" w:line="259" w:lineRule="auto"/>
      </w:pPr>
      <w:r>
        <w:rPr>
          <w:rFonts w:ascii="Arial" w:hAnsi="Arial"/>
          <w:b w:val="0"/>
          <w:i/>
          <w:color w:val="5B7078"/>
          <w:sz w:val="18"/>
        </w:rPr>
        <w:t>MediSync’s design hypothesis is that package-specific load-cell and IR sensing can add an event record across bottles, liquids and blister packs without motorized dispensing or a tag transfer when a similar bottle is replaced. That distinction remains proposed and untested; none of these references validates MediSync’s sensing or proves ingestion.</w:t>
      </w:r>
    </w:p>
    <w:p>
      <w:pPr>
        <w:spacing w:before="0" w:after="40" w:line="259" w:lineRule="auto"/>
      </w:pPr>
      <w:r>
        <w:rPr>
          <w:rFonts w:ascii="Arial" w:hAnsi="Arial"/>
          <w:b w:val="0"/>
          <w:i/>
          <w:color w:val="5B7078"/>
          <w:sz w:val="18"/>
        </w:rPr>
        <w:t>Design choice: MediSync favors package-aware sensing positions and simple reminders over automated dispensing. This is a concept trade-off, not a claim that the proposed sensing has been proven reliable.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Proposed Solution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MediSync has two proposed form factors. The renders in the presentation show concepts; neither device is a completed physical build.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1656"/>
        <w:gridCol w:w="3658"/>
        <w:gridCol w:w="457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658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Capacity and intended use</w:t>
            </w:r>
          </w:p>
        </w:tc>
        <w:tc>
          <w:tcPr>
            <w:tcW w:type="dxa" w:w="4579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Planned sensing and controls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Home / desk unit</w:t>
            </w:r>
          </w:p>
        </w:tc>
        <w:tc>
          <w:tcPr>
            <w:tcW w:type="dxa" w:w="365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12 positions for a stationary multi-medicine routine: 3 pill/container, 3 liquid and 6 blister positions.</w:t>
            </w:r>
          </w:p>
        </w:tc>
        <w:tc>
          <w:tcPr>
            <w:tcW w:type="dxa" w:w="457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Individual load-cell positions for pill/container and liquid packages; IR sensing at blister positions. Planned ESP32, 0.91-inch OLED, 4 touch switches, 12 position LEDs, buzzer, 1200 mAh / 3.7 V backup battery, USB charging module and antenna.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Portable case</w:t>
            </w:r>
          </w:p>
        </w:tc>
        <w:tc>
          <w:tcPr>
            <w:tcW w:type="dxa" w:w="365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6 compartments for personal use or travel.</w:t>
            </w:r>
          </w:p>
        </w:tc>
        <w:tc>
          <w:tcPr>
            <w:tcW w:type="dxa" w:w="4579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Planned ESP32-C3, shared load cell with HX711, display, 3 touch controls, 6 compartment LEDs, buzzer and rechargeable battery with USB-C charging.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Reminder and event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1800"/>
        <w:gridCol w:w="809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8093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Intended behavior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Set up</w:t>
            </w:r>
          </w:p>
        </w:tc>
        <w:tc>
          <w:tcPr>
            <w:tcW w:type="dxa" w:w="80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Register a medicine, assign a position and enter a schedule.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Remind</w:t>
            </w:r>
          </w:p>
        </w:tc>
        <w:tc>
          <w:tcPr>
            <w:tcW w:type="dxa" w:w="80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Use the screen, position light and sound. The proposed local timing is a light 5 minutes before the dose, 3 beeps at the scheduled time, then 3 beeps twice at +5 minutes and three times at +10 minutes if unresolved.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Sense</w:t>
            </w:r>
          </w:p>
        </w:tc>
        <w:tc>
          <w:tcPr>
            <w:tcW w:type="dxa" w:w="80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Compare the available package or position signal around the reminder. A changed signal is an event candidate, not confirmation of ingestion.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Record and review</w:t>
            </w:r>
          </w:p>
        </w:tc>
        <w:tc>
          <w:tcPr>
            <w:tcW w:type="dxa" w:w="80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Record a candidate or leave the reminder unresolved when the expected change is not observed. The user remains responsible for medication decisions.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Escalate</w:t>
            </w:r>
          </w:p>
        </w:tc>
        <w:tc>
          <w:tcPr>
            <w:tcW w:type="dxa" w:w="809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A connected app notification to selected helpers is a future option. No app or cloud escalation is connected in the current demo.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Medicine registration and replacement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 proposed setup supports QR or barcode entry, manual entry, device-screen controls or a future phone app. After registration, a medicine is assigned to a position. For a similar replacement package, the saved weight profile may be reused after checking it; a materially different package should prompt the user to confirm or recalibrate the profile. The design avoids transferring an RFID tag between bottles.</w:t>
      </w: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Hardware plan and early BOM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 desk concept calls for six load-cell positions, six blister sensing positions and 12 indicators. The portable concept uses one shared load input. These are design targets; sensor selection, calibration, physical integration and the final bill of materials remain to be validated.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3701"/>
        <w:gridCol w:w="6192"/>
      </w:tblGrid>
      <w:tr>
        <w:trPr>
          <w:tblHeader w:val="true"/>
          <w:cantSplit/>
        </w:trPr>
        <w:tc>
          <w:tcPr>
            <w:tcW w:type="dxa" w:w="3701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Early notebook estimate</w:t>
            </w:r>
          </w:p>
        </w:tc>
        <w:tc>
          <w:tcPr>
            <w:tcW w:type="dxa" w:w="6192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What needs correction before budgeting</w:t>
            </w:r>
          </w:p>
        </w:tc>
      </w:tr>
      <w:tr>
        <w:trPr>
          <w:cantSplit/>
        </w:trPr>
        <w:tc>
          <w:tcPr>
            <w:tcW w:type="dxa" w:w="370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Home / desk: 1,798 noted; listed lines add to 1,807 if a full LED pack is purchased.</w:t>
            </w:r>
          </w:p>
        </w:tc>
        <w:tc>
          <w:tcPr>
            <w:tcW w:type="dxa" w:w="61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The earlier list includes 2 full-bridge cells, 2 half-bridge cells, 4 HX711 amplifiers, 2 IR units and 8+ LEDs. It does not match the current 6 load-cell positions, 6 IR positions and 12 LEDs design target.</w:t>
            </w:r>
          </w:p>
        </w:tc>
      </w:tr>
      <w:tr>
        <w:trPr>
          <w:cantSplit/>
        </w:trPr>
        <w:tc>
          <w:tcPr>
            <w:tcW w:type="dxa" w:w="370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Portable: 949 subtotal noted.</w:t>
            </w:r>
          </w:p>
        </w:tc>
        <w:tc>
          <w:tcPr>
            <w:tcW w:type="dxa" w:w="61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The amount is from an earlier component list and is not a validated current quote.</w:t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9893"/>
      </w:tblGrid>
      <w:tr>
        <w:tc>
          <w:tcPr>
            <w:tcW w:type="dxa" w:w="9893"/>
            <w:shd w:fill="FFF5E6"/>
            <w:tcMar>
              <w:top w:w="125" w:type="dxa"/>
              <w:start w:w="165" w:type="dxa"/>
              <w:bottom w:w="125" w:type="dxa"/>
              <w:end w:w="16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38A8A"/>
                <w:sz w:val="18"/>
              </w:rPr>
              <w:t xml:space="preserve">Budget caveat  </w:t>
            </w:r>
            <w:r>
              <w:rPr>
                <w:rFonts w:ascii="Arial" w:hAnsi="Arial"/>
                <w:b w:val="0"/>
                <w:color w:val="24343A"/>
                <w:sz w:val="18"/>
              </w:rPr>
              <w:t>The earlier estimates are incomplete and internally inconsistent; the handwritten lists do not state a currency. Confirm currency, quantities, supplier prices, battery and enclosure requirements, and any omitted modules before using either amount as a project budget.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Key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2232"/>
        <w:gridCol w:w="3773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773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Status in the current demo</w:t>
            </w:r>
          </w:p>
        </w:tc>
        <w:tc>
          <w:tcPr>
            <w:tcW w:type="dxa" w:w="3888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Limit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Scheduled reminders</w:t>
            </w:r>
          </w:p>
        </w:tc>
        <w:tc>
          <w:tcPr>
            <w:tcW w:type="dxa" w:w="37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Simulated with a compressed clock and OLED / buzzer / LED cues.</w:t>
            </w:r>
          </w:p>
        </w:tc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Wokwi sequence is in progress and must be validated.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Weight event candidate</w:t>
            </w:r>
          </w:p>
        </w:tc>
        <w:tc>
          <w:tcPr>
            <w:tcW w:type="dxa" w:w="37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One adjustable Wokwi HX711 model supplies a simulated load input.</w:t>
            </w:r>
          </w:p>
        </w:tc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Candidate signal only; it is not a physical measurement or proof of ingestion.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Blister event cue</w:t>
            </w:r>
          </w:p>
        </w:tc>
        <w:tc>
          <w:tcPr>
            <w:tcW w:type="dxa" w:w="37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Button labeled IR EVENT (SIM) can provide a simulated cue.</w:t>
            </w:r>
          </w:p>
        </w:tc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No physical IR sensor is connected in the current demo.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Event review and unresolved status</w:t>
            </w:r>
          </w:p>
        </w:tc>
        <w:tc>
          <w:tcPr>
            <w:tcW w:type="dxa" w:w="37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Part of the proposed flow; inspect the serial event output after validation.</w:t>
            </w:r>
          </w:p>
        </w:tc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Do not describe event logging or ingestion as verified until the sequence is observed and captured.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App, cloud, adaptive ML, hospital dashboard and TEE</w:t>
            </w:r>
          </w:p>
        </w:tc>
        <w:tc>
          <w:tcPr>
            <w:tcW w:type="dxa" w:w="37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Planned only.</w:t>
            </w:r>
          </w:p>
        </w:tc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No live app/cloud connection or implemented AI/security layer.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59" w:lineRule="auto"/>
      </w:pPr>
      <w:r>
        <w:rPr>
          <w:rFonts w:ascii="Arial" w:hAnsi="Arial"/>
          <w:b w:val="0"/>
          <w:i/>
          <w:color w:val="5B7078"/>
          <w:sz w:val="18"/>
        </w:rPr>
        <w:t>The current stack is a simulation of selected inputs and reminder cues. The home/desk and portable product concepts are not represented by complete physical devices.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Technical Approach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 proposed system links a schedule to a reminder, samples the signal available for the assigned position, and records the result as a candidate event or an unresolved reminder. It is a decision-support concept: a user reviews what happened, and the system does not make medication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1656"/>
        <w:gridCol w:w="3917"/>
        <w:gridCol w:w="432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917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Current simulation</w:t>
            </w:r>
          </w:p>
        </w:tc>
        <w:tc>
          <w:tcPr>
            <w:tcW w:type="dxa" w:w="4320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Planned system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5"/>
              </w:rPr>
              <w:t>Schedule and reminder</w:t>
            </w:r>
          </w:p>
        </w:tc>
        <w:tc>
          <w:tcPr>
            <w:tcW w:type="dxa" w:w="3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Example schedule and compressed-clock reminder cues in Wokwi.</w:t>
            </w:r>
          </w:p>
        </w:tc>
        <w:tc>
          <w:tcPr>
            <w:tcW w:type="dxa" w:w="43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User-configured schedules on the device and, later, in an offline app.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5"/>
              </w:rPr>
              <w:t>Inputs</w:t>
            </w:r>
          </w:p>
        </w:tc>
        <w:tc>
          <w:tcPr>
            <w:tcW w:type="dxa" w:w="3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One simulated HX711 load input; optional button cue labeled IR EVENT (SIM).</w:t>
            </w:r>
          </w:p>
        </w:tc>
        <w:tc>
          <w:tcPr>
            <w:tcW w:type="dxa" w:w="43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Package-specific load cells and IR sensing after physical calibration and testing.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5"/>
              </w:rPr>
              <w:t>Event handling</w:t>
            </w:r>
          </w:p>
        </w:tc>
        <w:tc>
          <w:tcPr>
            <w:tcW w:type="dxa" w:w="3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Demonstration sequence intended to produce a candidate for serial inspection; validation pending.</w:t>
            </w:r>
          </w:p>
        </w:tc>
        <w:tc>
          <w:tcPr>
            <w:tcW w:type="dxa" w:w="43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Store event context and unresolved status for user review, with optional sharing only after app and security work.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5"/>
              </w:rPr>
              <w:t>Connectivity</w:t>
            </w:r>
          </w:p>
        </w:tc>
        <w:tc>
          <w:tcPr>
            <w:tcW w:type="dxa" w:w="391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No phone app or cloud connection.</w:t>
            </w:r>
          </w:p>
        </w:tc>
        <w:tc>
          <w:tcPr>
            <w:tcW w:type="dxa" w:w="43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5"/>
              </w:rPr>
              <w:t>Offline-first phone app is planned; optional cloud AI and care-team dashboard are later possibilities.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Current demonstration sequence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 presentation proposes setting the simulated load near 0.50 kg, entering an example schedule and baseline, triggering a reminder with the compressed clock, acknowledging with SELECT, adjusting the input near 0.35 kg, optionally pressing IR EVENT (SIM), then confirming and inspecting the OLED and serial output. This is a validation script, not a verified result. Capture the actual display and serial output before describing the sequence as working.</w:t>
      </w:r>
    </w:p>
    <w:p>
      <w:pPr>
        <w:pStyle w:val="Heading2"/>
        <w:keepNext/>
        <w:spacing w:before="140" w:after="80" w:line="240" w:lineRule="auto"/>
      </w:pPr>
      <w:r>
        <w:rPr>
          <w:rFonts w:ascii="Arial" w:hAnsi="Arial"/>
          <w:b/>
          <w:color w:val="138A8A"/>
          <w:sz w:val="21"/>
        </w:rPr>
        <w:t>Project status and evidence</w:t>
      </w:r>
    </w:p>
    <w:p>
      <w:pPr>
        <w:pStyle w:val="ListBullet"/>
        <w:spacing w:before="0" w:after="60" w:line="252" w:lineRule="auto"/>
        <w:ind w:left="360" w:hanging="202"/>
      </w:pPr>
      <w:r>
        <w:rPr>
          <w:rFonts w:ascii="Arial" w:hAnsi="Arial"/>
          <w:b w:val="0"/>
          <w:color w:val="24343A"/>
          <w:sz w:val="18"/>
        </w:rPr>
        <w:t>Wokwi simulation is in progress; its reminder and event sequence still requires validation.</w:t>
      </w:r>
    </w:p>
    <w:p>
      <w:pPr>
        <w:pStyle w:val="ListBullet"/>
        <w:spacing w:before="0" w:after="60" w:line="252" w:lineRule="auto"/>
        <w:ind w:left="360" w:hanging="202"/>
      </w:pPr>
      <w:r>
        <w:rPr>
          <w:rFonts w:ascii="Arial" w:hAnsi="Arial"/>
          <w:b w:val="0"/>
          <w:color w:val="24343A"/>
          <w:sz w:val="18"/>
        </w:rPr>
        <w:t>The current load input is the Wokwi HX711 model, and the IR cue is a button; no physical sensor has been validated.</w:t>
      </w:r>
    </w:p>
    <w:p>
      <w:pPr>
        <w:pStyle w:val="ListBullet"/>
        <w:spacing w:before="0" w:after="60" w:line="252" w:lineRule="auto"/>
        <w:ind w:left="360" w:hanging="202"/>
      </w:pPr>
      <w:r>
        <w:rPr>
          <w:rFonts w:ascii="Arial" w:hAnsi="Arial"/>
          <w:b w:val="0"/>
          <w:color w:val="24343A"/>
          <w:sz w:val="18"/>
        </w:rPr>
        <w:t>There is no live app/cloud connection. The offline app, adaptive ML, cloud AI, hospital dashboard and TEE are planned, not implemented.</w:t>
      </w:r>
    </w:p>
    <w:p>
      <w:pPr>
        <w:pStyle w:val="ListBullet"/>
        <w:spacing w:before="0" w:after="60" w:line="252" w:lineRule="auto"/>
        <w:ind w:left="360" w:hanging="202"/>
      </w:pPr>
      <w:r>
        <w:rPr>
          <w:rFonts w:ascii="Arial" w:hAnsi="Arial"/>
          <w:b w:val="0"/>
          <w:color w:val="24343A"/>
          <w:sz w:val="18"/>
        </w:rPr>
        <w:t>No physical MediSync device has been built, and no clinical, adherence, ingestion or time-saving outcomes have been measured or verified.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2045"/>
        <w:gridCol w:w="4781"/>
        <w:gridCol w:w="3067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781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/ proposed technology</w:t>
            </w:r>
          </w:p>
        </w:tc>
        <w:tc>
          <w:tcPr>
            <w:tcW w:type="dxa" w:w="3067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Firmware and simulation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ESP32; Arduino C++; PlatformIO; Wokwi.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Simulation project supplied; validation pending.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Display and controls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SSD1306 OLED, NeoPixel ring, buttons and buzzer in the simulated demonstration.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Cues are represented in simulation.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Load input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Wokwi HX711 model with one adjustable simulated input.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Not a physical sensor measurement.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Blister cue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IR EVENT (SIM) button.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No physical IR sensor connected.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Phone app and data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Offline-first app with local data is planned.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Not implemented or connected.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AI and care workflow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Adaptive ML, optional cloud AI, hospital dashboard and audit trail are future options.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Planned; requires validation, consent and workflow review.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Mobile security</w:t>
            </w:r>
          </w:p>
        </w:tc>
        <w:tc>
          <w:tcPr>
            <w:tcW w:type="dxa" w:w="4781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Encryption, role-based access, controlled sharing/deletion and evaluation of TEE on supported phones.</w:t>
            </w:r>
          </w:p>
        </w:tc>
        <w:tc>
          <w:tcPr>
            <w:tcW w:type="dxa" w:w="3067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Security roadmap only; not implemented.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Expected Impact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If later prototypes prove reliable and usable, MediSync could give people managing multiple medicines and their authorized helpers a clearer view of reminders awaiting follow-up. A portable version could support routines away from home. A future care-team view could surface unresolved events for staff review if it fits approved workflows.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4343A"/>
          <w:sz w:val="19"/>
        </w:rPr>
        <w:t>These are expected benefits, not measured results. The team has not measured adherence, clinical outcomes, time saved, usability or sensor false-event rates. Package variation, calibration drift, blister materials, accidental interaction, alert burden, privacy and connectivity all need testing. A sensor event cannot establish that medicine was swallowed, and the patient and care team retain responsibility for decisions.</w:t>
      </w:r>
    </w:p>
    <w:p>
      <w:pPr>
        <w:pStyle w:val="Heading1"/>
        <w:keepNext/>
        <w:spacing w:before="220" w:after="80" w:line="240" w:lineRule="auto"/>
      </w:pPr>
      <w:r>
        <w:rPr>
          <w:rFonts w:ascii="Arial" w:hAnsi="Arial"/>
          <w:b/>
          <w:color w:val="183A4B"/>
          <w:sz w:val="30"/>
        </w:rPr>
        <w:t>Future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E1E3"/>
          <w:left w:val="single" w:sz="4" w:space="0" w:color="D5E1E3"/>
          <w:bottom w:val="single" w:sz="4" w:space="0" w:color="D5E1E3"/>
          <w:right w:val="single" w:sz="4" w:space="0" w:color="D5E1E3"/>
          <w:insideH w:val="single" w:sz="4" w:space="0" w:color="D5E1E3"/>
          <w:insideV w:val="single" w:sz="4" w:space="0" w:color="D5E1E3"/>
        </w:tblBorders>
      </w:tblPr>
      <w:tblGrid>
        <w:gridCol w:w="2520"/>
        <w:gridCol w:w="7373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373"/>
            <w:vAlign w:val="center"/>
            <w:shd w:fill="183A4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Next work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1. Validate the simulation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Run the Wokwi sequence end to end, confirm reminder and event-state behavior, and save OLED and serial evidence. Update the demo claim to match what is observed.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2. Build and test hardware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Develop desk and portable prototypes; calibrate across real bottle sizes, liquid containers and blister materials. Measure missed and false event rates, reliability and setup effort.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3. Develop the offline app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Create local profiles, schedule setup, event review and user-controlled sharing. Test accessibility, privacy and recovery before adding connectivity.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4. Evaluate adaptive ML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Only after suitable data and consent, test pattern suggestions with user review. Measure errors and keep suggestions separate from medication decisions.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5. Assess connected care and security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Review consent-based cloud AI, care-team workflow, role-based access, audit trails, encryption and TEE feasibility on supported phones before implementation.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24343A"/>
                <w:sz w:val="16"/>
              </w:rPr>
              <w:t>6. Rebuild the BOM</w:t>
            </w:r>
          </w:p>
        </w:tc>
        <w:tc>
          <w:tcPr>
            <w:tcW w:type="dxa" w:w="7373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3F7F8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color w:val="24343A"/>
                <w:sz w:val="16"/>
              </w:rPr>
              <w:t>Reconcile quantities against the selected design, confirm currency and current supplier prices, and include enclosure, charging, assembly and testing costs.</w:t>
            </w:r>
          </w:p>
        </w:tc>
      </w:tr>
    </w:tbl>
    <w:p>
      <w:pPr>
        <w:spacing w:before="0" w:after="20" w:line="240" w:lineRule="auto"/>
      </w:pPr>
    </w:p>
    <w:p>
      <w:pPr>
        <w:spacing w:before="40" w:after="20" w:line="259" w:lineRule="auto"/>
      </w:pPr>
      <w:r>
        <w:rPr>
          <w:rFonts w:ascii="Arial" w:hAnsi="Arial"/>
          <w:b/>
          <w:i w:val="0"/>
          <w:color w:val="183A4B"/>
          <w:sz w:val="18"/>
        </w:rPr>
        <w:t>MediSync is currently an in-progress simulation supporting a broader Open Innovation concept. The next credible milestone is a validated Wokwi demonstration, followed by measured physical-sensor testing before making reliability or impact claims.</w:t>
      </w:r>
    </w:p>
    <w:sectPr w:rsidR="00FC693F" w:rsidRPr="0006063C" w:rsidSect="00034616">
      <w:footerReference w:type="default" r:id="rId12"/>
      <w:pgSz w:w="11909" w:h="16834"/>
      <w:pgMar w:top="922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color w:val="5B7078"/>
        <w:sz w:val="16"/>
      </w:rPr>
      <w:t xml:space="preserve">MediSync  |  Revised project proposal  |  </w:t>
    </w:r>
    <w:r>
      <w:rPr>
        <w:rFonts w:ascii="Arial" w:hAnsi="Arial"/>
        <w:b w:val="0"/>
        <w:color w:val="5B7078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minder.com/" TargetMode="External"/><Relationship Id="rId10" Type="http://schemas.openxmlformats.org/officeDocument/2006/relationships/hyperlink" Target="https://support.herohealth.com/en/articles/8058271-how-does-the-hero-dispense-medications" TargetMode="External"/><Relationship Id="rId11" Type="http://schemas.openxmlformats.org/officeDocument/2006/relationships/hyperlink" Target="https://github.com/Shaztech/Pilldispenser/blob/main/README.m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MediSync Project Proposal Revised</dc:title>
  <dc:subject>HackForge Logix proposal for medication reminders and event tracking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