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DATA COLLECTION, CLEANING &amp; ANNOTATION STRATEGY</w:t>
      </w:r>
    </w:p>
    <w:p>
      <w:pPr>
        <w:jc w:val="center"/>
      </w:pPr>
      <w:r>
        <w:rPr>
          <w:b/>
          <w:sz w:val="28"/>
        </w:rPr>
        <w:t>NLP Project: Hospital Email Threat Classification</w:t>
      </w:r>
    </w:p>
    <w:p>
      <w:pPr>
        <w:jc w:val="center"/>
      </w:pPr>
      <w:r>
        <w:rPr>
          <w:i/>
        </w:rPr>
        <w:t>Virtual Internship | Data Pipeline Planning Document</w:t>
      </w:r>
    </w:p>
    <w:p/>
    <w:p>
      <w:pPr>
        <w:pStyle w:val="Heading1"/>
      </w:pPr>
      <w:r>
        <w:t>1. Project Context and Week 2 Objective</w:t>
      </w:r>
    </w:p>
    <w:p>
      <w:r>
        <w:t>The project aims to develop an NLP-based Hospital Email Threat Classification System that categorizes incoming email text as Safe, Suspicious, or Dangerous. Week 1 established the overall problem, pipeline, risks, and evaluation approach. Week 2 converts that high-level plan into an executable data strategy. The focus is on identifying suitable public email corpora, defining selection criteria, creating a repeatable cleaning protocol, designing annotation rules, and establishing quality checks before model training.</w:t>
      </w:r>
    </w:p>
    <w:p>
      <w:r>
        <w:t>A major constraint is that genuine hospital email archives are generally private and may contain protected health information, employee information, financial details, or confidential operational content. Therefore, this plan does not propose scraping real hospital mailboxes. Instead, it uses public research corpora as a foundation and explicitly documents the domain gap. Hospital-specific examples can later be created synthetically or added only when a legally authorized, de-identified dataset is available.</w:t>
      </w:r>
    </w:p>
    <w:p>
      <w:pPr>
        <w:pStyle w:val="Heading1"/>
      </w:pPr>
      <w:r>
        <w:t>2. Data Sourcing Strategy</w:t>
      </w:r>
    </w:p>
    <w:p>
      <w:r>
        <w:t>The proposed dataset will combine public corpora with carefully controlled supplemental examples. The purpose is to obtain both benign email language and malicious/phishing-like language while avoiding the assumption that every spam message is a phishing attack.</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Source</w:t>
            </w:r>
          </w:p>
        </w:tc>
        <w:tc>
          <w:tcPr>
            <w:tcW w:type="dxa" w:w="2016"/>
            <w:vAlign w:val="center"/>
            <w:shd w:fill="D9EAF7"/>
          </w:tcPr>
          <w:p>
            <w:r/>
            <w:r>
              <w:rPr>
                <w:b/>
                <w:sz w:val="18"/>
              </w:rPr>
              <w:t>Role</w:t>
            </w:r>
          </w:p>
        </w:tc>
        <w:tc>
          <w:tcPr>
            <w:tcW w:type="dxa" w:w="2016"/>
            <w:vAlign w:val="center"/>
            <w:shd w:fill="D9EAF7"/>
          </w:tcPr>
          <w:p>
            <w:r/>
            <w:r>
              <w:rPr>
                <w:b/>
                <w:sz w:val="18"/>
              </w:rPr>
              <w:t>Selection</w:t>
            </w:r>
          </w:p>
        </w:tc>
        <w:tc>
          <w:tcPr>
            <w:tcW w:type="dxa" w:w="2016"/>
            <w:vAlign w:val="center"/>
            <w:shd w:fill="D9EAF7"/>
          </w:tcPr>
          <w:p>
            <w:r/>
            <w:r>
              <w:rPr>
                <w:b/>
                <w:sz w:val="18"/>
              </w:rPr>
              <w:t>Advantages</w:t>
            </w:r>
          </w:p>
        </w:tc>
        <w:tc>
          <w:tcPr>
            <w:tcW w:type="dxa" w:w="2016"/>
            <w:vAlign w:val="center"/>
            <w:shd w:fill="D9EAF7"/>
          </w:tcPr>
          <w:p>
            <w:r/>
            <w:r>
              <w:rPr>
                <w:b/>
                <w:sz w:val="18"/>
              </w:rPr>
              <w:t>Limitations</w:t>
            </w:r>
          </w:p>
        </w:tc>
      </w:tr>
      <w:tr>
        <w:tc>
          <w:tcPr>
            <w:tcW w:type="dxa" w:w="2016"/>
            <w:vAlign w:val="center"/>
          </w:tcPr>
          <w:p>
            <w:r/>
            <w:r>
              <w:rPr>
                <w:b w:val="0"/>
                <w:sz w:val="18"/>
              </w:rPr>
              <w:t>Apache SpamAssassin Public Corpus</w:t>
            </w:r>
          </w:p>
        </w:tc>
        <w:tc>
          <w:tcPr>
            <w:tcW w:type="dxa" w:w="2016"/>
            <w:vAlign w:val="center"/>
          </w:tcPr>
          <w:p>
            <w:r/>
            <w:r>
              <w:rPr>
                <w:b w:val="0"/>
                <w:sz w:val="18"/>
              </w:rPr>
              <w:t>Spam/ham baseline</w:t>
            </w:r>
          </w:p>
        </w:tc>
        <w:tc>
          <w:tcPr>
            <w:tcW w:type="dxa" w:w="2016"/>
            <w:vAlign w:val="center"/>
          </w:tcPr>
          <w:p>
            <w:r/>
            <w:r>
              <w:rPr>
                <w:b w:val="0"/>
                <w:sz w:val="18"/>
              </w:rPr>
              <w:t>Use ham and spam messages; exclude obvious bulk advertising when building the phishing-focused subset.</w:t>
            </w:r>
          </w:p>
        </w:tc>
        <w:tc>
          <w:tcPr>
            <w:tcW w:type="dxa" w:w="2016"/>
            <w:vAlign w:val="center"/>
          </w:tcPr>
          <w:p>
            <w:r/>
            <w:r>
              <w:rPr>
                <w:b w:val="0"/>
                <w:sz w:val="18"/>
              </w:rPr>
              <w:t>Public, established email corpus with ham/spam organization.</w:t>
            </w:r>
          </w:p>
        </w:tc>
        <w:tc>
          <w:tcPr>
            <w:tcW w:type="dxa" w:w="2016"/>
            <w:vAlign w:val="center"/>
          </w:tcPr>
          <w:p>
            <w:r/>
            <w:r>
              <w:rPr>
                <w:b w:val="0"/>
                <w:sz w:val="18"/>
              </w:rPr>
              <w:t>Older corpus; spam is broader than phishing and may not match healthcare language.</w:t>
            </w:r>
          </w:p>
        </w:tc>
      </w:tr>
      <w:tr>
        <w:tc>
          <w:tcPr>
            <w:tcW w:type="dxa" w:w="2016"/>
            <w:vAlign w:val="center"/>
          </w:tcPr>
          <w:p>
            <w:r/>
            <w:r>
              <w:rPr>
                <w:b w:val="0"/>
                <w:sz w:val="18"/>
              </w:rPr>
              <w:t>CMU Enron Email Dataset</w:t>
            </w:r>
          </w:p>
        </w:tc>
        <w:tc>
          <w:tcPr>
            <w:tcW w:type="dxa" w:w="2016"/>
            <w:vAlign w:val="center"/>
          </w:tcPr>
          <w:p>
            <w:r/>
            <w:r>
              <w:rPr>
                <w:b w:val="0"/>
                <w:sz w:val="18"/>
              </w:rPr>
              <w:t>Benign email language</w:t>
            </w:r>
          </w:p>
        </w:tc>
        <w:tc>
          <w:tcPr>
            <w:tcW w:type="dxa" w:w="2016"/>
            <w:vAlign w:val="center"/>
          </w:tcPr>
          <w:p>
            <w:r/>
            <w:r>
              <w:rPr>
                <w:b w:val="0"/>
                <w:sz w:val="18"/>
              </w:rPr>
              <w:t>Sample legitimate messages for realistic business communication patterns.</w:t>
            </w:r>
          </w:p>
        </w:tc>
        <w:tc>
          <w:tcPr>
            <w:tcW w:type="dxa" w:w="2016"/>
            <w:vAlign w:val="center"/>
          </w:tcPr>
          <w:p>
            <w:r/>
            <w:r>
              <w:rPr>
                <w:b w:val="0"/>
                <w:sz w:val="18"/>
              </w:rPr>
              <w:t>About 0.5M messages from about 150 users; widely used for email research.</w:t>
            </w:r>
          </w:p>
        </w:tc>
        <w:tc>
          <w:tcPr>
            <w:tcW w:type="dxa" w:w="2016"/>
            <w:vAlign w:val="center"/>
          </w:tcPr>
          <w:p>
            <w:r/>
            <w:r>
              <w:rPr>
                <w:b w:val="0"/>
                <w:sz w:val="18"/>
              </w:rPr>
              <w:t>Historical corporate context; contains privacy-sensitive material and must be handled responsibly.</w:t>
            </w:r>
          </w:p>
        </w:tc>
      </w:tr>
      <w:tr>
        <w:tc>
          <w:tcPr>
            <w:tcW w:type="dxa" w:w="2016"/>
            <w:vAlign w:val="center"/>
          </w:tcPr>
          <w:p>
            <w:r/>
            <w:r>
              <w:rPr>
                <w:b w:val="0"/>
                <w:sz w:val="18"/>
              </w:rPr>
              <w:t>Authorized synthetic hospital emails</w:t>
            </w:r>
          </w:p>
        </w:tc>
        <w:tc>
          <w:tcPr>
            <w:tcW w:type="dxa" w:w="2016"/>
            <w:vAlign w:val="center"/>
          </w:tcPr>
          <w:p>
            <w:r/>
            <w:r>
              <w:rPr>
                <w:b w:val="0"/>
                <w:sz w:val="18"/>
              </w:rPr>
              <w:t>Domain adaptation</w:t>
            </w:r>
          </w:p>
        </w:tc>
        <w:tc>
          <w:tcPr>
            <w:tcW w:type="dxa" w:w="2016"/>
            <w:vAlign w:val="center"/>
          </w:tcPr>
          <w:p>
            <w:r/>
            <w:r>
              <w:rPr>
                <w:b w:val="0"/>
                <w:sz w:val="18"/>
              </w:rPr>
              <w:t>Create controlled examples for lab reports, scheduling, insurance, vendor invoices, account alerts, etc.</w:t>
            </w:r>
          </w:p>
        </w:tc>
        <w:tc>
          <w:tcPr>
            <w:tcW w:type="dxa" w:w="2016"/>
            <w:vAlign w:val="center"/>
          </w:tcPr>
          <w:p>
            <w:r/>
            <w:r>
              <w:rPr>
                <w:b w:val="0"/>
                <w:sz w:val="18"/>
              </w:rPr>
              <w:t>Allows hospital-specific vocabulary without exposing real patient data.</w:t>
            </w:r>
          </w:p>
        </w:tc>
        <w:tc>
          <w:tcPr>
            <w:tcW w:type="dxa" w:w="2016"/>
            <w:vAlign w:val="center"/>
          </w:tcPr>
          <w:p>
            <w:r/>
            <w:r>
              <w:rPr>
                <w:b w:val="0"/>
                <w:sz w:val="18"/>
              </w:rPr>
              <w:t>Synthetic text may not fully reproduce real attacker behavior.</w:t>
            </w:r>
          </w:p>
        </w:tc>
      </w:tr>
      <w:tr>
        <w:tc>
          <w:tcPr>
            <w:tcW w:type="dxa" w:w="2016"/>
            <w:vAlign w:val="center"/>
          </w:tcPr>
          <w:p>
            <w:r/>
            <w:r>
              <w:rPr>
                <w:b w:val="0"/>
                <w:sz w:val="18"/>
              </w:rPr>
              <w:t>Optional authorized/de-identified corpus</w:t>
            </w:r>
          </w:p>
        </w:tc>
        <w:tc>
          <w:tcPr>
            <w:tcW w:type="dxa" w:w="2016"/>
            <w:vAlign w:val="center"/>
          </w:tcPr>
          <w:p>
            <w:r/>
            <w:r>
              <w:rPr>
                <w:b w:val="0"/>
                <w:sz w:val="18"/>
              </w:rPr>
              <w:t>Validation</w:t>
            </w:r>
          </w:p>
        </w:tc>
        <w:tc>
          <w:tcPr>
            <w:tcW w:type="dxa" w:w="2016"/>
            <w:vAlign w:val="center"/>
          </w:tcPr>
          <w:p>
            <w:r/>
            <w:r>
              <w:rPr>
                <w:b w:val="0"/>
                <w:sz w:val="18"/>
              </w:rPr>
              <w:t>Use only with explicit permission, documented de-identification, and applicable institutional/legal approval.</w:t>
            </w:r>
          </w:p>
        </w:tc>
        <w:tc>
          <w:tcPr>
            <w:tcW w:type="dxa" w:w="2016"/>
            <w:vAlign w:val="center"/>
          </w:tcPr>
          <w:p>
            <w:r/>
            <w:r>
              <w:rPr>
                <w:b w:val="0"/>
                <w:sz w:val="18"/>
              </w:rPr>
              <w:t>Improves domain realism.</w:t>
            </w:r>
          </w:p>
        </w:tc>
        <w:tc>
          <w:tcPr>
            <w:tcW w:type="dxa" w:w="2016"/>
            <w:vAlign w:val="center"/>
          </w:tcPr>
          <w:p>
            <w:r/>
            <w:r>
              <w:rPr>
                <w:b w:val="0"/>
                <w:sz w:val="18"/>
              </w:rPr>
              <w:t>Access, privacy, licensing, and governance requirements may be substantial.</w:t>
            </w:r>
          </w:p>
        </w:tc>
      </w:tr>
    </w:tbl>
    <w:p>
      <w:r>
        <w:t>The Apache SpamAssassin project provides public corpora containing ham and spam material, and its documentation distinguishes ham as non-spam. The CMU Enron page describes a public research corpus of roughly 0.5 million messages from about 150 users and explicitly warns users to be sensitive to the privacy of people represented in the data. These sources are therefore suitable for a research prototype, but their labels and domain must not be treated as a perfect representation of modern hospital phishing.</w:t>
      </w:r>
    </w:p>
    <w:p>
      <w:pPr>
        <w:pStyle w:val="Heading1"/>
      </w:pPr>
      <w:r>
        <w:t>3. Source Selection Criteria</w:t>
      </w:r>
    </w:p>
    <w:p>
      <w:pPr>
        <w:pStyle w:val="ListBullet"/>
        <w:spacing w:after="40"/>
      </w:pPr>
      <w:r>
        <w:t>Relevance: the source must contain email text or closely related textual communication that can support threat classification.</w:t>
      </w:r>
    </w:p>
    <w:p>
      <w:pPr>
        <w:pStyle w:val="ListBullet"/>
        <w:spacing w:after="40"/>
      </w:pPr>
      <w:r>
        <w:t>Label quality: existing labels should have a documented meaning and a clear mapping to the project's annotation scheme.</w:t>
      </w:r>
    </w:p>
    <w:p>
      <w:pPr>
        <w:pStyle w:val="ListBullet"/>
        <w:spacing w:after="40"/>
      </w:pPr>
      <w:r>
        <w:t>Accessibility: the dataset should be publicly obtainable or explicitly authorized for use.</w:t>
      </w:r>
    </w:p>
    <w:p>
      <w:pPr>
        <w:pStyle w:val="ListBullet"/>
        <w:spacing w:after="40"/>
      </w:pPr>
      <w:r>
        <w:t>Legal/ethical suitability: license, terms of use, privacy notices, redaction status, and redistribution restrictions must be checked before use.</w:t>
      </w:r>
    </w:p>
    <w:p>
      <w:pPr>
        <w:pStyle w:val="ListBullet"/>
        <w:spacing w:after="40"/>
      </w:pPr>
      <w:r>
        <w:t>Diversity: include different writing styles, message lengths, subjects, and communication contexts to reduce overfitting to a narrow source.</w:t>
      </w:r>
    </w:p>
    <w:p>
      <w:pPr>
        <w:pStyle w:val="ListBullet"/>
        <w:spacing w:after="40"/>
      </w:pPr>
      <w:r>
        <w:t>Recency awareness: older public corpora are useful for benchmarking but may not contain current phishing tactics; newer authorized/synthetic examples should be used to test generalization.</w:t>
      </w:r>
    </w:p>
    <w:p>
      <w:pPr>
        <w:pStyle w:val="ListBullet"/>
        <w:spacing w:after="40"/>
      </w:pPr>
      <w:r>
        <w:t>Reproducibility: record source name, version/date, download location, checksum if available, and preprocessing version.</w:t>
      </w:r>
    </w:p>
    <w:p>
      <w:pPr>
        <w:pStyle w:val="Heading1"/>
      </w:pPr>
      <w:r>
        <w:t>4. Ethical, Legal, and Privacy Considerations</w:t>
      </w:r>
    </w:p>
    <w:p>
      <w:r>
        <w:t>Email is highly sensitive text. The project will not collect personal inboxes, scrape hospital systems, or publish raw private messages. Public availability does not automatically mean that every downstream use is appropriate. Each dataset will be checked for its stated research purpose, license/terms, redactions, and redistribution restrictions. Where a public corpus contains names, addresses, or other personal information, the project will minimize exposure by retaining only fields required for the NLP task and by avoiding unnecessary publication of raw message content.</w:t>
      </w:r>
    </w:p>
    <w:p>
      <w:pPr>
        <w:pStyle w:val="ListBullet"/>
        <w:spacing w:after="40"/>
      </w:pPr>
      <w:r>
        <w:t>Do not upload private email, patient information, passwords, authentication tokens, or confidential attachments to GitHub.</w:t>
      </w:r>
    </w:p>
    <w:p>
      <w:pPr>
        <w:pStyle w:val="ListBullet"/>
        <w:spacing w:after="40"/>
      </w:pPr>
      <w:r>
        <w:t>Store raw datasets outside the public repository unless the dataset license explicitly permits redistribution.</w:t>
      </w:r>
    </w:p>
    <w:p>
      <w:pPr>
        <w:pStyle w:val="ListBullet"/>
        <w:spacing w:after="40"/>
      </w:pPr>
      <w:r>
        <w:t>Keep a data inventory recording source, license/terms, date obtained, allowed use, and whether redistribution is permitted.</w:t>
      </w:r>
    </w:p>
    <w:p>
      <w:pPr>
        <w:pStyle w:val="ListBullet"/>
        <w:spacing w:after="40"/>
      </w:pPr>
      <w:r>
        <w:t>If authorized hospital data is introduced later, apply de-identification and institutional privacy/security review before processing.</w:t>
      </w:r>
    </w:p>
    <w:p>
      <w:pPr>
        <w:pStyle w:val="ListBullet"/>
        <w:spacing w:after="40"/>
      </w:pPr>
      <w:r>
        <w:t>Use synthetic hospital examples for domain-specific demonstrations when real hospital data is unavailable.</w:t>
      </w:r>
    </w:p>
    <w:p>
      <w:pPr>
        <w:pStyle w:val="ListBullet"/>
        <w:spacing w:after="40"/>
      </w:pPr>
      <w:r>
        <w:t>Document dataset limitations and bias so that model results are not presented as universally representative.</w:t>
      </w:r>
    </w:p>
    <w:p>
      <w:pPr>
        <w:pStyle w:val="Heading1"/>
      </w:pPr>
      <w:r>
        <w:t>5. Data Ingestion and Storage Procedure</w:t>
      </w:r>
    </w:p>
    <w:p>
      <w:pPr>
        <w:pStyle w:val="ListNumber"/>
        <w:spacing w:after="60"/>
      </w:pPr>
      <w:r>
        <w:t>Create a source inventory with dataset name, URL, version/date, license/terms, approximate size, and intended use.</w:t>
      </w:r>
    </w:p>
    <w:p>
      <w:pPr>
        <w:pStyle w:val="ListNumber"/>
        <w:spacing w:after="60"/>
      </w:pPr>
      <w:r>
        <w:t>Download only from the documented official/public source or an authorized mirror.</w:t>
      </w:r>
    </w:p>
    <w:p>
      <w:pPr>
        <w:pStyle w:val="ListNumber"/>
        <w:spacing w:after="60"/>
      </w:pPr>
      <w:r>
        <w:t>Preserve a read-only raw copy locally and never edit the original files in place.</w:t>
      </w:r>
    </w:p>
    <w:p>
      <w:pPr>
        <w:pStyle w:val="ListNumber"/>
        <w:spacing w:after="60"/>
      </w:pPr>
      <w:r>
        <w:t>Parse email records into a standard schema containing message_id, subject, body, source, original_label (if available), and metadata needed for audit.</w:t>
      </w:r>
    </w:p>
    <w:p>
      <w:pPr>
        <w:pStyle w:val="ListNumber"/>
        <w:spacing w:after="60"/>
      </w:pPr>
      <w:r>
        <w:t>Normalize character encoding to UTF-8 and record decoding failures rather than silently losing data.</w:t>
      </w:r>
    </w:p>
    <w:p>
      <w:pPr>
        <w:pStyle w:val="ListNumber"/>
        <w:spacing w:after="60"/>
      </w:pPr>
      <w:r>
        <w:t>Compute duplicate fingerprints using normalized subject/body or a stable message identifier where available.</w:t>
      </w:r>
    </w:p>
    <w:p>
      <w:pPr>
        <w:pStyle w:val="ListNumber"/>
        <w:spacing w:after="60"/>
      </w:pPr>
      <w:r>
        <w:t>Keep raw, cleaned, and annotated stages separate so every transformation is traceable.</w:t>
      </w:r>
    </w:p>
    <w:p>
      <w:pPr>
        <w:pStyle w:val="ListNumber"/>
        <w:spacing w:after="60"/>
      </w:pPr>
      <w:r>
        <w:t>Create a data dictionary describing every field and its allowed values.</w:t>
      </w:r>
    </w:p>
    <w:p>
      <w:pPr>
        <w:pStyle w:val="Heading1"/>
      </w:pPr>
      <w:r>
        <w:t>6. Cleaning and Normalization Protocol</w:t>
      </w:r>
    </w:p>
    <w:p>
      <w:r>
        <w:t>Cleaning will be conservative. In threat classification, some elements that look like noise—URLs, currency amounts, sender domains, urgency phrases, HTML markers, or unusual punctuation—can actually be predictive security signals. Therefore, the project will remove formatting artifacts while preserving security-relevant evidence in a separate feature field where appropriate.</w:t>
      </w:r>
    </w:p>
    <w:p>
      <w:pPr>
        <w:pStyle w:val="ListNumber"/>
        <w:spacing w:after="60"/>
      </w:pPr>
      <w:r>
        <w:t>Remove exact duplicates and near-duplicates that could cause train/test leakage.</w:t>
      </w:r>
    </w:p>
    <w:p>
      <w:pPr>
        <w:pStyle w:val="ListNumber"/>
        <w:spacing w:after="60"/>
      </w:pPr>
      <w:r>
        <w:t>Handle empty or unusable records: remove messages with no meaningful subject/body after parsing and log the count.</w:t>
      </w:r>
    </w:p>
    <w:p>
      <w:pPr>
        <w:pStyle w:val="ListNumber"/>
        <w:spacing w:after="60"/>
      </w:pPr>
      <w:r>
        <w:t>Decode MIME/HTML content safely and extract readable text while preserving relevant URLs and anchor text.</w:t>
      </w:r>
    </w:p>
    <w:p>
      <w:pPr>
        <w:pStyle w:val="ListNumber"/>
        <w:spacing w:after="60"/>
      </w:pPr>
      <w:r>
        <w:t>Normalize Unicode and whitespace; standardize line breaks and repeated spaces.</w:t>
      </w:r>
    </w:p>
    <w:p>
      <w:pPr>
        <w:pStyle w:val="ListNumber"/>
        <w:spacing w:after="60"/>
      </w:pPr>
      <w:r>
        <w:t>Convert text to a consistent case for classical models when appropriate, but retain the raw subject/body for audit.</w:t>
      </w:r>
    </w:p>
    <w:p>
      <w:pPr>
        <w:pStyle w:val="ListNumber"/>
        <w:spacing w:after="60"/>
      </w:pPr>
      <w:r>
        <w:t>Replace or mask direct identifiers such as personal email addresses, phone numbers, and account numbers when they are not required.</w:t>
      </w:r>
    </w:p>
    <w:p>
      <w:pPr>
        <w:pStyle w:val="ListNumber"/>
        <w:spacing w:after="60"/>
      </w:pPr>
      <w:r>
        <w:t>Normalize URLs into a structured representation such as URL_PRESENT, DOMAIN_TOKEN, or URL_COUNT rather than deleting all links.</w:t>
      </w:r>
    </w:p>
    <w:p>
      <w:pPr>
        <w:pStyle w:val="ListNumber"/>
        <w:spacing w:after="60"/>
      </w:pPr>
      <w:r>
        <w:t>Tokenize text using a reproducible tokenizer. scikit-learn supports tokenization and n-gram feature extraction through its text vectorizers.</w:t>
      </w:r>
    </w:p>
    <w:p>
      <w:pPr>
        <w:pStyle w:val="ListNumber"/>
        <w:spacing w:after="60"/>
      </w:pPr>
      <w:r>
        <w:t>Evaluate stop-word removal rather than applying it blindly; common words can sometimes carry useful stylistic or threat-context information.</w:t>
      </w:r>
    </w:p>
    <w:p>
      <w:pPr>
        <w:pStyle w:val="ListNumber"/>
        <w:spacing w:after="60"/>
      </w:pPr>
      <w:r>
        <w:t>Use lemmatization for the main normalized text because it preserves dictionary-like word forms; stemming may be tested as a baseline but should not automatically replace the original text.</w:t>
      </w:r>
    </w:p>
    <w:p>
      <w:pPr>
        <w:pStyle w:val="ListNumber"/>
        <w:spacing w:after="60"/>
      </w:pPr>
      <w:r>
        <w:t>Handle malformed characters and decoding errors with a documented policy such as replacement plus logging.</w:t>
      </w:r>
    </w:p>
    <w:p>
      <w:pPr>
        <w:pStyle w:val="ListNumber"/>
        <w:spacing w:after="60"/>
      </w:pPr>
      <w:r>
        <w:t>Create quality statistics after cleaning: missing rate, duplicate rate, average length, token count, and class distribution.</w:t>
      </w:r>
    </w:p>
    <w:p>
      <w:pPr>
        <w:pStyle w:val="Heading1"/>
      </w:pPr>
      <w:r>
        <w:t>7. Tokenization, Stemming, and Lemmatization Rationale</w:t>
      </w:r>
    </w:p>
    <w:p>
      <w:r>
        <w:t>Tokenization converts text into units that can be represented as features. scikit-learn's text feature extraction tools provide tokenization, counting, normalization, and n-gram representations. NLTK documentation explains that stemming removes morphological affixes while lemmatization attempts to produce a valid dictionary form. For this project, lemmatization is preferred for the primary cleaned text because security messages may contain meaningful word forms and aggressive stemming can make words less interpretable. A raw-text copy will be preserved so that later transformer-based experiments can use minimally transformed input.</w:t>
      </w:r>
    </w:p>
    <w:p>
      <w:r>
        <w:drawing>
          <wp:inline xmlns:a="http://schemas.openxmlformats.org/drawingml/2006/main" xmlns:pic="http://schemas.openxmlformats.org/drawingml/2006/picture">
            <wp:extent cx="6126480" cy="2781382"/>
            <wp:docPr id="1" name="Picture 1"/>
            <wp:cNvGraphicFramePr>
              <a:graphicFrameLocks noChangeAspect="1"/>
            </wp:cNvGraphicFramePr>
            <a:graphic>
              <a:graphicData uri="http://schemas.openxmlformats.org/drawingml/2006/picture">
                <pic:pic>
                  <pic:nvPicPr>
                    <pic:cNvPr id="0" name="week2_data_pipeline.png"/>
                    <pic:cNvPicPr/>
                  </pic:nvPicPr>
                  <pic:blipFill>
                    <a:blip r:embed="rId9"/>
                    <a:stretch>
                      <a:fillRect/>
                    </a:stretch>
                  </pic:blipFill>
                  <pic:spPr>
                    <a:xfrm>
                      <a:off x="0" y="0"/>
                      <a:ext cx="6126480" cy="2781382"/>
                    </a:xfrm>
                    <a:prstGeom prst="rect"/>
                  </pic:spPr>
                </pic:pic>
              </a:graphicData>
            </a:graphic>
          </wp:inline>
        </w:drawing>
      </w:r>
    </w:p>
    <w:p>
      <w:pPr>
        <w:jc w:val="center"/>
      </w:pPr>
      <w:r>
        <w:rPr>
          <w:i/>
        </w:rPr>
        <w:t>Figure 1. Proposed Week 2 data collection, cleaning, annotation, and validation pipeline.</w:t>
      </w:r>
    </w:p>
    <w:p>
      <w:pPr>
        <w:pStyle w:val="Heading1"/>
      </w:pPr>
      <w:r>
        <w:t>8. Annotation Scheme</w:t>
      </w:r>
    </w:p>
    <w:p>
      <w:r>
        <w:t>The final supervised task uses three labels. The scheme is designed for operational usefulness: Safe messages can proceed normally, Dangerous messages require strong intervention, and Suspicious messages are routed for review when evidence is incomplete or conflicting.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2F0D9"/>
          </w:tcPr>
          <w:p>
            <w:r/>
            <w:r>
              <w:rPr>
                <w:b/>
                <w:sz w:val="18"/>
              </w:rPr>
              <w:t>Label</w:t>
            </w:r>
          </w:p>
        </w:tc>
        <w:tc>
          <w:tcPr>
            <w:tcW w:type="dxa" w:w="2520"/>
            <w:vAlign w:val="center"/>
            <w:shd w:fill="E2F0D9"/>
          </w:tcPr>
          <w:p>
            <w:r/>
            <w:r>
              <w:rPr>
                <w:b/>
                <w:sz w:val="18"/>
              </w:rPr>
              <w:t>Definition</w:t>
            </w:r>
          </w:p>
        </w:tc>
        <w:tc>
          <w:tcPr>
            <w:tcW w:type="dxa" w:w="2520"/>
            <w:vAlign w:val="center"/>
            <w:shd w:fill="E2F0D9"/>
          </w:tcPr>
          <w:p>
            <w:r/>
            <w:r>
              <w:rPr>
                <w:b/>
                <w:sz w:val="18"/>
              </w:rPr>
              <w:t>Typical evidence</w:t>
            </w:r>
          </w:p>
        </w:tc>
        <w:tc>
          <w:tcPr>
            <w:tcW w:type="dxa" w:w="2520"/>
            <w:vAlign w:val="center"/>
            <w:shd w:fill="E2F0D9"/>
          </w:tcPr>
          <w:p>
            <w:r/>
            <w:r>
              <w:rPr>
                <w:b/>
                <w:sz w:val="18"/>
              </w:rPr>
              <w:t>Examples</w:t>
            </w:r>
          </w:p>
        </w:tc>
      </w:tr>
      <w:tr>
        <w:tc>
          <w:tcPr>
            <w:tcW w:type="dxa" w:w="2520"/>
            <w:vAlign w:val="center"/>
          </w:tcPr>
          <w:p>
            <w:r/>
            <w:r>
              <w:rPr>
                <w:b w:val="0"/>
                <w:sz w:val="18"/>
              </w:rPr>
              <w:t>SAFE</w:t>
            </w:r>
          </w:p>
        </w:tc>
        <w:tc>
          <w:tcPr>
            <w:tcW w:type="dxa" w:w="2520"/>
            <w:vAlign w:val="center"/>
          </w:tcPr>
          <w:p>
            <w:r/>
            <w:r>
              <w:rPr>
                <w:b w:val="0"/>
                <w:sz w:val="18"/>
              </w:rPr>
              <w:t>Legitimate and non-malicious email with no meaningful evidence of social engineering or harmful intent.</w:t>
            </w:r>
          </w:p>
        </w:tc>
        <w:tc>
          <w:tcPr>
            <w:tcW w:type="dxa" w:w="2520"/>
            <w:vAlign w:val="center"/>
          </w:tcPr>
          <w:p>
            <w:r/>
            <w:r>
              <w:rPr>
                <w:b w:val="0"/>
                <w:sz w:val="18"/>
              </w:rPr>
              <w:t>Expected sender/context; routine scheduling; legitimate internal communication; no deceptive request.</w:t>
            </w:r>
          </w:p>
        </w:tc>
        <w:tc>
          <w:tcPr>
            <w:tcW w:type="dxa" w:w="2520"/>
            <w:vAlign w:val="center"/>
          </w:tcPr>
          <w:p>
            <w:r/>
            <w:r>
              <w:rPr>
                <w:b w:val="0"/>
                <w:sz w:val="18"/>
              </w:rPr>
              <w:t>Normal staff scheduling, routine vendor communication, legitimate notification.</w:t>
            </w:r>
          </w:p>
        </w:tc>
      </w:tr>
      <w:tr>
        <w:tc>
          <w:tcPr>
            <w:tcW w:type="dxa" w:w="2520"/>
            <w:vAlign w:val="center"/>
          </w:tcPr>
          <w:p>
            <w:r/>
            <w:r>
              <w:rPr>
                <w:b w:val="0"/>
                <w:sz w:val="18"/>
              </w:rPr>
              <w:t>SUSPICIOUS</w:t>
            </w:r>
          </w:p>
        </w:tc>
        <w:tc>
          <w:tcPr>
            <w:tcW w:type="dxa" w:w="2520"/>
            <w:vAlign w:val="center"/>
          </w:tcPr>
          <w:p>
            <w:r/>
            <w:r>
              <w:rPr>
                <w:b w:val="0"/>
                <w:sz w:val="18"/>
              </w:rPr>
              <w:t>Ambiguous or anomalous email where threat evidence exists but is insufficient to confidently call it dangerous.</w:t>
            </w:r>
          </w:p>
        </w:tc>
        <w:tc>
          <w:tcPr>
            <w:tcW w:type="dxa" w:w="2520"/>
            <w:vAlign w:val="center"/>
          </w:tcPr>
          <w:p>
            <w:r/>
            <w:r>
              <w:rPr>
                <w:b w:val="0"/>
                <w:sz w:val="18"/>
              </w:rPr>
              <w:t>Unexpected request; unusual wording; weak urgency; unfamiliar sender; questionable link but no decisive malicious evidence.</w:t>
            </w:r>
          </w:p>
        </w:tc>
        <w:tc>
          <w:tcPr>
            <w:tcW w:type="dxa" w:w="2520"/>
            <w:vAlign w:val="center"/>
          </w:tcPr>
          <w:p>
            <w:r/>
            <w:r>
              <w:rPr>
                <w:b w:val="0"/>
                <w:sz w:val="18"/>
              </w:rPr>
              <w:t>Unexpected invoice request with a plausible business context but unusual sender/domain.</w:t>
            </w:r>
          </w:p>
        </w:tc>
      </w:tr>
      <w:tr>
        <w:tc>
          <w:tcPr>
            <w:tcW w:type="dxa" w:w="2520"/>
            <w:vAlign w:val="center"/>
          </w:tcPr>
          <w:p>
            <w:r/>
            <w:r>
              <w:rPr>
                <w:b w:val="0"/>
                <w:sz w:val="18"/>
              </w:rPr>
              <w:t>DANGEROUS</w:t>
            </w:r>
          </w:p>
        </w:tc>
        <w:tc>
          <w:tcPr>
            <w:tcW w:type="dxa" w:w="2520"/>
            <w:vAlign w:val="center"/>
          </w:tcPr>
          <w:p>
            <w:r/>
            <w:r>
              <w:rPr>
                <w:b w:val="0"/>
                <w:sz w:val="18"/>
              </w:rPr>
              <w:t>Strong evidence of phishing, credential theft, malicious attachment/link, impersonation, or other harmful social engineering.</w:t>
            </w:r>
          </w:p>
        </w:tc>
        <w:tc>
          <w:tcPr>
            <w:tcW w:type="dxa" w:w="2520"/>
            <w:vAlign w:val="center"/>
          </w:tcPr>
          <w:p>
            <w:r/>
            <w:r>
              <w:rPr>
                <w:b w:val="0"/>
                <w:sz w:val="18"/>
              </w:rPr>
              <w:t>Credential request, fake login page, impersonation, urgent payment redirection, malicious attachment, deceptive URL.</w:t>
            </w:r>
          </w:p>
        </w:tc>
        <w:tc>
          <w:tcPr>
            <w:tcW w:type="dxa" w:w="2520"/>
            <w:vAlign w:val="center"/>
          </w:tcPr>
          <w:p>
            <w:r/>
            <w:r>
              <w:rPr>
                <w:b w:val="0"/>
                <w:sz w:val="18"/>
              </w:rPr>
              <w:t>Fake password-reset request, payment diversion, or account-verification message using a suspicious link.</w:t>
            </w:r>
          </w:p>
        </w:tc>
      </w:tr>
    </w:tbl>
    <w:p>
      <w:pPr>
        <w:pStyle w:val="Heading1"/>
      </w:pPr>
      <w:r>
        <w:t>9. Annotation Guidelines and Workflow</w:t>
      </w:r>
    </w:p>
    <w:p>
      <w:pPr>
        <w:pStyle w:val="ListNumber"/>
        <w:spacing w:after="60"/>
      </w:pPr>
      <w:r>
        <w:t>Read the complete subject and body before assigning a label. Do not label from the subject alone unless the body is unavailable.</w:t>
      </w:r>
    </w:p>
    <w:p>
      <w:pPr>
        <w:pStyle w:val="ListNumber"/>
        <w:spacing w:after="60"/>
      </w:pPr>
      <w:r>
        <w:t>Consider sender context, request type, urgency, link behavior, attachment references, impersonation cues, and inconsistencies.</w:t>
      </w:r>
    </w:p>
    <w:p>
      <w:pPr>
        <w:pStyle w:val="ListNumber"/>
        <w:spacing w:after="60"/>
      </w:pPr>
      <w:r>
        <w:t>Do not treat poor grammar alone as proof of danger. It is only one possible signal.</w:t>
      </w:r>
    </w:p>
    <w:p>
      <w:pPr>
        <w:pStyle w:val="ListNumber"/>
        <w:spacing w:after="60"/>
      </w:pPr>
      <w:r>
        <w:t>Do not treat a professional-looking email as automatically safe. Evaluate the action requested and destination of links.</w:t>
      </w:r>
    </w:p>
    <w:p>
      <w:pPr>
        <w:pStyle w:val="ListNumber"/>
        <w:spacing w:after="60"/>
      </w:pPr>
      <w:r>
        <w:t>Treat credential requests, payment changes, password resets, and requests to bypass normal procedures as high-risk signals.</w:t>
      </w:r>
    </w:p>
    <w:p>
      <w:pPr>
        <w:pStyle w:val="ListNumber"/>
        <w:spacing w:after="60"/>
      </w:pPr>
      <w:r>
        <w:t>Use SUSPICIOUS when evidence is mixed or insufficient. Annotators must not force a DANGEROUS label merely because the email feels unusual.</w:t>
      </w:r>
    </w:p>
    <w:p>
      <w:pPr>
        <w:pStyle w:val="ListNumber"/>
        <w:spacing w:after="60"/>
      </w:pPr>
      <w:r>
        <w:t>If the message is generic advertising/spam without meaningful phishing or malicious intent, exclude it from the threat-focused subset or record it as an out-of-scope sample rather than automatically calling it DANGEROUS.</w:t>
      </w:r>
    </w:p>
    <w:p>
      <w:pPr>
        <w:pStyle w:val="ListNumber"/>
        <w:spacing w:after="60"/>
      </w:pPr>
      <w:r>
        <w:t>Record a short rationale and one or more evidence tags for every manually reviewed sample.</w:t>
      </w:r>
    </w:p>
    <w:p>
      <w:pPr>
        <w:pStyle w:val="ListNumber"/>
        <w:spacing w:after="60"/>
      </w:pPr>
      <w:r>
        <w:t>Record annotator confidence as High, Medium, or Low.</w:t>
      </w:r>
    </w:p>
    <w:p>
      <w:pPr>
        <w:pStyle w:val="ListNumber"/>
        <w:spacing w:after="60"/>
      </w:pPr>
      <w:r>
        <w:t>Escalate disagreements to adjudication and update the guideline when a recurring ambiguity is discovered.</w:t>
      </w:r>
    </w:p>
    <w:p>
      <w:pPr>
        <w:pStyle w:val="Heading1"/>
      </w:pPr>
      <w:r>
        <w:t>10. Annotation Record Format</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FCE4D6"/>
          </w:tcPr>
          <w:p>
            <w:r/>
            <w:r>
              <w:rPr>
                <w:b/>
                <w:sz w:val="18"/>
              </w:rPr>
              <w:t>Field</w:t>
            </w:r>
          </w:p>
        </w:tc>
        <w:tc>
          <w:tcPr>
            <w:tcW w:type="dxa" w:w="3360"/>
            <w:vAlign w:val="center"/>
            <w:shd w:fill="FCE4D6"/>
          </w:tcPr>
          <w:p>
            <w:r/>
            <w:r>
              <w:rPr>
                <w:b/>
                <w:sz w:val="18"/>
              </w:rPr>
              <w:t>Purpose</w:t>
            </w:r>
          </w:p>
        </w:tc>
        <w:tc>
          <w:tcPr>
            <w:tcW w:type="dxa" w:w="3360"/>
            <w:vAlign w:val="center"/>
            <w:shd w:fill="FCE4D6"/>
          </w:tcPr>
          <w:p>
            <w:r/>
            <w:r>
              <w:rPr>
                <w:b/>
                <w:sz w:val="18"/>
              </w:rPr>
              <w:t>Example</w:t>
            </w:r>
          </w:p>
        </w:tc>
      </w:tr>
      <w:tr>
        <w:tc>
          <w:tcPr>
            <w:tcW w:type="dxa" w:w="3360"/>
            <w:vAlign w:val="center"/>
          </w:tcPr>
          <w:p>
            <w:r/>
            <w:r>
              <w:rPr>
                <w:b w:val="0"/>
                <w:sz w:val="18"/>
              </w:rPr>
              <w:t>message_id</w:t>
            </w:r>
          </w:p>
        </w:tc>
        <w:tc>
          <w:tcPr>
            <w:tcW w:type="dxa" w:w="3360"/>
            <w:vAlign w:val="center"/>
          </w:tcPr>
          <w:p>
            <w:r/>
            <w:r>
              <w:rPr>
                <w:b w:val="0"/>
                <w:sz w:val="18"/>
              </w:rPr>
              <w:t>Stable identifier</w:t>
            </w:r>
          </w:p>
        </w:tc>
        <w:tc>
          <w:tcPr>
            <w:tcW w:type="dxa" w:w="3360"/>
            <w:vAlign w:val="center"/>
          </w:tcPr>
          <w:p>
            <w:r/>
            <w:r>
              <w:rPr>
                <w:b w:val="0"/>
                <w:sz w:val="18"/>
              </w:rPr>
              <w:t>SA_000184</w:t>
            </w:r>
          </w:p>
        </w:tc>
      </w:tr>
      <w:tr>
        <w:tc>
          <w:tcPr>
            <w:tcW w:type="dxa" w:w="3360"/>
            <w:vAlign w:val="center"/>
          </w:tcPr>
          <w:p>
            <w:r/>
            <w:r>
              <w:rPr>
                <w:b w:val="0"/>
                <w:sz w:val="18"/>
              </w:rPr>
              <w:t>source</w:t>
            </w:r>
          </w:p>
        </w:tc>
        <w:tc>
          <w:tcPr>
            <w:tcW w:type="dxa" w:w="3360"/>
            <w:vAlign w:val="center"/>
          </w:tcPr>
          <w:p>
            <w:r/>
            <w:r>
              <w:rPr>
                <w:b w:val="0"/>
                <w:sz w:val="18"/>
              </w:rPr>
              <w:t>Dataset provenance</w:t>
            </w:r>
          </w:p>
        </w:tc>
        <w:tc>
          <w:tcPr>
            <w:tcW w:type="dxa" w:w="3360"/>
            <w:vAlign w:val="center"/>
          </w:tcPr>
          <w:p>
            <w:r/>
            <w:r>
              <w:rPr>
                <w:b w:val="0"/>
                <w:sz w:val="18"/>
              </w:rPr>
              <w:t>SpamAssassin / Enron / Synthetic</w:t>
            </w:r>
          </w:p>
        </w:tc>
      </w:tr>
      <w:tr>
        <w:tc>
          <w:tcPr>
            <w:tcW w:type="dxa" w:w="3360"/>
            <w:vAlign w:val="center"/>
          </w:tcPr>
          <w:p>
            <w:r/>
            <w:r>
              <w:rPr>
                <w:b w:val="0"/>
                <w:sz w:val="18"/>
              </w:rPr>
              <w:t>subject</w:t>
            </w:r>
          </w:p>
        </w:tc>
        <w:tc>
          <w:tcPr>
            <w:tcW w:type="dxa" w:w="3360"/>
            <w:vAlign w:val="center"/>
          </w:tcPr>
          <w:p>
            <w:r/>
            <w:r>
              <w:rPr>
                <w:b w:val="0"/>
                <w:sz w:val="18"/>
              </w:rPr>
              <w:t>Original subject for audit</w:t>
            </w:r>
          </w:p>
        </w:tc>
        <w:tc>
          <w:tcPr>
            <w:tcW w:type="dxa" w:w="3360"/>
            <w:vAlign w:val="center"/>
          </w:tcPr>
          <w:p>
            <w:r/>
            <w:r>
              <w:rPr>
                <w:b w:val="0"/>
                <w:sz w:val="18"/>
              </w:rPr>
              <w:t>Urgent password verification</w:t>
            </w:r>
          </w:p>
        </w:tc>
      </w:tr>
      <w:tr>
        <w:tc>
          <w:tcPr>
            <w:tcW w:type="dxa" w:w="3360"/>
            <w:vAlign w:val="center"/>
          </w:tcPr>
          <w:p>
            <w:r/>
            <w:r>
              <w:rPr>
                <w:b w:val="0"/>
                <w:sz w:val="18"/>
              </w:rPr>
              <w:t>clean_text</w:t>
            </w:r>
          </w:p>
        </w:tc>
        <w:tc>
          <w:tcPr>
            <w:tcW w:type="dxa" w:w="3360"/>
            <w:vAlign w:val="center"/>
          </w:tcPr>
          <w:p>
            <w:r/>
            <w:r>
              <w:rPr>
                <w:b w:val="0"/>
                <w:sz w:val="18"/>
              </w:rPr>
              <w:t>Normalized text used for modeling</w:t>
            </w:r>
          </w:p>
        </w:tc>
        <w:tc>
          <w:tcPr>
            <w:tcW w:type="dxa" w:w="3360"/>
            <w:vAlign w:val="center"/>
          </w:tcPr>
          <w:p>
            <w:r/>
            <w:r>
              <w:rPr>
                <w:b w:val="0"/>
                <w:sz w:val="18"/>
              </w:rPr>
              <w:t>urgent password verification ...</w:t>
            </w:r>
          </w:p>
        </w:tc>
      </w:tr>
      <w:tr>
        <w:tc>
          <w:tcPr>
            <w:tcW w:type="dxa" w:w="3360"/>
            <w:vAlign w:val="center"/>
          </w:tcPr>
          <w:p>
            <w:r/>
            <w:r>
              <w:rPr>
                <w:b w:val="0"/>
                <w:sz w:val="18"/>
              </w:rPr>
              <w:t>label</w:t>
            </w:r>
          </w:p>
        </w:tc>
        <w:tc>
          <w:tcPr>
            <w:tcW w:type="dxa" w:w="3360"/>
            <w:vAlign w:val="center"/>
          </w:tcPr>
          <w:p>
            <w:r/>
            <w:r>
              <w:rPr>
                <w:b w:val="0"/>
                <w:sz w:val="18"/>
              </w:rPr>
              <w:t>Target class</w:t>
            </w:r>
          </w:p>
        </w:tc>
        <w:tc>
          <w:tcPr>
            <w:tcW w:type="dxa" w:w="3360"/>
            <w:vAlign w:val="center"/>
          </w:tcPr>
          <w:p>
            <w:r/>
            <w:r>
              <w:rPr>
                <w:b w:val="0"/>
                <w:sz w:val="18"/>
              </w:rPr>
              <w:t>DANGEROUS</w:t>
            </w:r>
          </w:p>
        </w:tc>
      </w:tr>
      <w:tr>
        <w:tc>
          <w:tcPr>
            <w:tcW w:type="dxa" w:w="3360"/>
            <w:vAlign w:val="center"/>
          </w:tcPr>
          <w:p>
            <w:r/>
            <w:r>
              <w:rPr>
                <w:b w:val="0"/>
                <w:sz w:val="18"/>
              </w:rPr>
              <w:t>evidence_tags</w:t>
            </w:r>
          </w:p>
        </w:tc>
        <w:tc>
          <w:tcPr>
            <w:tcW w:type="dxa" w:w="3360"/>
            <w:vAlign w:val="center"/>
          </w:tcPr>
          <w:p>
            <w:r/>
            <w:r>
              <w:rPr>
                <w:b w:val="0"/>
                <w:sz w:val="18"/>
              </w:rPr>
              <w:t>Why the label was assigned</w:t>
            </w:r>
          </w:p>
        </w:tc>
        <w:tc>
          <w:tcPr>
            <w:tcW w:type="dxa" w:w="3360"/>
            <w:vAlign w:val="center"/>
          </w:tcPr>
          <w:p>
            <w:r/>
            <w:r>
              <w:rPr>
                <w:b w:val="0"/>
                <w:sz w:val="18"/>
              </w:rPr>
              <w:t>credential_request; suspicious_url; urgency</w:t>
            </w:r>
          </w:p>
        </w:tc>
      </w:tr>
      <w:tr>
        <w:tc>
          <w:tcPr>
            <w:tcW w:type="dxa" w:w="3360"/>
            <w:vAlign w:val="center"/>
          </w:tcPr>
          <w:p>
            <w:r/>
            <w:r>
              <w:rPr>
                <w:b w:val="0"/>
                <w:sz w:val="18"/>
              </w:rPr>
              <w:t>rationale</w:t>
            </w:r>
          </w:p>
        </w:tc>
        <w:tc>
          <w:tcPr>
            <w:tcW w:type="dxa" w:w="3360"/>
            <w:vAlign w:val="center"/>
          </w:tcPr>
          <w:p>
            <w:r/>
            <w:r>
              <w:rPr>
                <w:b w:val="0"/>
                <w:sz w:val="18"/>
              </w:rPr>
              <w:t>Short human explanation</w:t>
            </w:r>
          </w:p>
        </w:tc>
        <w:tc>
          <w:tcPr>
            <w:tcW w:type="dxa" w:w="3360"/>
            <w:vAlign w:val="center"/>
          </w:tcPr>
          <w:p>
            <w:r/>
            <w:r>
              <w:rPr>
                <w:b w:val="0"/>
                <w:sz w:val="18"/>
              </w:rPr>
              <w:t>Requests login confirmation through an unfamiliar link.</w:t>
            </w:r>
          </w:p>
        </w:tc>
      </w:tr>
      <w:tr>
        <w:tc>
          <w:tcPr>
            <w:tcW w:type="dxa" w:w="3360"/>
            <w:vAlign w:val="center"/>
          </w:tcPr>
          <w:p>
            <w:r/>
            <w:r>
              <w:rPr>
                <w:b w:val="0"/>
                <w:sz w:val="18"/>
              </w:rPr>
              <w:t>confidence</w:t>
            </w:r>
          </w:p>
        </w:tc>
        <w:tc>
          <w:tcPr>
            <w:tcW w:type="dxa" w:w="3360"/>
            <w:vAlign w:val="center"/>
          </w:tcPr>
          <w:p>
            <w:r/>
            <w:r>
              <w:rPr>
                <w:b w:val="0"/>
                <w:sz w:val="18"/>
              </w:rPr>
              <w:t>Annotator confidence</w:t>
            </w:r>
          </w:p>
        </w:tc>
        <w:tc>
          <w:tcPr>
            <w:tcW w:type="dxa" w:w="3360"/>
            <w:vAlign w:val="center"/>
          </w:tcPr>
          <w:p>
            <w:r/>
            <w:r>
              <w:rPr>
                <w:b w:val="0"/>
                <w:sz w:val="18"/>
              </w:rPr>
              <w:t>High</w:t>
            </w:r>
          </w:p>
        </w:tc>
      </w:tr>
      <w:tr>
        <w:tc>
          <w:tcPr>
            <w:tcW w:type="dxa" w:w="3360"/>
            <w:vAlign w:val="center"/>
          </w:tcPr>
          <w:p>
            <w:r/>
            <w:r>
              <w:rPr>
                <w:b w:val="0"/>
                <w:sz w:val="18"/>
              </w:rPr>
              <w:t>annotator_id</w:t>
            </w:r>
          </w:p>
        </w:tc>
        <w:tc>
          <w:tcPr>
            <w:tcW w:type="dxa" w:w="3360"/>
            <w:vAlign w:val="center"/>
          </w:tcPr>
          <w:p>
            <w:r/>
            <w:r>
              <w:rPr>
                <w:b w:val="0"/>
                <w:sz w:val="18"/>
              </w:rPr>
              <w:t>Quality-control identifier</w:t>
            </w:r>
          </w:p>
        </w:tc>
        <w:tc>
          <w:tcPr>
            <w:tcW w:type="dxa" w:w="3360"/>
            <w:vAlign w:val="center"/>
          </w:tcPr>
          <w:p>
            <w:r/>
            <w:r>
              <w:rPr>
                <w:b w:val="0"/>
                <w:sz w:val="18"/>
              </w:rPr>
              <w:t>A1</w:t>
            </w:r>
          </w:p>
        </w:tc>
      </w:tr>
      <w:tr>
        <w:tc>
          <w:tcPr>
            <w:tcW w:type="dxa" w:w="3360"/>
            <w:vAlign w:val="center"/>
          </w:tcPr>
          <w:p>
            <w:r/>
            <w:r>
              <w:rPr>
                <w:b w:val="0"/>
                <w:sz w:val="18"/>
              </w:rPr>
              <w:t>adjudication</w:t>
            </w:r>
          </w:p>
        </w:tc>
        <w:tc>
          <w:tcPr>
            <w:tcW w:type="dxa" w:w="3360"/>
            <w:vAlign w:val="center"/>
          </w:tcPr>
          <w:p>
            <w:r/>
            <w:r>
              <w:rPr>
                <w:b w:val="0"/>
                <w:sz w:val="18"/>
              </w:rPr>
              <w:t>Final decision when disagreement occurs</w:t>
            </w:r>
          </w:p>
        </w:tc>
        <w:tc>
          <w:tcPr>
            <w:tcW w:type="dxa" w:w="3360"/>
            <w:vAlign w:val="center"/>
          </w:tcPr>
          <w:p>
            <w:r/>
            <w:r>
              <w:rPr>
                <w:b w:val="0"/>
                <w:sz w:val="18"/>
              </w:rPr>
              <w:t>DANGEROUS</w:t>
            </w:r>
          </w:p>
        </w:tc>
      </w:tr>
    </w:tbl>
    <w:p>
      <w:pPr>
        <w:pStyle w:val="Heading1"/>
      </w:pPr>
      <w:r>
        <w:t>11. Inter-Annotator Reliability</w:t>
      </w:r>
    </w:p>
    <w:p>
      <w:r>
        <w:t>A pilot set should be independently annotated by at least two annotators before full-scale labeling. For two annotators assigning categorical labels, Cohen's kappa can be used to measure agreement beyond chance. If three or more annotators are used, Fleiss' kappa is an appropriate alternative. Agreement should be reported overall and, where useful, by class. A practical target is to reach at least substantial agreement (for example, κ ≥ 0.75) on the pilot set before proceeding. This is a quality target rather than a universal scientific threshold.</w:t>
      </w:r>
    </w:p>
    <w:p>
      <w:pPr>
        <w:pStyle w:val="ListBullet"/>
        <w:spacing w:after="40"/>
      </w:pPr>
      <w:r>
        <w:t>Pilot-annotate approximately 100–200 representative messages.</w:t>
      </w:r>
    </w:p>
    <w:p>
      <w:pPr>
        <w:pStyle w:val="ListBullet"/>
        <w:spacing w:after="40"/>
      </w:pPr>
      <w:r>
        <w:t>Calculate agreement and inspect disagreements, especially SUSPICIOUS versus DANGEROUS.</w:t>
      </w:r>
    </w:p>
    <w:p>
      <w:pPr>
        <w:pStyle w:val="ListBullet"/>
        <w:spacing w:after="40"/>
      </w:pPr>
      <w:r>
        <w:t>Discuss disagreement causes and revise definitions/examples in the annotation guide.</w:t>
      </w:r>
    </w:p>
    <w:p>
      <w:pPr>
        <w:pStyle w:val="ListBullet"/>
        <w:spacing w:after="40"/>
      </w:pPr>
      <w:r>
        <w:t>Re-annotate a smaller calibration batch after guideline changes.</w:t>
      </w:r>
    </w:p>
    <w:p>
      <w:pPr>
        <w:pStyle w:val="ListBullet"/>
        <w:spacing w:after="40"/>
      </w:pPr>
      <w:r>
        <w:t>Freeze the annotation guide before production labeling.</w:t>
      </w:r>
    </w:p>
    <w:p>
      <w:pPr>
        <w:pStyle w:val="ListBullet"/>
        <w:spacing w:after="40"/>
      </w:pPr>
      <w:r>
        <w:t>Randomly audit a percentage of completed annotations and adjudicate difficult cases.</w:t>
      </w:r>
    </w:p>
    <w:p>
      <w:pPr>
        <w:pStyle w:val="Heading1"/>
      </w:pPr>
      <w:r>
        <w:t>12. Data Quality and Validation</w:t>
      </w:r>
    </w:p>
    <w:p>
      <w:r>
        <w:t>The cleaned and annotated dataset will pass the following validation gates before model training:</w:t>
      </w:r>
    </w:p>
    <w:p>
      <w:pPr>
        <w:pStyle w:val="ListBullet"/>
        <w:spacing w:after="40"/>
      </w:pPr>
      <w:r>
        <w:t>Schema validation: all required fields exist and labels belong to the allowed set.</w:t>
      </w:r>
    </w:p>
    <w:p>
      <w:pPr>
        <w:pStyle w:val="ListBullet"/>
        <w:spacing w:after="40"/>
      </w:pPr>
      <w:r>
        <w:t>Text validation: no unexpected binary content, empty text, or excessive parser artifacts.</w:t>
      </w:r>
    </w:p>
    <w:p>
      <w:pPr>
        <w:pStyle w:val="ListBullet"/>
        <w:spacing w:after="40"/>
      </w:pPr>
      <w:r>
        <w:t>Duplicate validation: no identical or near-identical messages are split across training and test sets.</w:t>
      </w:r>
    </w:p>
    <w:p>
      <w:pPr>
        <w:pStyle w:val="ListBullet"/>
        <w:spacing w:after="40"/>
      </w:pPr>
      <w:r>
        <w:t>Class validation: inspect label counts and use stratified sampling/splitting when appropriate.</w:t>
      </w:r>
    </w:p>
    <w:p>
      <w:pPr>
        <w:pStyle w:val="ListBullet"/>
        <w:spacing w:after="40"/>
      </w:pPr>
      <w:r>
        <w:t>Source validation: verify that source labels were not accidentally copied into the final target without review.</w:t>
      </w:r>
    </w:p>
    <w:p>
      <w:pPr>
        <w:pStyle w:val="ListBullet"/>
        <w:spacing w:after="40"/>
      </w:pPr>
      <w:r>
        <w:t>Leakage validation: remove or isolate metadata that directly reveals the label, such as an original spam folder name when it would create an unrealistic shortcut.</w:t>
      </w:r>
    </w:p>
    <w:p>
      <w:pPr>
        <w:pStyle w:val="ListBullet"/>
        <w:spacing w:after="40"/>
      </w:pPr>
      <w:r>
        <w:t>Annotation validation: calculate inter-annotator agreement and audit low-confidence examples.</w:t>
      </w:r>
    </w:p>
    <w:p>
      <w:pPr>
        <w:pStyle w:val="ListBullet"/>
        <w:spacing w:after="40"/>
      </w:pPr>
      <w:r>
        <w:t>Human spot check: manually review a random sample from each class after preprocessing.</w:t>
      </w:r>
    </w:p>
    <w:p>
      <w:pPr>
        <w:pStyle w:val="ListBullet"/>
        <w:spacing w:after="40"/>
      </w:pPr>
      <w:r>
        <w:t>Distribution validation: compare message length, vocabulary, source, and time/context distributions across splits.</w:t>
      </w:r>
    </w:p>
    <w:p>
      <w:pPr>
        <w:pStyle w:val="Heading1"/>
      </w:pPr>
      <w:r>
        <w:t>13. Potential Challenges and Mitigation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FFF2CC"/>
          </w:tcPr>
          <w:p>
            <w:r/>
            <w:r>
              <w:rPr>
                <w:b/>
                <w:sz w:val="18"/>
              </w:rPr>
              <w:t>Challenge</w:t>
            </w:r>
          </w:p>
        </w:tc>
        <w:tc>
          <w:tcPr>
            <w:tcW w:type="dxa" w:w="3360"/>
            <w:vAlign w:val="center"/>
            <w:shd w:fill="FFF2CC"/>
          </w:tcPr>
          <w:p>
            <w:r/>
            <w:r>
              <w:rPr>
                <w:b/>
                <w:sz w:val="18"/>
              </w:rPr>
              <w:t>Impact</w:t>
            </w:r>
          </w:p>
        </w:tc>
        <w:tc>
          <w:tcPr>
            <w:tcW w:type="dxa" w:w="3360"/>
            <w:vAlign w:val="center"/>
            <w:shd w:fill="FFF2CC"/>
          </w:tcPr>
          <w:p>
            <w:r/>
            <w:r>
              <w:rPr>
                <w:b/>
                <w:sz w:val="18"/>
              </w:rPr>
              <w:t>Mitigation</w:t>
            </w:r>
          </w:p>
        </w:tc>
      </w:tr>
      <w:tr>
        <w:tc>
          <w:tcPr>
            <w:tcW w:type="dxa" w:w="3360"/>
            <w:vAlign w:val="center"/>
          </w:tcPr>
          <w:p>
            <w:r/>
            <w:r>
              <w:rPr>
                <w:b w:val="0"/>
                <w:sz w:val="18"/>
              </w:rPr>
              <w:t>Domain mismatch</w:t>
            </w:r>
          </w:p>
        </w:tc>
        <w:tc>
          <w:tcPr>
            <w:tcW w:type="dxa" w:w="3360"/>
            <w:vAlign w:val="center"/>
          </w:tcPr>
          <w:p>
            <w:r/>
            <w:r>
              <w:rPr>
                <w:b w:val="0"/>
                <w:sz w:val="18"/>
              </w:rPr>
              <w:t>Public corpora are not hospital-specific.</w:t>
            </w:r>
          </w:p>
        </w:tc>
        <w:tc>
          <w:tcPr>
            <w:tcW w:type="dxa" w:w="3360"/>
            <w:vAlign w:val="center"/>
          </w:tcPr>
          <w:p>
            <w:r/>
            <w:r>
              <w:rPr>
                <w:b w:val="0"/>
                <w:sz w:val="18"/>
              </w:rPr>
              <w:t>Use synthetic hospital scenarios and, if authorized, a small de-identified validation set.</w:t>
            </w:r>
          </w:p>
        </w:tc>
      </w:tr>
      <w:tr>
        <w:tc>
          <w:tcPr>
            <w:tcW w:type="dxa" w:w="3360"/>
            <w:vAlign w:val="center"/>
          </w:tcPr>
          <w:p>
            <w:r/>
            <w:r>
              <w:rPr>
                <w:b w:val="0"/>
                <w:sz w:val="18"/>
              </w:rPr>
              <w:t>Spam ≠ phishing</w:t>
            </w:r>
          </w:p>
        </w:tc>
        <w:tc>
          <w:tcPr>
            <w:tcW w:type="dxa" w:w="3360"/>
            <w:vAlign w:val="center"/>
          </w:tcPr>
          <w:p>
            <w:r/>
            <w:r>
              <w:rPr>
                <w:b w:val="0"/>
                <w:sz w:val="18"/>
              </w:rPr>
              <w:t>Automatic mapping can create incorrect labels.</w:t>
            </w:r>
          </w:p>
        </w:tc>
        <w:tc>
          <w:tcPr>
            <w:tcW w:type="dxa" w:w="3360"/>
            <w:vAlign w:val="center"/>
          </w:tcPr>
          <w:p>
            <w:r/>
            <w:r>
              <w:rPr>
                <w:b w:val="0"/>
                <w:sz w:val="18"/>
              </w:rPr>
              <w:t>Manually screen malicious intent and maintain an out-of-scope category during curation.</w:t>
            </w:r>
          </w:p>
        </w:tc>
      </w:tr>
      <w:tr>
        <w:tc>
          <w:tcPr>
            <w:tcW w:type="dxa" w:w="3360"/>
            <w:vAlign w:val="center"/>
          </w:tcPr>
          <w:p>
            <w:r/>
            <w:r>
              <w:rPr>
                <w:b w:val="0"/>
                <w:sz w:val="18"/>
              </w:rPr>
              <w:t>Class imbalance</w:t>
            </w:r>
          </w:p>
        </w:tc>
        <w:tc>
          <w:tcPr>
            <w:tcW w:type="dxa" w:w="3360"/>
            <w:vAlign w:val="center"/>
          </w:tcPr>
          <w:p>
            <w:r/>
            <w:r>
              <w:rPr>
                <w:b w:val="0"/>
                <w:sz w:val="18"/>
              </w:rPr>
              <w:t>Model may favor the majority class.</w:t>
            </w:r>
          </w:p>
        </w:tc>
        <w:tc>
          <w:tcPr>
            <w:tcW w:type="dxa" w:w="3360"/>
            <w:vAlign w:val="center"/>
          </w:tcPr>
          <w:p>
            <w:r/>
            <w:r>
              <w:rPr>
                <w:b w:val="0"/>
                <w:sz w:val="18"/>
              </w:rPr>
              <w:t>Use balanced sampling for annotation and class-aware metrics.</w:t>
            </w:r>
          </w:p>
        </w:tc>
      </w:tr>
      <w:tr>
        <w:tc>
          <w:tcPr>
            <w:tcW w:type="dxa" w:w="3360"/>
            <w:vAlign w:val="center"/>
          </w:tcPr>
          <w:p>
            <w:r/>
            <w:r>
              <w:rPr>
                <w:b w:val="0"/>
                <w:sz w:val="18"/>
              </w:rPr>
              <w:t>Duplicate/leakage</w:t>
            </w:r>
          </w:p>
        </w:tc>
        <w:tc>
          <w:tcPr>
            <w:tcW w:type="dxa" w:w="3360"/>
            <w:vAlign w:val="center"/>
          </w:tcPr>
          <w:p>
            <w:r/>
            <w:r>
              <w:rPr>
                <w:b w:val="0"/>
                <w:sz w:val="18"/>
              </w:rPr>
              <w:t>Inflated evaluation scores.</w:t>
            </w:r>
          </w:p>
        </w:tc>
        <w:tc>
          <w:tcPr>
            <w:tcW w:type="dxa" w:w="3360"/>
            <w:vAlign w:val="center"/>
          </w:tcPr>
          <w:p>
            <w:r/>
            <w:r>
              <w:rPr>
                <w:b w:val="0"/>
                <w:sz w:val="18"/>
              </w:rPr>
              <w:t>Deduplicate before splitting and group near-duplicates together.</w:t>
            </w:r>
          </w:p>
        </w:tc>
      </w:tr>
      <w:tr>
        <w:tc>
          <w:tcPr>
            <w:tcW w:type="dxa" w:w="3360"/>
            <w:vAlign w:val="center"/>
          </w:tcPr>
          <w:p>
            <w:r/>
            <w:r>
              <w:rPr>
                <w:b w:val="0"/>
                <w:sz w:val="18"/>
              </w:rPr>
              <w:t>Privacy exposure</w:t>
            </w:r>
          </w:p>
        </w:tc>
        <w:tc>
          <w:tcPr>
            <w:tcW w:type="dxa" w:w="3360"/>
            <w:vAlign w:val="center"/>
          </w:tcPr>
          <w:p>
            <w:r/>
            <w:r>
              <w:rPr>
                <w:b w:val="0"/>
                <w:sz w:val="18"/>
              </w:rPr>
              <w:t>Sensitive information may be retained.</w:t>
            </w:r>
          </w:p>
        </w:tc>
        <w:tc>
          <w:tcPr>
            <w:tcW w:type="dxa" w:w="3360"/>
            <w:vAlign w:val="center"/>
          </w:tcPr>
          <w:p>
            <w:r/>
            <w:r>
              <w:rPr>
                <w:b w:val="0"/>
                <w:sz w:val="18"/>
              </w:rPr>
              <w:t>Minimize fields, mask identifiers, avoid private data, and document governance.</w:t>
            </w:r>
          </w:p>
        </w:tc>
      </w:tr>
      <w:tr>
        <w:tc>
          <w:tcPr>
            <w:tcW w:type="dxa" w:w="3360"/>
            <w:vAlign w:val="center"/>
          </w:tcPr>
          <w:p>
            <w:r/>
            <w:r>
              <w:rPr>
                <w:b w:val="0"/>
                <w:sz w:val="18"/>
              </w:rPr>
              <w:t>Annotator disagreement</w:t>
            </w:r>
          </w:p>
        </w:tc>
        <w:tc>
          <w:tcPr>
            <w:tcW w:type="dxa" w:w="3360"/>
            <w:vAlign w:val="center"/>
          </w:tcPr>
          <w:p>
            <w:r/>
            <w:r>
              <w:rPr>
                <w:b w:val="0"/>
                <w:sz w:val="18"/>
              </w:rPr>
              <w:t>Inconsistent labels reduce model quality.</w:t>
            </w:r>
          </w:p>
        </w:tc>
        <w:tc>
          <w:tcPr>
            <w:tcW w:type="dxa" w:w="3360"/>
            <w:vAlign w:val="center"/>
          </w:tcPr>
          <w:p>
            <w:r/>
            <w:r>
              <w:rPr>
                <w:b w:val="0"/>
                <w:sz w:val="18"/>
              </w:rPr>
              <w:t>Pilot calibration, clear definitions, evidence tags, and adjudication.</w:t>
            </w:r>
          </w:p>
        </w:tc>
      </w:tr>
      <w:tr>
        <w:tc>
          <w:tcPr>
            <w:tcW w:type="dxa" w:w="3360"/>
            <w:vAlign w:val="center"/>
          </w:tcPr>
          <w:p>
            <w:r/>
            <w:r>
              <w:rPr>
                <w:b w:val="0"/>
                <w:sz w:val="18"/>
              </w:rPr>
              <w:t>Concept drift</w:t>
            </w:r>
          </w:p>
        </w:tc>
        <w:tc>
          <w:tcPr>
            <w:tcW w:type="dxa" w:w="3360"/>
            <w:vAlign w:val="center"/>
          </w:tcPr>
          <w:p>
            <w:r/>
            <w:r>
              <w:rPr>
                <w:b w:val="0"/>
                <w:sz w:val="18"/>
              </w:rPr>
              <w:t>Attack patterns change over time.</w:t>
            </w:r>
          </w:p>
        </w:tc>
        <w:tc>
          <w:tcPr>
            <w:tcW w:type="dxa" w:w="3360"/>
            <w:vAlign w:val="center"/>
          </w:tcPr>
          <w:p>
            <w:r/>
            <w:r>
              <w:rPr>
                <w:b w:val="0"/>
                <w:sz w:val="18"/>
              </w:rPr>
              <w:t>Keep source/version metadata and plan periodic re-evaluation.</w:t>
            </w:r>
          </w:p>
        </w:tc>
      </w:tr>
      <w:tr>
        <w:tc>
          <w:tcPr>
            <w:tcW w:type="dxa" w:w="3360"/>
            <w:vAlign w:val="center"/>
          </w:tcPr>
          <w:p>
            <w:r/>
            <w:r>
              <w:rPr>
                <w:b w:val="0"/>
                <w:sz w:val="18"/>
              </w:rPr>
              <w:t>Over-cleaning</w:t>
            </w:r>
          </w:p>
        </w:tc>
        <w:tc>
          <w:tcPr>
            <w:tcW w:type="dxa" w:w="3360"/>
            <w:vAlign w:val="center"/>
          </w:tcPr>
          <w:p>
            <w:r/>
            <w:r>
              <w:rPr>
                <w:b w:val="0"/>
                <w:sz w:val="18"/>
              </w:rPr>
              <w:t>Security signals may be removed.</w:t>
            </w:r>
          </w:p>
        </w:tc>
        <w:tc>
          <w:tcPr>
            <w:tcW w:type="dxa" w:w="3360"/>
            <w:vAlign w:val="center"/>
          </w:tcPr>
          <w:p>
            <w:r/>
            <w:r>
              <w:rPr>
                <w:b w:val="0"/>
                <w:sz w:val="18"/>
              </w:rPr>
              <w:t>Preserve URLs, urgency, sender/domain cues, and raw text separately.</w:t>
            </w:r>
          </w:p>
        </w:tc>
      </w:tr>
    </w:tbl>
    <w:p>
      <w:pPr>
        <w:pStyle w:val="Heading1"/>
      </w:pPr>
      <w:r>
        <w:t>14. Reproducibility and Documentation Plan</w:t>
      </w:r>
    </w:p>
    <w:p>
      <w:r>
        <w:t>Every dataset transformation will be reproducible. The project will maintain a data dictionary, source inventory, cleaning configuration, annotation guide, label mapping, and validation log. Dataset documentation will record provenance, intended use, known limitations, privacy considerations, and bias. This follows the general principle behind dataset cards: users should be able to understand where a dataset came from, how it was created, what it is suitable for, and what risks or limitations it has.</w:t>
      </w:r>
    </w:p>
    <w:p>
      <w:pPr>
        <w:pStyle w:val="ListBullet"/>
        <w:spacing w:after="40"/>
      </w:pPr>
      <w:r>
        <w:t>Version the annotation guideline whenever a rule changes.</w:t>
      </w:r>
    </w:p>
    <w:p>
      <w:pPr>
        <w:pStyle w:val="ListBullet"/>
        <w:spacing w:after="40"/>
      </w:pPr>
      <w:r>
        <w:t>Record dataset versions and processing dates.</w:t>
      </w:r>
    </w:p>
    <w:p>
      <w:pPr>
        <w:pStyle w:val="ListBullet"/>
        <w:spacing w:after="40"/>
      </w:pPr>
      <w:r>
        <w:t>Keep scripts/configuration separate from raw data.</w:t>
      </w:r>
    </w:p>
    <w:p>
      <w:pPr>
        <w:pStyle w:val="ListBullet"/>
        <w:spacing w:after="40"/>
      </w:pPr>
      <w:r>
        <w:t>Do not commit restricted datasets to the public GitHub repository.</w:t>
      </w:r>
    </w:p>
    <w:p>
      <w:pPr>
        <w:pStyle w:val="ListBullet"/>
        <w:spacing w:after="40"/>
      </w:pPr>
      <w:r>
        <w:t>Commit documentation, schemas, sample non-sensitive records, and preprocessing code where permitted.</w:t>
      </w:r>
    </w:p>
    <w:p>
      <w:pPr>
        <w:pStyle w:val="ListBullet"/>
        <w:spacing w:after="40"/>
      </w:pPr>
      <w:r>
        <w:t>Maintain a changelog for major data decisions.</w:t>
      </w:r>
    </w:p>
    <w:p>
      <w:pPr>
        <w:pStyle w:val="Heading1"/>
      </w:pPr>
      <w:r>
        <w:t>15. Week 2 Execution Timeline</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DEBF7"/>
          </w:tcPr>
          <w:p>
            <w:r/>
            <w:r>
              <w:rPr>
                <w:b/>
                <w:sz w:val="18"/>
              </w:rPr>
              <w:t>Phase</w:t>
            </w:r>
          </w:p>
        </w:tc>
        <w:tc>
          <w:tcPr>
            <w:tcW w:type="dxa" w:w="2520"/>
            <w:vAlign w:val="center"/>
            <w:shd w:fill="DDEBF7"/>
          </w:tcPr>
          <w:p>
            <w:r/>
            <w:r>
              <w:rPr>
                <w:b/>
                <w:sz w:val="18"/>
              </w:rPr>
              <w:t>Estimated effort</w:t>
            </w:r>
          </w:p>
        </w:tc>
        <w:tc>
          <w:tcPr>
            <w:tcW w:type="dxa" w:w="2520"/>
            <w:vAlign w:val="center"/>
            <w:shd w:fill="DDEBF7"/>
          </w:tcPr>
          <w:p>
            <w:r/>
            <w:r>
              <w:rPr>
                <w:b/>
                <w:sz w:val="18"/>
              </w:rPr>
              <w:t>Milestone</w:t>
            </w:r>
          </w:p>
        </w:tc>
        <w:tc>
          <w:tcPr>
            <w:tcW w:type="dxa" w:w="2520"/>
            <w:vAlign w:val="center"/>
            <w:shd w:fill="DDEBF7"/>
          </w:tcPr>
          <w:p>
            <w:r/>
            <w:r>
              <w:rPr>
                <w:b/>
                <w:sz w:val="18"/>
              </w:rPr>
              <w:t>Output</w:t>
            </w:r>
          </w:p>
        </w:tc>
      </w:tr>
      <w:tr>
        <w:tc>
          <w:tcPr>
            <w:tcW w:type="dxa" w:w="2520"/>
            <w:vAlign w:val="center"/>
          </w:tcPr>
          <w:p>
            <w:r/>
            <w:r>
              <w:rPr>
                <w:b w:val="0"/>
                <w:sz w:val="18"/>
              </w:rPr>
              <w:t>Research &amp; source review</w:t>
            </w:r>
          </w:p>
        </w:tc>
        <w:tc>
          <w:tcPr>
            <w:tcW w:type="dxa" w:w="2520"/>
            <w:vAlign w:val="center"/>
          </w:tcPr>
          <w:p>
            <w:r/>
            <w:r>
              <w:rPr>
                <w:b w:val="0"/>
                <w:sz w:val="18"/>
              </w:rPr>
              <w:t>4–5 hours</w:t>
            </w:r>
          </w:p>
        </w:tc>
        <w:tc>
          <w:tcPr>
            <w:tcW w:type="dxa" w:w="2520"/>
            <w:vAlign w:val="center"/>
          </w:tcPr>
          <w:p>
            <w:r/>
            <w:r>
              <w:rPr>
                <w:b w:val="0"/>
                <w:sz w:val="18"/>
              </w:rPr>
              <w:t>Sources approved</w:t>
            </w:r>
          </w:p>
        </w:tc>
        <w:tc>
          <w:tcPr>
            <w:tcW w:type="dxa" w:w="2520"/>
            <w:vAlign w:val="center"/>
          </w:tcPr>
          <w:p>
            <w:r/>
            <w:r>
              <w:rPr>
                <w:b w:val="0"/>
                <w:sz w:val="18"/>
              </w:rPr>
              <w:t>Source inventory + legal/ethical notes</w:t>
            </w:r>
          </w:p>
        </w:tc>
      </w:tr>
      <w:tr>
        <w:tc>
          <w:tcPr>
            <w:tcW w:type="dxa" w:w="2520"/>
            <w:vAlign w:val="center"/>
          </w:tcPr>
          <w:p>
            <w:r/>
            <w:r>
              <w:rPr>
                <w:b w:val="0"/>
                <w:sz w:val="18"/>
              </w:rPr>
              <w:t>Data acquisition &amp; parsing</w:t>
            </w:r>
          </w:p>
        </w:tc>
        <w:tc>
          <w:tcPr>
            <w:tcW w:type="dxa" w:w="2520"/>
            <w:vAlign w:val="center"/>
          </w:tcPr>
          <w:p>
            <w:r/>
            <w:r>
              <w:rPr>
                <w:b w:val="0"/>
                <w:sz w:val="18"/>
              </w:rPr>
              <w:t>5–6 hours</w:t>
            </w:r>
          </w:p>
        </w:tc>
        <w:tc>
          <w:tcPr>
            <w:tcW w:type="dxa" w:w="2520"/>
            <w:vAlign w:val="center"/>
          </w:tcPr>
          <w:p>
            <w:r/>
            <w:r>
              <w:rPr>
                <w:b w:val="0"/>
                <w:sz w:val="18"/>
              </w:rPr>
              <w:t>Raw corpus prepared</w:t>
            </w:r>
          </w:p>
        </w:tc>
        <w:tc>
          <w:tcPr>
            <w:tcW w:type="dxa" w:w="2520"/>
            <w:vAlign w:val="center"/>
          </w:tcPr>
          <w:p>
            <w:r/>
            <w:r>
              <w:rPr>
                <w:b w:val="0"/>
                <w:sz w:val="18"/>
              </w:rPr>
              <w:t>Raw-to-schema ingestion procedure</w:t>
            </w:r>
          </w:p>
        </w:tc>
      </w:tr>
      <w:tr>
        <w:tc>
          <w:tcPr>
            <w:tcW w:type="dxa" w:w="2520"/>
            <w:vAlign w:val="center"/>
          </w:tcPr>
          <w:p>
            <w:r/>
            <w:r>
              <w:rPr>
                <w:b w:val="0"/>
                <w:sz w:val="18"/>
              </w:rPr>
              <w:t>Cleaning protocol design</w:t>
            </w:r>
          </w:p>
        </w:tc>
        <w:tc>
          <w:tcPr>
            <w:tcW w:type="dxa" w:w="2520"/>
            <w:vAlign w:val="center"/>
          </w:tcPr>
          <w:p>
            <w:r/>
            <w:r>
              <w:rPr>
                <w:b w:val="0"/>
                <w:sz w:val="18"/>
              </w:rPr>
              <w:t>5–6 hours</w:t>
            </w:r>
          </w:p>
        </w:tc>
        <w:tc>
          <w:tcPr>
            <w:tcW w:type="dxa" w:w="2520"/>
            <w:vAlign w:val="center"/>
          </w:tcPr>
          <w:p>
            <w:r/>
            <w:r>
              <w:rPr>
                <w:b w:val="0"/>
                <w:sz w:val="18"/>
              </w:rPr>
              <w:t>Cleaning rules frozen</w:t>
            </w:r>
          </w:p>
        </w:tc>
        <w:tc>
          <w:tcPr>
            <w:tcW w:type="dxa" w:w="2520"/>
            <w:vAlign w:val="center"/>
          </w:tcPr>
          <w:p>
            <w:r/>
            <w:r>
              <w:rPr>
                <w:b w:val="0"/>
                <w:sz w:val="18"/>
              </w:rPr>
              <w:t>Cleaning checklist + validation fields</w:t>
            </w:r>
          </w:p>
        </w:tc>
      </w:tr>
      <w:tr>
        <w:tc>
          <w:tcPr>
            <w:tcW w:type="dxa" w:w="2520"/>
            <w:vAlign w:val="center"/>
          </w:tcPr>
          <w:p>
            <w:r/>
            <w:r>
              <w:rPr>
                <w:b w:val="0"/>
                <w:sz w:val="18"/>
              </w:rPr>
              <w:t>Annotation guide</w:t>
            </w:r>
          </w:p>
        </w:tc>
        <w:tc>
          <w:tcPr>
            <w:tcW w:type="dxa" w:w="2520"/>
            <w:vAlign w:val="center"/>
          </w:tcPr>
          <w:p>
            <w:r/>
            <w:r>
              <w:rPr>
                <w:b w:val="0"/>
                <w:sz w:val="18"/>
              </w:rPr>
              <w:t>5–6 hours</w:t>
            </w:r>
          </w:p>
        </w:tc>
        <w:tc>
          <w:tcPr>
            <w:tcW w:type="dxa" w:w="2520"/>
            <w:vAlign w:val="center"/>
          </w:tcPr>
          <w:p>
            <w:r/>
            <w:r>
              <w:rPr>
                <w:b w:val="0"/>
                <w:sz w:val="18"/>
              </w:rPr>
              <w:t>Pilot-ready guideline</w:t>
            </w:r>
          </w:p>
        </w:tc>
        <w:tc>
          <w:tcPr>
            <w:tcW w:type="dxa" w:w="2520"/>
            <w:vAlign w:val="center"/>
          </w:tcPr>
          <w:p>
            <w:r/>
            <w:r>
              <w:rPr>
                <w:b w:val="0"/>
                <w:sz w:val="18"/>
              </w:rPr>
              <w:t>Three-class label definitions + examples</w:t>
            </w:r>
          </w:p>
        </w:tc>
      </w:tr>
      <w:tr>
        <w:tc>
          <w:tcPr>
            <w:tcW w:type="dxa" w:w="2520"/>
            <w:vAlign w:val="center"/>
          </w:tcPr>
          <w:p>
            <w:r/>
            <w:r>
              <w:rPr>
                <w:b w:val="0"/>
                <w:sz w:val="18"/>
              </w:rPr>
              <w:t>Pilot annotation &amp; agreement plan</w:t>
            </w:r>
          </w:p>
        </w:tc>
        <w:tc>
          <w:tcPr>
            <w:tcW w:type="dxa" w:w="2520"/>
            <w:vAlign w:val="center"/>
          </w:tcPr>
          <w:p>
            <w:r/>
            <w:r>
              <w:rPr>
                <w:b w:val="0"/>
                <w:sz w:val="18"/>
              </w:rPr>
              <w:t>4–5 hours</w:t>
            </w:r>
          </w:p>
        </w:tc>
        <w:tc>
          <w:tcPr>
            <w:tcW w:type="dxa" w:w="2520"/>
            <w:vAlign w:val="center"/>
          </w:tcPr>
          <w:p>
            <w:r/>
            <w:r>
              <w:rPr>
                <w:b w:val="0"/>
                <w:sz w:val="18"/>
              </w:rPr>
              <w:t>Quality gate defined</w:t>
            </w:r>
          </w:p>
        </w:tc>
        <w:tc>
          <w:tcPr>
            <w:tcW w:type="dxa" w:w="2520"/>
            <w:vAlign w:val="center"/>
          </w:tcPr>
          <w:p>
            <w:r/>
            <w:r>
              <w:rPr>
                <w:b w:val="0"/>
                <w:sz w:val="18"/>
              </w:rPr>
              <w:t>Agreement/adjudication procedure</w:t>
            </w:r>
          </w:p>
        </w:tc>
      </w:tr>
      <w:tr>
        <w:tc>
          <w:tcPr>
            <w:tcW w:type="dxa" w:w="2520"/>
            <w:vAlign w:val="center"/>
          </w:tcPr>
          <w:p>
            <w:r/>
            <w:r>
              <w:rPr>
                <w:b w:val="0"/>
                <w:sz w:val="18"/>
              </w:rPr>
              <w:t>Documentation &amp; final review</w:t>
            </w:r>
          </w:p>
        </w:tc>
        <w:tc>
          <w:tcPr>
            <w:tcW w:type="dxa" w:w="2520"/>
            <w:vAlign w:val="center"/>
          </w:tcPr>
          <w:p>
            <w:r/>
            <w:r>
              <w:rPr>
                <w:b w:val="0"/>
                <w:sz w:val="18"/>
              </w:rPr>
              <w:t>3–4 hours</w:t>
            </w:r>
          </w:p>
        </w:tc>
        <w:tc>
          <w:tcPr>
            <w:tcW w:type="dxa" w:w="2520"/>
            <w:vAlign w:val="center"/>
          </w:tcPr>
          <w:p>
            <w:r/>
            <w:r>
              <w:rPr>
                <w:b w:val="0"/>
                <w:sz w:val="18"/>
              </w:rPr>
              <w:t>Week 2 submission ready</w:t>
            </w:r>
          </w:p>
        </w:tc>
        <w:tc>
          <w:tcPr>
            <w:tcW w:type="dxa" w:w="2520"/>
            <w:vAlign w:val="center"/>
          </w:tcPr>
          <w:p>
            <w:r/>
            <w:r>
              <w:rPr>
                <w:b w:val="0"/>
                <w:sz w:val="18"/>
              </w:rPr>
              <w:t>DOCX report + GitHub documentation</w:t>
            </w:r>
          </w:p>
        </w:tc>
      </w:tr>
    </w:tbl>
    <w:p>
      <w:pPr>
        <w:pStyle w:val="Heading1"/>
      </w:pPr>
      <w:r>
        <w:t>16. Expected Week 2 Deliverables</w:t>
      </w:r>
    </w:p>
    <w:p>
      <w:pPr>
        <w:pStyle w:val="ListBullet"/>
        <w:spacing w:after="40"/>
      </w:pPr>
      <w:r>
        <w:t>A documented public-data sourcing strategy.</w:t>
      </w:r>
    </w:p>
    <w:p>
      <w:pPr>
        <w:pStyle w:val="ListBullet"/>
        <w:spacing w:after="40"/>
      </w:pPr>
      <w:r>
        <w:t>A reproducible cleaning and normalization protocol.</w:t>
      </w:r>
    </w:p>
    <w:p>
      <w:pPr>
        <w:pStyle w:val="ListBullet"/>
        <w:spacing w:after="40"/>
      </w:pPr>
      <w:r>
        <w:t>A three-class annotation guideline for Safe, Suspicious, and Dangerous email.</w:t>
      </w:r>
    </w:p>
    <w:p>
      <w:pPr>
        <w:pStyle w:val="ListBullet"/>
        <w:spacing w:after="40"/>
      </w:pPr>
      <w:r>
        <w:t>An annotation record schema and quality-control procedure.</w:t>
      </w:r>
    </w:p>
    <w:p>
      <w:pPr>
        <w:pStyle w:val="ListBullet"/>
        <w:spacing w:after="40"/>
      </w:pPr>
      <w:r>
        <w:t>A plan for inter-annotator agreement and adjudication.</w:t>
      </w:r>
    </w:p>
    <w:p>
      <w:pPr>
        <w:pStyle w:val="ListBullet"/>
        <w:spacing w:after="40"/>
      </w:pPr>
      <w:r>
        <w:t>A data validation checklist covering duplicates, missing values, leakage, class balance, and privacy.</w:t>
      </w:r>
    </w:p>
    <w:p>
      <w:pPr>
        <w:pStyle w:val="ListBullet"/>
        <w:spacing w:after="40"/>
      </w:pPr>
      <w:r>
        <w:t>A documented list of risks and mitigation actions.</w:t>
      </w:r>
    </w:p>
    <w:p>
      <w:pPr>
        <w:pStyle w:val="ListBullet"/>
        <w:spacing w:after="40"/>
      </w:pPr>
      <w:r>
        <w:t>A Word report suitable for internship submission and a corresponding Week 2 folder in the project GitHub repository.</w:t>
      </w:r>
    </w:p>
    <w:p>
      <w:pPr>
        <w:pStyle w:val="Heading1"/>
      </w:pPr>
      <w:r>
        <w:t>17. Conclusion</w:t>
      </w:r>
    </w:p>
    <w:p>
      <w:r>
        <w:t>This strategy establishes a controlled and reproducible path from public email sources to a high-quality annotated dataset for the Hospital Email Threat Classification project. The most important design choice is to avoid equating generic spam with dangerous phishing. Public corpora provide useful linguistic and email structure, but domain adaptation and human review are necessary. Conservative cleaning, explicit provenance, privacy-aware handling, clear three-class definitions, and inter-annotator quality checks will reduce the risk of training a model on noisy or misleading labels. Once these gates are satisfied, the resulting dataset will be ready for the next stages of feature engineering, baseline model training, transformer experiments, and evaluation.</w:t>
      </w:r>
    </w:p>
    <w:p>
      <w:pPr>
        <w:pStyle w:val="Heading1"/>
      </w:pPr>
      <w:r>
        <w:t>18. Research References and Public Resources</w:t>
      </w:r>
    </w:p>
    <w:p>
      <w:pPr>
        <w:spacing w:after="60"/>
      </w:pPr>
      <w:r>
        <w:rPr>
          <w:b/>
        </w:rPr>
        <w:t xml:space="preserve">Apache SpamAssassin – Public Corpus: </w:t>
      </w:r>
      <w:r>
        <w:t>https://spamassassin.apache.org/old/publiccorpus/</w:t>
      </w:r>
    </w:p>
    <w:p>
      <w:pPr>
        <w:spacing w:after="60"/>
      </w:pPr>
      <w:r>
        <w:rPr>
          <w:b/>
        </w:rPr>
        <w:t xml:space="preserve">Apache SpamAssassin – Welcome / Project Documentation: </w:t>
      </w:r>
      <w:r>
        <w:t>https://spamassassin.apache.org/</w:t>
      </w:r>
    </w:p>
    <w:p>
      <w:pPr>
        <w:spacing w:after="60"/>
      </w:pPr>
      <w:r>
        <w:rPr>
          <w:b/>
        </w:rPr>
        <w:t xml:space="preserve">CMU – Enron Email Dataset: </w:t>
      </w:r>
      <w:r>
        <w:t>https://www.cs.cmu.edu/~enron/</w:t>
      </w:r>
    </w:p>
    <w:p>
      <w:pPr>
        <w:spacing w:after="60"/>
      </w:pPr>
      <w:r>
        <w:rPr>
          <w:b/>
        </w:rPr>
        <w:t xml:space="preserve">NIST – Phish Scale User Guide: </w:t>
      </w:r>
      <w:r>
        <w:t>https://www.nist.gov/publications/nist-phish-scale-user-guide</w:t>
      </w:r>
    </w:p>
    <w:p>
      <w:pPr>
        <w:spacing w:after="60"/>
      </w:pPr>
      <w:r>
        <w:rPr>
          <w:b/>
        </w:rPr>
        <w:t xml:space="preserve">NIST – Phish Scale Technical Note: </w:t>
      </w:r>
      <w:r>
        <w:t>https://csrc.nist.gov/pubs/tn/2276/final</w:t>
      </w:r>
    </w:p>
    <w:p>
      <w:pPr>
        <w:spacing w:after="60"/>
      </w:pPr>
      <w:r>
        <w:rPr>
          <w:b/>
        </w:rPr>
        <w:t xml:space="preserve">scikit-learn – TF-IDF Vectorizer: </w:t>
      </w:r>
      <w:r>
        <w:t>https://scikit-learn.org/stable/modules/generated/sklearn.feature_extraction.text.TfidfVectorizer.html</w:t>
      </w:r>
    </w:p>
    <w:p>
      <w:pPr>
        <w:spacing w:after="60"/>
      </w:pPr>
      <w:r>
        <w:rPr>
          <w:b/>
        </w:rPr>
        <w:t xml:space="preserve">scikit-learn – Text Feature Extraction: </w:t>
      </w:r>
      <w:r>
        <w:t>https://scikit-learn.org/stable/modules/feature_extraction.html</w:t>
      </w:r>
    </w:p>
    <w:p>
      <w:pPr>
        <w:spacing w:after="60"/>
      </w:pPr>
      <w:r>
        <w:rPr>
          <w:b/>
        </w:rPr>
        <w:t xml:space="preserve">NLTK – Stemming and Lemmatization: </w:t>
      </w:r>
      <w:r>
        <w:t>https://www.nltk.org/book/ch03.html</w:t>
      </w:r>
    </w:p>
    <w:p>
      <w:pPr>
        <w:spacing w:after="60"/>
      </w:pPr>
      <w:r>
        <w:rPr>
          <w:b/>
        </w:rPr>
        <w:t xml:space="preserve">Hugging Face – Dataset Cards: </w:t>
      </w:r>
      <w:r>
        <w:t>https://huggingface.co/docs/hub/main/datasets-cards</w:t>
      </w:r>
    </w:p>
    <w:p>
      <w:pPr>
        <w:spacing w:after="60"/>
      </w:pPr>
      <w:r>
        <w:rPr>
          <w:b/>
        </w:rPr>
        <w:t xml:space="preserve">NIST AI Metrology – Fleiss Kappa: </w:t>
      </w:r>
      <w:r>
        <w:t>https://airc.nist.gov/metrology/</w:t>
      </w:r>
    </w:p>
    <w:p/>
    <w:p>
      <w:pPr>
        <w:jc w:val="center"/>
      </w:pPr>
      <w:r>
        <w:rPr>
          <w:i/>
        </w:rPr>
        <w:t>Prepared for Week 2 internship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