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Global TechCorp - Annual Company Handbook &amp; Policy 2026</w:t>
      </w:r>
    </w:p>
    <w:p>
      <w:pPr>
        <w:pStyle w:val="Heading1"/>
      </w:pPr>
      <w:r>
        <w:t>1. Executive Overview</w:t>
      </w:r>
    </w:p>
    <w:p>
      <w:r>
        <w:t>Global TechCorp is a leading enterprise cloud AI and intelligent automation platform provider founded in 2018 in Seattle, Washington. With over 12,000 employees across 18 international offices, TechCorp serves more than 4,500 enterprise clients globally.</w:t>
      </w:r>
    </w:p>
    <w:p>
      <w:pPr>
        <w:pStyle w:val="Heading1"/>
      </w:pPr>
      <w:r>
        <w:t>2. Financial Performance &amp; Key Metrics</w:t>
      </w:r>
    </w:p>
    <w:p>
      <w:r>
        <w:t>In fiscal year 2025, Global TechCorp achieved a total revenue of .42 billion, representing a 28% year-over-year growth. Operating margin expanded to 22.4%, and R&amp;D investment reached  million.</w:t>
      </w:r>
    </w:p>
    <w:p>
      <w:pPr>
        <w:pStyle w:val="ListBullet"/>
      </w:pPr>
      <w:r>
        <w:t>Key Financial Highlights:</w:t>
      </w:r>
    </w:p>
    <w:p>
      <w:pPr>
        <w:pStyle w:val="ListBullet"/>
      </w:pPr>
      <w:r>
        <w:t>Total Annual Revenue: .42 Billion</w:t>
      </w:r>
    </w:p>
    <w:p>
      <w:pPr>
        <w:pStyle w:val="ListBullet"/>
      </w:pPr>
      <w:r>
        <w:t>Net Profit:  Million</w:t>
      </w:r>
    </w:p>
    <w:p>
      <w:pPr>
        <w:pStyle w:val="ListBullet"/>
      </w:pPr>
      <w:r>
        <w:t>Gross Margin: 74.2%</w:t>
      </w:r>
    </w:p>
    <w:p>
      <w:pPr>
        <w:pStyle w:val="ListBullet"/>
      </w:pPr>
      <w:r>
        <w:t>Customer Retention Rate: 96.5%</w:t>
      </w:r>
    </w:p>
    <w:p>
      <w:pPr>
        <w:pStyle w:val="Heading1"/>
      </w:pPr>
      <w:r>
        <w:t>3. Workplace &amp; Leave Policies</w:t>
      </w:r>
    </w:p>
    <w:p>
      <w:r>
        <w:t>TechCorp operates on a hybrid-first working model. Full-time team members are eligible for the following benefits:</w:t>
      </w:r>
    </w:p>
    <w:p>
      <w:pPr>
        <w:pStyle w:val="ListBullet"/>
      </w:pPr>
      <w:r>
        <w:t>Annual Paid Time Off (PTO): 25 days per calendar year.</w:t>
      </w:r>
    </w:p>
    <w:p>
      <w:pPr>
        <w:pStyle w:val="ListBullet"/>
      </w:pPr>
      <w:r>
        <w:t>Health &amp; Wellness Reimbursement: Up to ,500 annually for fitness, mental health, or home office ergonomics.</w:t>
      </w:r>
    </w:p>
    <w:p>
      <w:pPr>
        <w:pStyle w:val="ListBullet"/>
      </w:pPr>
      <w:r>
        <w:t>Parental Leave: 16 weeks of 100% paid leave for primary caregivers, and 8 weeks for secondary caregivers.</w:t>
      </w:r>
    </w:p>
    <w:p>
      <w:pPr>
        <w:pStyle w:val="ListBullet"/>
      </w:pPr>
      <w:r>
        <w:t>Learning &amp; Development Stipend: ,000 per employee per year for certifications and conferences.</w:t>
      </w:r>
    </w:p>
    <w:p>
      <w:pPr>
        <w:pStyle w:val="Heading1"/>
      </w:pPr>
      <w:r>
        <w:t>4. Information Security &amp; AI Governance</w:t>
      </w:r>
    </w:p>
    <w:p>
      <w:r>
        <w:t>All confidential customer data must be encrypted in transit using TLS 1.3 and at rest using AES-256 encryption. Multi-factor authentication (MFA) is mandatory for all internal and VPN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