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192CE">
      <w:pPr>
        <w:keepNext w:val="0"/>
        <w:keepLines w:val="0"/>
        <w:widowControl/>
        <w:suppressLineNumbers w:val="0"/>
        <w:jc w:val="left"/>
      </w:pPr>
      <w:r>
        <w:rPr>
          <w:rFonts w:ascii="SimSun" w:hAnsi="SimSun" w:eastAsia="SimSun" w:cs="SimSun"/>
          <w:kern w:val="0"/>
          <w:sz w:val="24"/>
          <w:szCs w:val="24"/>
          <w:lang w:val="en-US" w:eastAsia="zh-CN" w:bidi="ar"/>
        </w:rPr>
        <w:t>Feasibility Study Report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Project Name: Vexa – AI-Powered Knowledge Hub</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Date: October 26, 2023</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Report Prepared For: Vexa Executive Stakeholders &amp; Investors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Report Prepared By: [Name of Project Office/Lead Analyst]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Document Status: Final Draft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Executive Summary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This report assesses the feasibility of developing and launching Vexa, an AI-powered knowledge management platform. The analysis covers technical, economic, legal, operational, and scheduling dimensions.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Overall Conclusion: The Vexa project is highly feasible and represents a significant market opportunity. The core technology is readily available and can be integrated effectively. The projected financial returns are strong, with a clear path to profitability within 18 months. Key risks, particularly concerning data privacy and AI cost management, have been identified and mitigation strategies are proposed.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Recommendation: Proceed with development. The project is viable, aligns with market needs, and promises a strong return on investment. It is recommended to begin with a 6-month MVP development phase as outlined in the schedule.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1. Introduction &amp; Project Background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1.1. Project Description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Vexa is a proposed cloud-based software application designed to serve as a centralized, intelligent hub for personal and professional knowledge. It aims to solve the critical problem of information overload by leveraging artificial intelligence to summarize, organize, and retrieve information based on context and meaning.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1.2. Objectives of this Study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 primary objective of this study is to determine whether the Vexa project can be successfully completed within defined constraints (budget, time, technology) and sustained as a viable business. This involves analyzing: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 practicality of the proposed technical architecture.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 financial investment required versus the expected returns.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 operational capacity to develop, launch, and maintain the product.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Potential legal and regulatory hurdles.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 reasonableness of the proposed project timeline.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Technical Feasibility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2.1. Technology Stack Analysis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Layout w:type="autofit"/>
        <w:tblCellMar>
          <w:top w:w="15" w:type="dxa"/>
          <w:left w:w="15" w:type="dxa"/>
          <w:bottom w:w="15" w:type="dxa"/>
          <w:right w:w="15" w:type="dxa"/>
        </w:tblCellMar>
      </w:tblPr>
      <w:tblGrid>
        <w:gridCol w:w="1847"/>
        <w:gridCol w:w="1956"/>
        <w:gridCol w:w="4653"/>
      </w:tblGrid>
      <w:tr w14:paraId="6A3A1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rPr>
          <w:tblHeader/>
        </w:trPr>
        <w:tc>
          <w:tcPr>
            <w:tcW w:w="0" w:type="auto"/>
            <w:tcBorders>
              <w:top w:val="nil"/>
              <w:left w:val="nil"/>
              <w:bottom w:val="single" w:color="8B8B8B" w:sz="6" w:space="0"/>
              <w:right w:val="nil"/>
            </w:tcBorders>
            <w:shd w:val="clear" w:color="auto" w:fill="292A2D"/>
            <w:tcMar>
              <w:top w:w="150" w:type="dxa"/>
              <w:left w:w="0" w:type="dxa"/>
              <w:bottom w:w="150" w:type="dxa"/>
              <w:right w:w="150" w:type="dxa"/>
            </w:tcMar>
            <w:vAlign w:val="center"/>
          </w:tcPr>
          <w:p w14:paraId="65AB07D5">
            <w:pPr>
              <w:keepNext w:val="0"/>
              <w:keepLines w:val="0"/>
              <w:widowControl/>
              <w:suppressLineNumbers w:val="0"/>
              <w:spacing w:line="26" w:lineRule="atLeast"/>
              <w:jc w:val="left"/>
              <w:rPr>
                <w:rFonts w:ascii="Segoe UI" w:hAnsi="Segoe UI" w:eastAsia="Segoe UI" w:cs="Segoe UI"/>
                <w:b/>
                <w:bCs/>
                <w:i w:val="0"/>
                <w:iCs w:val="0"/>
                <w:caps w:val="0"/>
                <w:color w:val="F5F5F5"/>
                <w:spacing w:val="0"/>
                <w:sz w:val="22"/>
                <w:szCs w:val="22"/>
              </w:rPr>
            </w:pPr>
            <w:r>
              <w:rPr>
                <w:rFonts w:hint="default" w:ascii="Segoe UI" w:hAnsi="Segoe UI" w:eastAsia="Segoe UI" w:cs="Segoe UI"/>
                <w:b/>
                <w:bCs/>
                <w:i w:val="0"/>
                <w:iCs w:val="0"/>
                <w:caps w:val="0"/>
                <w:color w:val="F5F5F5"/>
                <w:spacing w:val="0"/>
                <w:kern w:val="0"/>
                <w:sz w:val="22"/>
                <w:szCs w:val="22"/>
                <w:bdr w:val="none" w:color="auto" w:sz="0" w:space="0"/>
                <w:lang w:val="en-US" w:eastAsia="zh-CN" w:bidi="ar"/>
              </w:rPr>
              <w:t>Component</w:t>
            </w:r>
          </w:p>
        </w:tc>
        <w:tc>
          <w:tcPr>
            <w:tcW w:w="0" w:type="auto"/>
            <w:tcBorders>
              <w:top w:val="nil"/>
              <w:left w:val="nil"/>
              <w:bottom w:val="single" w:color="8B8B8B" w:sz="6" w:space="0"/>
              <w:right w:val="nil"/>
            </w:tcBorders>
            <w:shd w:val="clear" w:color="auto" w:fill="292A2D"/>
            <w:tcMar>
              <w:top w:w="150" w:type="dxa"/>
              <w:left w:w="150" w:type="dxa"/>
              <w:bottom w:w="150" w:type="dxa"/>
              <w:right w:w="150" w:type="dxa"/>
            </w:tcMar>
            <w:vAlign w:val="center"/>
          </w:tcPr>
          <w:p w14:paraId="1501ED9B">
            <w:pPr>
              <w:keepNext w:val="0"/>
              <w:keepLines w:val="0"/>
              <w:widowControl/>
              <w:suppressLineNumbers w:val="0"/>
              <w:spacing w:line="26" w:lineRule="atLeast"/>
              <w:jc w:val="left"/>
              <w:rPr>
                <w:rFonts w:hint="default" w:ascii="Segoe UI" w:hAnsi="Segoe UI" w:eastAsia="Segoe UI" w:cs="Segoe UI"/>
                <w:b/>
                <w:bCs/>
                <w:i w:val="0"/>
                <w:iCs w:val="0"/>
                <w:caps w:val="0"/>
                <w:color w:val="F5F5F5"/>
                <w:spacing w:val="0"/>
                <w:sz w:val="22"/>
                <w:szCs w:val="22"/>
              </w:rPr>
            </w:pPr>
            <w:r>
              <w:rPr>
                <w:rFonts w:hint="default" w:ascii="Segoe UI" w:hAnsi="Segoe UI" w:eastAsia="Segoe UI" w:cs="Segoe UI"/>
                <w:b/>
                <w:bCs/>
                <w:i w:val="0"/>
                <w:iCs w:val="0"/>
                <w:caps w:val="0"/>
                <w:color w:val="F5F5F5"/>
                <w:spacing w:val="0"/>
                <w:kern w:val="0"/>
                <w:sz w:val="22"/>
                <w:szCs w:val="22"/>
                <w:bdr w:val="none" w:color="auto" w:sz="0" w:space="0"/>
                <w:lang w:val="en-US" w:eastAsia="zh-CN" w:bidi="ar"/>
              </w:rPr>
              <w:t>Proposed Technology</w:t>
            </w:r>
          </w:p>
        </w:tc>
        <w:tc>
          <w:tcPr>
            <w:tcW w:w="0" w:type="auto"/>
            <w:tcBorders>
              <w:top w:val="nil"/>
              <w:left w:val="nil"/>
              <w:bottom w:val="single" w:color="8B8B8B" w:sz="6" w:space="0"/>
              <w:right w:val="nil"/>
            </w:tcBorders>
            <w:shd w:val="clear" w:color="auto" w:fill="292A2D"/>
            <w:tcMar>
              <w:top w:w="150" w:type="dxa"/>
              <w:left w:w="150" w:type="dxa"/>
              <w:bottom w:w="150" w:type="dxa"/>
              <w:right w:w="150" w:type="dxa"/>
            </w:tcMar>
            <w:vAlign w:val="center"/>
          </w:tcPr>
          <w:p w14:paraId="0612BC3B">
            <w:pPr>
              <w:keepNext w:val="0"/>
              <w:keepLines w:val="0"/>
              <w:widowControl/>
              <w:suppressLineNumbers w:val="0"/>
              <w:spacing w:line="26" w:lineRule="atLeast"/>
              <w:jc w:val="left"/>
              <w:rPr>
                <w:rFonts w:hint="default" w:ascii="Segoe UI" w:hAnsi="Segoe UI" w:eastAsia="Segoe UI" w:cs="Segoe UI"/>
                <w:b/>
                <w:bCs/>
                <w:i w:val="0"/>
                <w:iCs w:val="0"/>
                <w:caps w:val="0"/>
                <w:color w:val="F5F5F5"/>
                <w:spacing w:val="0"/>
                <w:sz w:val="22"/>
                <w:szCs w:val="22"/>
              </w:rPr>
            </w:pPr>
            <w:r>
              <w:rPr>
                <w:rFonts w:hint="default" w:ascii="Segoe UI" w:hAnsi="Segoe UI" w:eastAsia="Segoe UI" w:cs="Segoe UI"/>
                <w:b/>
                <w:bCs/>
                <w:i w:val="0"/>
                <w:iCs w:val="0"/>
                <w:caps w:val="0"/>
                <w:color w:val="F5F5F5"/>
                <w:spacing w:val="0"/>
                <w:kern w:val="0"/>
                <w:sz w:val="22"/>
                <w:szCs w:val="22"/>
                <w:bdr w:val="none" w:color="auto" w:sz="0" w:space="0"/>
                <w:lang w:val="en-US" w:eastAsia="zh-CN" w:bidi="ar"/>
              </w:rPr>
              <w:t>Rationale &amp; Feasibility Assessment</w:t>
            </w:r>
          </w:p>
        </w:tc>
      </w:tr>
      <w:tr w14:paraId="3A85F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61BE4CCF">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Frontend</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35FE9C5F">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React.js (Web), React Native (Mobile)</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7874670A">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Highly feasible. Large talent pool, extensive ecosystem, excellent performance for SPAs. Allows for code reuse between web and mobile.</w:t>
            </w:r>
          </w:p>
        </w:tc>
      </w:tr>
      <w:tr w14:paraId="49CA5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1E180089">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Backend</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19016F8C">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Node.js with Express.js (TypeScript)</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43E56203">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Highly feasible. aligns with frontend skills, non-blocking I/O is ideal for handling numerous concurrent API and file upload requests.</w:t>
            </w:r>
          </w:p>
        </w:tc>
      </w:tr>
      <w:tr w14:paraId="3F2DF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54DD1596">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Primary Database</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35440C9D">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PostgreSQL</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01E6698A">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Highly feasible. Robust, ACID-compliant RDBMS perfect for structured user/data metadata. Strong JSONB support offers flexibility.</w:t>
            </w:r>
          </w:p>
        </w:tc>
      </w:tr>
      <w:tr w14:paraId="27A01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3C89E54E">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Vector Database</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1890315B">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Pinecone / Qdrant</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650744B6">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Critical Feasibility.</w:t>
            </w:r>
            <w:r>
              <w:rPr>
                <w:rFonts w:hint="default" w:ascii="Segoe UI" w:hAnsi="Segoe UI" w:eastAsia="Segoe UI" w:cs="Segoe UI"/>
                <w:i w:val="0"/>
                <w:iCs w:val="0"/>
                <w:caps w:val="0"/>
                <w:color w:val="F8FAFF"/>
                <w:spacing w:val="0"/>
                <w:kern w:val="0"/>
                <w:sz w:val="22"/>
                <w:szCs w:val="22"/>
                <w:bdr w:val="none" w:color="auto" w:sz="0" w:space="0"/>
                <w:lang w:val="en-US" w:eastAsia="zh-CN" w:bidi="ar"/>
              </w:rPr>
              <w:t> Essential for efficient semantic search. These managed services are available and abstract away immense complexity. A key dependency.</w:t>
            </w:r>
          </w:p>
        </w:tc>
      </w:tr>
      <w:tr w14:paraId="1AC1E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5803F888">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File Storage</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71FCFC0A">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AWS S3 (w/ Glacier for backups)</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7C828174">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Highly feasible. Industry standard, highly scalable, and cost-effective for storing millions of documents.</w:t>
            </w:r>
          </w:p>
        </w:tc>
      </w:tr>
      <w:tr w14:paraId="69C5A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41051B3D">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AI/ML Services</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73AABAC3">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OpenAI GPT-4 Turbo API</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59D980C6">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Feasible with a caveat. API is powerful and readily available. Feasibility is contingent on cost-control measures (caching, tuning) to maintain margins.</w:t>
            </w:r>
          </w:p>
        </w:tc>
      </w:tr>
      <w:tr w14:paraId="4BC50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3DAD754B">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Authentication</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775CEC64">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Auth0 / Supabase Auth</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06797CF3">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Highly feasible. Using a managed service accelerates development and enhances security, reducing operational burden.</w:t>
            </w:r>
          </w:p>
        </w:tc>
      </w:tr>
      <w:tr w14:paraId="0AA01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36E71FA4">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Deployment &amp; DevOps</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76617D15">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Docker, AWS ECS/EKS, GitHub Actions</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497CF152">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Highly feasible. Standard, modern practices that ensure scalable and repeatable deployments.</w:t>
            </w:r>
          </w:p>
        </w:tc>
      </w:tr>
    </w:tbl>
    <w:p w14:paraId="0546CDF1">
      <w:pPr>
        <w:keepNext w:val="0"/>
        <w:keepLines w:val="0"/>
        <w:widowControl/>
        <w:suppressLineNumbers w:val="0"/>
        <w:jc w:val="left"/>
      </w:pPr>
      <w:r>
        <w:rPr>
          <w:rFonts w:ascii="SimSun" w:hAnsi="SimSun" w:eastAsia="SimSun" w:cs="SimSun"/>
          <w:kern w:val="0"/>
          <w:sz w:val="24"/>
          <w:szCs w:val="24"/>
          <w:lang w:val="en-US" w:eastAsia="zh-CN" w:bidi="ar"/>
        </w:rPr>
        <w:t>2.2. Technical Challenges &amp; Mitigation Strategies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Layout w:type="autofit"/>
        <w:tblCellMar>
          <w:top w:w="15" w:type="dxa"/>
          <w:left w:w="15" w:type="dxa"/>
          <w:bottom w:w="15" w:type="dxa"/>
          <w:right w:w="15" w:type="dxa"/>
        </w:tblCellMar>
      </w:tblPr>
      <w:tblGrid>
        <w:gridCol w:w="1971"/>
        <w:gridCol w:w="1160"/>
        <w:gridCol w:w="5325"/>
      </w:tblGrid>
      <w:tr w14:paraId="0E087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rPr>
          <w:tblHeader/>
        </w:trPr>
        <w:tc>
          <w:tcPr>
            <w:tcW w:w="0" w:type="auto"/>
            <w:tcBorders>
              <w:top w:val="nil"/>
              <w:left w:val="nil"/>
              <w:bottom w:val="single" w:color="8B8B8B" w:sz="6" w:space="0"/>
              <w:right w:val="nil"/>
            </w:tcBorders>
            <w:shd w:val="clear" w:color="auto" w:fill="292A2D"/>
            <w:tcMar>
              <w:top w:w="150" w:type="dxa"/>
              <w:left w:w="0" w:type="dxa"/>
              <w:bottom w:w="150" w:type="dxa"/>
              <w:right w:w="150" w:type="dxa"/>
            </w:tcMar>
            <w:vAlign w:val="center"/>
          </w:tcPr>
          <w:p w14:paraId="17D9DCB7">
            <w:pPr>
              <w:keepNext w:val="0"/>
              <w:keepLines w:val="0"/>
              <w:widowControl/>
              <w:suppressLineNumbers w:val="0"/>
              <w:spacing w:line="26" w:lineRule="atLeast"/>
              <w:jc w:val="left"/>
              <w:rPr>
                <w:rFonts w:ascii="Segoe UI" w:hAnsi="Segoe UI" w:eastAsia="Segoe UI" w:cs="Segoe UI"/>
                <w:b/>
                <w:bCs/>
                <w:i w:val="0"/>
                <w:iCs w:val="0"/>
                <w:caps w:val="0"/>
                <w:color w:val="F5F5F5"/>
                <w:spacing w:val="0"/>
                <w:sz w:val="22"/>
                <w:szCs w:val="22"/>
              </w:rPr>
            </w:pPr>
            <w:r>
              <w:rPr>
                <w:rFonts w:hint="default" w:ascii="Segoe UI" w:hAnsi="Segoe UI" w:eastAsia="Segoe UI" w:cs="Segoe UI"/>
                <w:b/>
                <w:bCs/>
                <w:i w:val="0"/>
                <w:iCs w:val="0"/>
                <w:caps w:val="0"/>
                <w:color w:val="F5F5F5"/>
                <w:spacing w:val="0"/>
                <w:kern w:val="0"/>
                <w:sz w:val="22"/>
                <w:szCs w:val="22"/>
                <w:bdr w:val="none" w:color="auto" w:sz="0" w:space="0"/>
                <w:lang w:val="en-US" w:eastAsia="zh-CN" w:bidi="ar"/>
              </w:rPr>
              <w:t>Challenge</w:t>
            </w:r>
          </w:p>
        </w:tc>
        <w:tc>
          <w:tcPr>
            <w:tcW w:w="0" w:type="auto"/>
            <w:tcBorders>
              <w:top w:val="nil"/>
              <w:left w:val="nil"/>
              <w:bottom w:val="single" w:color="8B8B8B" w:sz="6" w:space="0"/>
              <w:right w:val="nil"/>
            </w:tcBorders>
            <w:shd w:val="clear" w:color="auto" w:fill="292A2D"/>
            <w:tcMar>
              <w:top w:w="150" w:type="dxa"/>
              <w:left w:w="150" w:type="dxa"/>
              <w:bottom w:w="150" w:type="dxa"/>
              <w:right w:w="150" w:type="dxa"/>
            </w:tcMar>
            <w:vAlign w:val="center"/>
          </w:tcPr>
          <w:p w14:paraId="6AAA2A74">
            <w:pPr>
              <w:keepNext w:val="0"/>
              <w:keepLines w:val="0"/>
              <w:widowControl/>
              <w:suppressLineNumbers w:val="0"/>
              <w:spacing w:line="26" w:lineRule="atLeast"/>
              <w:jc w:val="left"/>
              <w:rPr>
                <w:rFonts w:hint="default" w:ascii="Segoe UI" w:hAnsi="Segoe UI" w:eastAsia="Segoe UI" w:cs="Segoe UI"/>
                <w:b/>
                <w:bCs/>
                <w:i w:val="0"/>
                <w:iCs w:val="0"/>
                <w:caps w:val="0"/>
                <w:color w:val="F5F5F5"/>
                <w:spacing w:val="0"/>
                <w:sz w:val="22"/>
                <w:szCs w:val="22"/>
              </w:rPr>
            </w:pPr>
            <w:r>
              <w:rPr>
                <w:rFonts w:hint="default" w:ascii="Segoe UI" w:hAnsi="Segoe UI" w:eastAsia="Segoe UI" w:cs="Segoe UI"/>
                <w:b/>
                <w:bCs/>
                <w:i w:val="0"/>
                <w:iCs w:val="0"/>
                <w:caps w:val="0"/>
                <w:color w:val="F5F5F5"/>
                <w:spacing w:val="0"/>
                <w:kern w:val="0"/>
                <w:sz w:val="22"/>
                <w:szCs w:val="22"/>
                <w:bdr w:val="none" w:color="auto" w:sz="0" w:space="0"/>
                <w:lang w:val="en-US" w:eastAsia="zh-CN" w:bidi="ar"/>
              </w:rPr>
              <w:t>Risk Level</w:t>
            </w:r>
          </w:p>
        </w:tc>
        <w:tc>
          <w:tcPr>
            <w:tcW w:w="0" w:type="auto"/>
            <w:tcBorders>
              <w:top w:val="nil"/>
              <w:left w:val="nil"/>
              <w:bottom w:val="single" w:color="8B8B8B" w:sz="6" w:space="0"/>
              <w:right w:val="nil"/>
            </w:tcBorders>
            <w:shd w:val="clear" w:color="auto" w:fill="292A2D"/>
            <w:tcMar>
              <w:top w:w="150" w:type="dxa"/>
              <w:left w:w="150" w:type="dxa"/>
              <w:bottom w:w="150" w:type="dxa"/>
              <w:right w:w="150" w:type="dxa"/>
            </w:tcMar>
            <w:vAlign w:val="center"/>
          </w:tcPr>
          <w:p w14:paraId="78C5A321">
            <w:pPr>
              <w:keepNext w:val="0"/>
              <w:keepLines w:val="0"/>
              <w:widowControl/>
              <w:suppressLineNumbers w:val="0"/>
              <w:spacing w:line="26" w:lineRule="atLeast"/>
              <w:jc w:val="left"/>
              <w:rPr>
                <w:rFonts w:hint="default" w:ascii="Segoe UI" w:hAnsi="Segoe UI" w:eastAsia="Segoe UI" w:cs="Segoe UI"/>
                <w:b/>
                <w:bCs/>
                <w:i w:val="0"/>
                <w:iCs w:val="0"/>
                <w:caps w:val="0"/>
                <w:color w:val="F5F5F5"/>
                <w:spacing w:val="0"/>
                <w:sz w:val="22"/>
                <w:szCs w:val="22"/>
              </w:rPr>
            </w:pPr>
            <w:r>
              <w:rPr>
                <w:rFonts w:hint="default" w:ascii="Segoe UI" w:hAnsi="Segoe UI" w:eastAsia="Segoe UI" w:cs="Segoe UI"/>
                <w:b/>
                <w:bCs/>
                <w:i w:val="0"/>
                <w:iCs w:val="0"/>
                <w:caps w:val="0"/>
                <w:color w:val="F5F5F5"/>
                <w:spacing w:val="0"/>
                <w:kern w:val="0"/>
                <w:sz w:val="22"/>
                <w:szCs w:val="22"/>
                <w:bdr w:val="none" w:color="auto" w:sz="0" w:space="0"/>
                <w:lang w:val="en-US" w:eastAsia="zh-CN" w:bidi="ar"/>
              </w:rPr>
              <w:t>Mitigation Strategy</w:t>
            </w:r>
          </w:p>
        </w:tc>
      </w:tr>
      <w:tr w14:paraId="49309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63ED1064">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Semantic Search Performance</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204E28E9">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High</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61112A69">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Use a dedicated vector database (Pinecone) instead of building a custom solution. Implement lazy indexing to reduce compute load.</w:t>
            </w:r>
          </w:p>
        </w:tc>
      </w:tr>
      <w:tr w14:paraId="35DE8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6EA3188C">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AI API Latency &amp; Cost</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3FD0263F">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High</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7532DF71">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Implement a multi-layered caching system (Redis). For common documents, store summaries. Use cheaper models for simpler tasks.</w:t>
            </w:r>
          </w:p>
        </w:tc>
      </w:tr>
      <w:tr w14:paraId="5FEFE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7BED4893">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File Processing &amp; Text Extraction</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30B70B3E">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Medium</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134A703F">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Use battle-tested libraries like Apache Tika for PDF/DOCX text extraction. Implement a resilient queue system (RabbitMQ/SQS) to handle processing asynchronously.</w:t>
            </w:r>
          </w:p>
        </w:tc>
      </w:tr>
      <w:tr w14:paraId="0438A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1458F08B">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Cross-Platform Sync Conflicts</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5CE203D1">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Medium</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17EAC325">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Implement a robust conflict resolution strategy (e.g., operational transformation or simple "last write wins" with user notifications for MVP).</w:t>
            </w:r>
          </w:p>
        </w:tc>
      </w:tr>
    </w:tbl>
    <w:p w14:paraId="7F747D61"/>
    <w:p w14:paraId="45498AFE">
      <w:pPr>
        <w:keepNext w:val="0"/>
        <w:keepLines w:val="0"/>
        <w:widowControl/>
        <w:suppressLineNumbers w:val="0"/>
        <w:jc w:val="left"/>
      </w:pPr>
      <w:r>
        <w:rPr>
          <w:rFonts w:ascii="SimSun" w:hAnsi="SimSun" w:eastAsia="SimSun" w:cs="SimSun"/>
          <w:kern w:val="0"/>
          <w:sz w:val="24"/>
          <w:szCs w:val="24"/>
          <w:lang w:val="en-US" w:eastAsia="zh-CN" w:bidi="ar"/>
        </w:rPr>
        <w:t>Technical Feasibility Verdict: FEASIBLE. All proposed technologies are mature, well-documented, and have readily available talent. The architecture is scalable and addresses potential technical risks with appropriate mitigation strategies.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3. Economic Feasibility (Cost-Benefit Analysis)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3.1. Development &amp; Initial Setup Costs (Year 1)</w:t>
      </w:r>
    </w:p>
    <w:p w14:paraId="084A3F8F">
      <w:pPr>
        <w:keepNext w:val="0"/>
        <w:keepLines w:val="0"/>
        <w:widowControl/>
        <w:suppressLineNumbers w:val="0"/>
        <w:jc w:val="left"/>
      </w:pPr>
      <w:r>
        <w:rPr>
          <w:rFonts w:ascii="SimSun" w:hAnsi="SimSun" w:eastAsia="SimSun" w:cs="SimSun"/>
          <w:kern w:val="0"/>
          <w:sz w:val="24"/>
          <w:szCs w:val="24"/>
          <w:lang w:val="en-US" w:eastAsia="zh-CN" w:bidi="ar"/>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Layout w:type="autofit"/>
        <w:tblCellMar>
          <w:top w:w="15" w:type="dxa"/>
          <w:left w:w="15" w:type="dxa"/>
          <w:bottom w:w="15" w:type="dxa"/>
          <w:right w:w="15" w:type="dxa"/>
        </w:tblCellMar>
      </w:tblPr>
      <w:tblGrid>
        <w:gridCol w:w="2743"/>
        <w:gridCol w:w="4160"/>
        <w:gridCol w:w="1553"/>
      </w:tblGrid>
      <w:tr w14:paraId="09D1C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rPr>
          <w:tblHeader/>
        </w:trPr>
        <w:tc>
          <w:tcPr>
            <w:tcW w:w="0" w:type="auto"/>
            <w:tcBorders>
              <w:top w:val="nil"/>
              <w:left w:val="nil"/>
              <w:bottom w:val="single" w:color="8B8B8B" w:sz="6" w:space="0"/>
              <w:right w:val="nil"/>
            </w:tcBorders>
            <w:shd w:val="clear" w:color="auto" w:fill="292A2D"/>
            <w:tcMar>
              <w:top w:w="150" w:type="dxa"/>
              <w:left w:w="0" w:type="dxa"/>
              <w:bottom w:w="150" w:type="dxa"/>
              <w:right w:w="150" w:type="dxa"/>
            </w:tcMar>
            <w:vAlign w:val="center"/>
          </w:tcPr>
          <w:p w14:paraId="0D12EA4E">
            <w:pPr>
              <w:keepNext w:val="0"/>
              <w:keepLines w:val="0"/>
              <w:widowControl/>
              <w:suppressLineNumbers w:val="0"/>
              <w:spacing w:line="26" w:lineRule="atLeast"/>
              <w:jc w:val="left"/>
              <w:rPr>
                <w:rFonts w:ascii="Segoe UI" w:hAnsi="Segoe UI" w:eastAsia="Segoe UI" w:cs="Segoe UI"/>
                <w:b/>
                <w:bCs/>
                <w:i w:val="0"/>
                <w:iCs w:val="0"/>
                <w:caps w:val="0"/>
                <w:color w:val="F5F5F5"/>
                <w:spacing w:val="0"/>
                <w:sz w:val="22"/>
                <w:szCs w:val="22"/>
              </w:rPr>
            </w:pPr>
            <w:r>
              <w:rPr>
                <w:rFonts w:hint="default" w:ascii="Segoe UI" w:hAnsi="Segoe UI" w:eastAsia="Segoe UI" w:cs="Segoe UI"/>
                <w:b/>
                <w:bCs/>
                <w:i w:val="0"/>
                <w:iCs w:val="0"/>
                <w:caps w:val="0"/>
                <w:color w:val="F5F5F5"/>
                <w:spacing w:val="0"/>
                <w:kern w:val="0"/>
                <w:sz w:val="22"/>
                <w:szCs w:val="22"/>
                <w:bdr w:val="none" w:color="auto" w:sz="0" w:space="0"/>
                <w:lang w:val="en-US" w:eastAsia="zh-CN" w:bidi="ar"/>
              </w:rPr>
              <w:t>Cost Category</w:t>
            </w:r>
          </w:p>
        </w:tc>
        <w:tc>
          <w:tcPr>
            <w:tcW w:w="0" w:type="auto"/>
            <w:tcBorders>
              <w:top w:val="nil"/>
              <w:left w:val="nil"/>
              <w:bottom w:val="single" w:color="8B8B8B" w:sz="6" w:space="0"/>
              <w:right w:val="nil"/>
            </w:tcBorders>
            <w:shd w:val="clear" w:color="auto" w:fill="292A2D"/>
            <w:tcMar>
              <w:top w:w="150" w:type="dxa"/>
              <w:left w:w="150" w:type="dxa"/>
              <w:bottom w:w="150" w:type="dxa"/>
              <w:right w:w="150" w:type="dxa"/>
            </w:tcMar>
            <w:vAlign w:val="center"/>
          </w:tcPr>
          <w:p w14:paraId="264D1129">
            <w:pPr>
              <w:keepNext w:val="0"/>
              <w:keepLines w:val="0"/>
              <w:widowControl/>
              <w:suppressLineNumbers w:val="0"/>
              <w:spacing w:line="26" w:lineRule="atLeast"/>
              <w:jc w:val="left"/>
              <w:rPr>
                <w:rFonts w:hint="default" w:ascii="Segoe UI" w:hAnsi="Segoe UI" w:eastAsia="Segoe UI" w:cs="Segoe UI"/>
                <w:b/>
                <w:bCs/>
                <w:i w:val="0"/>
                <w:iCs w:val="0"/>
                <w:caps w:val="0"/>
                <w:color w:val="F5F5F5"/>
                <w:spacing w:val="0"/>
                <w:sz w:val="22"/>
                <w:szCs w:val="22"/>
              </w:rPr>
            </w:pPr>
            <w:r>
              <w:rPr>
                <w:rFonts w:hint="default" w:ascii="Segoe UI" w:hAnsi="Segoe UI" w:eastAsia="Segoe UI" w:cs="Segoe UI"/>
                <w:b/>
                <w:bCs/>
                <w:i w:val="0"/>
                <w:iCs w:val="0"/>
                <w:caps w:val="0"/>
                <w:color w:val="F5F5F5"/>
                <w:spacing w:val="0"/>
                <w:kern w:val="0"/>
                <w:sz w:val="22"/>
                <w:szCs w:val="22"/>
                <w:bdr w:val="none" w:color="auto" w:sz="0" w:space="0"/>
                <w:lang w:val="en-US" w:eastAsia="zh-CN" w:bidi="ar"/>
              </w:rPr>
              <w:t>Details</w:t>
            </w:r>
          </w:p>
        </w:tc>
        <w:tc>
          <w:tcPr>
            <w:tcW w:w="0" w:type="auto"/>
            <w:tcBorders>
              <w:top w:val="nil"/>
              <w:left w:val="nil"/>
              <w:bottom w:val="single" w:color="8B8B8B" w:sz="6" w:space="0"/>
              <w:right w:val="nil"/>
            </w:tcBorders>
            <w:shd w:val="clear" w:color="auto" w:fill="292A2D"/>
            <w:tcMar>
              <w:top w:w="150" w:type="dxa"/>
              <w:left w:w="150" w:type="dxa"/>
              <w:bottom w:w="150" w:type="dxa"/>
              <w:right w:w="150" w:type="dxa"/>
            </w:tcMar>
            <w:vAlign w:val="center"/>
          </w:tcPr>
          <w:p w14:paraId="5EB3ADD6">
            <w:pPr>
              <w:keepNext w:val="0"/>
              <w:keepLines w:val="0"/>
              <w:widowControl/>
              <w:suppressLineNumbers w:val="0"/>
              <w:spacing w:line="26" w:lineRule="atLeast"/>
              <w:jc w:val="left"/>
              <w:rPr>
                <w:rFonts w:hint="default" w:ascii="Segoe UI" w:hAnsi="Segoe UI" w:eastAsia="Segoe UI" w:cs="Segoe UI"/>
                <w:b/>
                <w:bCs/>
                <w:i w:val="0"/>
                <w:iCs w:val="0"/>
                <w:caps w:val="0"/>
                <w:color w:val="F5F5F5"/>
                <w:spacing w:val="0"/>
                <w:sz w:val="22"/>
                <w:szCs w:val="22"/>
              </w:rPr>
            </w:pPr>
            <w:r>
              <w:rPr>
                <w:rFonts w:hint="default" w:ascii="Segoe UI" w:hAnsi="Segoe UI" w:eastAsia="Segoe UI" w:cs="Segoe UI"/>
                <w:b/>
                <w:bCs/>
                <w:i w:val="0"/>
                <w:iCs w:val="0"/>
                <w:caps w:val="0"/>
                <w:color w:val="F5F5F5"/>
                <w:spacing w:val="0"/>
                <w:kern w:val="0"/>
                <w:sz w:val="22"/>
                <w:szCs w:val="22"/>
                <w:bdr w:val="none" w:color="auto" w:sz="0" w:space="0"/>
                <w:lang w:val="en-US" w:eastAsia="zh-CN" w:bidi="ar"/>
              </w:rPr>
              <w:t>Estimated Cost</w:t>
            </w:r>
          </w:p>
        </w:tc>
      </w:tr>
      <w:tr w14:paraId="4E279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47C7A634">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Personnel (6-month MVP Dev)</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28770529">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1 PM, 2 Full-Stack Devs, 1 ML Engineer, 1 UI/UX Designer, 0.5 QA Engineer</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11359DA7">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$240,000</w:t>
            </w:r>
          </w:p>
        </w:tc>
      </w:tr>
      <w:tr w14:paraId="468FA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6F1A46A5">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Software Licenses &amp; Subscriptions</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4EB7F4AE">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Figma (UI/UX), JetBrains IDE, Microsoft Office, Project Mgmt Tool</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181B1EA9">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$5,000</w:t>
            </w:r>
          </w:p>
        </w:tc>
      </w:tr>
      <w:tr w14:paraId="3E52B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5B443345">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Cloud Infrastructure &amp; APIs (Dev/Test)</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615DEFA4">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AWS, OpenAI API costs, Pinecone, Monitoring tools</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1DF0FD3D">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$15,000</w:t>
            </w:r>
          </w:p>
        </w:tc>
      </w:tr>
      <w:tr w14:paraId="4C1E8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1CD7E434">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Miscellaneous &amp; Contingency (15%)</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2CD670F8">
            <w:pPr>
              <w:rPr>
                <w:rFonts w:hint="default" w:ascii="Segoe UI" w:hAnsi="Segoe UI" w:eastAsia="Segoe UI" w:cs="Segoe UI"/>
                <w:i w:val="0"/>
                <w:iCs w:val="0"/>
                <w:caps w:val="0"/>
                <w:color w:val="F8FAFF"/>
                <w:spacing w:val="0"/>
                <w:sz w:val="22"/>
                <w:szCs w:val="22"/>
              </w:rPr>
            </w:pP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2C271838">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$39,000</w:t>
            </w:r>
          </w:p>
        </w:tc>
      </w:tr>
      <w:tr w14:paraId="42867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42829C81">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51A831A1">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Total Initial Investment</w:t>
            </w:r>
          </w:p>
        </w:tc>
        <w:tc>
          <w:tcPr>
            <w:tcW w:w="0" w:type="auto"/>
            <w:shd w:val="clear" w:color="auto" w:fill="292A2D"/>
            <w:vAlign w:val="center"/>
          </w:tcPr>
          <w:p w14:paraId="727B2FE8">
            <w:pPr>
              <w:rPr>
                <w:rFonts w:hint="default" w:ascii="Segoe UI" w:hAnsi="Segoe UI" w:eastAsia="Segoe UI" w:cs="Segoe UI"/>
                <w:i w:val="0"/>
                <w:iCs w:val="0"/>
                <w:caps w:val="0"/>
                <w:color w:val="F8FAFF"/>
                <w:spacing w:val="0"/>
                <w:sz w:val="24"/>
                <w:szCs w:val="24"/>
              </w:rPr>
            </w:pPr>
          </w:p>
        </w:tc>
      </w:tr>
    </w:tbl>
    <w:p w14:paraId="43ED1F1A">
      <w:pPr>
        <w:keepNext w:val="0"/>
        <w:keepLines w:val="0"/>
        <w:widowControl/>
        <w:suppressLineNumbers w:val="0"/>
        <w:jc w:val="left"/>
      </w:pPr>
      <w:r>
        <w:rPr>
          <w:rFonts w:ascii="SimSun" w:hAnsi="SimSun" w:eastAsia="SimSun" w:cs="SimSun"/>
          <w:kern w:val="0"/>
          <w:sz w:val="24"/>
          <w:szCs w:val="24"/>
          <w:lang w:val="en-US" w:eastAsia="zh-CN" w:bidi="ar"/>
        </w:rPr>
        <w:t>3.2. Operational Costs (Annual - Post Launch)</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Layout w:type="autofit"/>
        <w:tblCellMar>
          <w:top w:w="15" w:type="dxa"/>
          <w:left w:w="15" w:type="dxa"/>
          <w:bottom w:w="15" w:type="dxa"/>
          <w:right w:w="15" w:type="dxa"/>
        </w:tblCellMar>
      </w:tblPr>
      <w:tblGrid>
        <w:gridCol w:w="3758"/>
        <w:gridCol w:w="2634"/>
        <w:gridCol w:w="1246"/>
      </w:tblGrid>
      <w:tr w14:paraId="14ACD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PrEx>
        <w:trPr>
          <w:gridAfter w:val="1"/>
          <w:tblHeader/>
        </w:trPr>
        <w:tc>
          <w:tcPr>
            <w:tcW w:w="0" w:type="auto"/>
            <w:tcBorders>
              <w:top w:val="nil"/>
              <w:left w:val="nil"/>
              <w:bottom w:val="single" w:color="8B8B8B" w:sz="6" w:space="0"/>
              <w:right w:val="nil"/>
            </w:tcBorders>
            <w:shd w:val="clear" w:color="auto" w:fill="292A2D"/>
            <w:tcMar>
              <w:top w:w="150" w:type="dxa"/>
              <w:left w:w="0" w:type="dxa"/>
              <w:bottom w:w="150" w:type="dxa"/>
              <w:right w:w="150" w:type="dxa"/>
            </w:tcMar>
            <w:vAlign w:val="center"/>
          </w:tcPr>
          <w:p w14:paraId="56C82164">
            <w:pPr>
              <w:keepNext w:val="0"/>
              <w:keepLines w:val="0"/>
              <w:widowControl/>
              <w:suppressLineNumbers w:val="0"/>
              <w:spacing w:line="26" w:lineRule="atLeast"/>
              <w:jc w:val="left"/>
              <w:rPr>
                <w:rFonts w:ascii="Segoe UI" w:hAnsi="Segoe UI" w:eastAsia="Segoe UI" w:cs="Segoe UI"/>
                <w:b/>
                <w:bCs/>
                <w:i w:val="0"/>
                <w:iCs w:val="0"/>
                <w:caps w:val="0"/>
                <w:color w:val="F5F5F5"/>
                <w:spacing w:val="0"/>
                <w:sz w:val="22"/>
                <w:szCs w:val="22"/>
              </w:rPr>
            </w:pPr>
            <w:r>
              <w:rPr>
                <w:rFonts w:hint="default" w:ascii="Segoe UI" w:hAnsi="Segoe UI" w:eastAsia="Segoe UI" w:cs="Segoe UI"/>
                <w:b/>
                <w:bCs/>
                <w:i w:val="0"/>
                <w:iCs w:val="0"/>
                <w:caps w:val="0"/>
                <w:color w:val="F5F5F5"/>
                <w:spacing w:val="0"/>
                <w:kern w:val="0"/>
                <w:sz w:val="22"/>
                <w:szCs w:val="22"/>
                <w:bdr w:val="none" w:color="auto" w:sz="0" w:space="0"/>
                <w:lang w:val="en-US" w:eastAsia="zh-CN" w:bidi="ar"/>
              </w:rPr>
              <w:t>Cost Category</w:t>
            </w:r>
          </w:p>
        </w:tc>
        <w:tc>
          <w:tcPr>
            <w:tcW w:w="0" w:type="auto"/>
            <w:tcBorders>
              <w:top w:val="nil"/>
              <w:left w:val="nil"/>
              <w:bottom w:val="single" w:color="8B8B8B" w:sz="6" w:space="0"/>
              <w:right w:val="nil"/>
            </w:tcBorders>
            <w:shd w:val="clear" w:color="auto" w:fill="292A2D"/>
            <w:tcMar>
              <w:top w:w="150" w:type="dxa"/>
              <w:left w:w="150" w:type="dxa"/>
              <w:bottom w:w="150" w:type="dxa"/>
              <w:right w:w="150" w:type="dxa"/>
            </w:tcMar>
            <w:vAlign w:val="center"/>
          </w:tcPr>
          <w:p w14:paraId="4D4F7F2F">
            <w:pPr>
              <w:keepNext w:val="0"/>
              <w:keepLines w:val="0"/>
              <w:widowControl/>
              <w:suppressLineNumbers w:val="0"/>
              <w:spacing w:line="26" w:lineRule="atLeast"/>
              <w:jc w:val="left"/>
              <w:rPr>
                <w:rFonts w:hint="default" w:ascii="Segoe UI" w:hAnsi="Segoe UI" w:eastAsia="Segoe UI" w:cs="Segoe UI"/>
                <w:b/>
                <w:bCs/>
                <w:i w:val="0"/>
                <w:iCs w:val="0"/>
                <w:caps w:val="0"/>
                <w:color w:val="F5F5F5"/>
                <w:spacing w:val="0"/>
                <w:sz w:val="22"/>
                <w:szCs w:val="22"/>
              </w:rPr>
            </w:pPr>
            <w:r>
              <w:rPr>
                <w:rFonts w:hint="default" w:ascii="Segoe UI" w:hAnsi="Segoe UI" w:eastAsia="Segoe UI" w:cs="Segoe UI"/>
                <w:b/>
                <w:bCs/>
                <w:i w:val="0"/>
                <w:iCs w:val="0"/>
                <w:caps w:val="0"/>
                <w:color w:val="F5F5F5"/>
                <w:spacing w:val="0"/>
                <w:kern w:val="0"/>
                <w:sz w:val="22"/>
                <w:szCs w:val="22"/>
                <w:bdr w:val="none" w:color="auto" w:sz="0" w:space="0"/>
                <w:lang w:val="en-US" w:eastAsia="zh-CN" w:bidi="ar"/>
              </w:rPr>
              <w:t>Estimated Annual Cost</w:t>
            </w:r>
          </w:p>
        </w:tc>
      </w:tr>
      <w:tr w14:paraId="27F79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rPr>
          <w:gridAfter w:val="1"/>
        </w:trPr>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0984E5DB">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Personnel (Ongoing team)</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53E65A52">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$300,000</w:t>
            </w:r>
          </w:p>
        </w:tc>
      </w:tr>
      <w:tr w14:paraId="58B57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rPr>
          <w:gridAfter w:val="1"/>
        </w:trPr>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54B59FE4">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Cloud Infrastructure (Production)</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6B3D3353">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$45,000</w:t>
            </w:r>
          </w:p>
        </w:tc>
      </w:tr>
      <w:tr w14:paraId="646B3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rPr>
          <w:gridAfter w:val="1"/>
        </w:trPr>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01008D07">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AI API Costs (Scaling with users)</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3A3F7814">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$120,000</w:t>
            </w:r>
          </w:p>
        </w:tc>
      </w:tr>
      <w:tr w14:paraId="076D8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trPr>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08CD0C58">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Marketing &amp; Customer Acquisition</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4628BB06">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$50,000</w:t>
            </w:r>
          </w:p>
        </w:tc>
      </w:tr>
      <w:tr w14:paraId="5F71F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rPr>
          <w:gridAfter w:val="1"/>
        </w:trPr>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28066DCF">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Customer Support &amp; Operations</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0F239128">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$25,000</w:t>
            </w:r>
          </w:p>
        </w:tc>
      </w:tr>
      <w:tr w14:paraId="14D25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75AAB6DA">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Fonts w:hint="default" w:ascii="Segoe UI" w:hAnsi="Segoe UI" w:eastAsia="Segoe UI" w:cs="Segoe UI"/>
                <w:i w:val="0"/>
                <w:iCs w:val="0"/>
                <w:caps w:val="0"/>
                <w:color w:val="F8FAFF"/>
                <w:spacing w:val="0"/>
                <w:kern w:val="0"/>
                <w:sz w:val="22"/>
                <w:szCs w:val="22"/>
                <w:bdr w:val="none" w:color="auto" w:sz="0" w:space="0"/>
                <w:lang w:val="en-US" w:eastAsia="zh-CN" w:bidi="ar"/>
              </w:rPr>
              <w:t>**</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228DB0A0">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Total Annual OpEx</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34C0775D">
            <w:pPr>
              <w:keepNext w:val="0"/>
              <w:keepLines w:val="0"/>
              <w:widowControl/>
              <w:suppressLineNumbers w:val="0"/>
              <w:spacing w:line="26" w:lineRule="atLeast"/>
              <w:jc w:val="left"/>
              <w:rPr>
                <w:rFonts w:hint="default" w:ascii="Segoe UI" w:hAnsi="Segoe UI" w:eastAsia="Segoe UI" w:cs="Segoe UI"/>
                <w:i w:val="0"/>
                <w:iCs w:val="0"/>
                <w:caps w:val="0"/>
                <w:color w:val="F8FAFF"/>
                <w:spacing w:val="0"/>
                <w:sz w:val="22"/>
                <w:szCs w:val="22"/>
              </w:rPr>
            </w:pPr>
            <w:r>
              <w:rPr>
                <w:rStyle w:val="4"/>
                <w:rFonts w:hint="default" w:ascii="Segoe UI" w:hAnsi="Segoe UI" w:eastAsia="Segoe UI" w:cs="Segoe UI"/>
                <w:b/>
                <w:bCs/>
                <w:i w:val="0"/>
                <w:iCs w:val="0"/>
                <w:caps w:val="0"/>
                <w:color w:val="F8FAFF"/>
                <w:spacing w:val="0"/>
                <w:kern w:val="0"/>
                <w:sz w:val="22"/>
                <w:szCs w:val="22"/>
                <w:bdr w:val="none" w:color="auto" w:sz="0" w:space="0"/>
                <w:lang w:val="en-US" w:eastAsia="zh-CN" w:bidi="ar"/>
              </w:rPr>
              <w:t>$540,000</w:t>
            </w:r>
          </w:p>
        </w:tc>
      </w:tr>
    </w:tbl>
    <w:p w14:paraId="716AA30B">
      <w:pPr>
        <w:keepNext w:val="0"/>
        <w:keepLines w:val="0"/>
        <w:widowControl/>
        <w:suppressLineNumbers w:val="0"/>
        <w:jc w:val="left"/>
      </w:pPr>
      <w:r>
        <w:rPr>
          <w:rFonts w:ascii="SimSun" w:hAnsi="SimSun" w:eastAsia="SimSun" w:cs="SimSun"/>
          <w:kern w:val="0"/>
          <w:sz w:val="24"/>
          <w:szCs w:val="24"/>
          <w:lang w:val="en-US" w:eastAsia="zh-CN" w:bidi="ar"/>
        </w:rPr>
        <w:t>3.3. Projected Revenue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Pricing Tiers: Free (limit 50 docs, 10 summaries/mo), Pro ($12/mo), Teams ($30/user/mo)</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User Growth Assumptions: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Month 6 (Launch): 5,000 Free Users, 500 Pro Users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Year 1 End: 50,000 Free Users, 5,000 Pro Users, 50 Teams (avg. 5 users each)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Projected Annual Revenue (Year 2):</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 Subscriptions: 5,000 * $12 * 12 = $720,000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Teams Subscriptions: 250 * $30 * 12 = $90,000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Total: $810,000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3.4. Financial Analysis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Break-Even Point: Projected to occur in Month 18 post-launch, as recurring revenue surpasses operational expenses.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Return on Investment (ROI) for Year 2:</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Net Profit (Y2) = $810,000 - $540,000 = $270,000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ROI = ($270,000 / $299,000) * 100 = ~90%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Economic Feasibility Verdict: FEASIBLE. The project requires a significant but reasonable initial investment. The SaaS business model provides predictable recurring revenue, and projections show a strong return on investment and a clear path to profitability within the second year of operation.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4. Legal Feasibility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4.1. Key Considerations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Data Privacy &amp; Compliance: Must comply with GDPR, CCPA, and other global data protection regulations. This requires clear data processing agreements with sub-processors (e.g., OpenAI, AWS), a transparent privacy policy, and user data controls.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Intellectual Property: The codebase is proprietary IP. All third-party libraries and services must be used under compliant licenses (MIT, Apache). The AI-generated summaries pose a novel IP question; terms of service must clearly state that users own their input and output data.</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Terms of Service: A robust ToS is needed to limit liability, define acceptable use, and establish service level agreements (SLAs).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4.2. Mitigation Strategies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Engage a legal firm specializing in tech and SaaS to draft Privacy Policy and Terms of Service.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Conduct a Data Protection Impact Assessment (DPIA) before public launch.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Clearly document all third-party service dependencies and their compliance certifications (e.g., AWS SOC 2, HIPAA).</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Legal Feasibility Verdict: FEASIBLE WITH CONDITIONS. The legal landscape is manageable but requires upfront investment in legal counsel and proactive compliance measures. This is a non-negotiable cost of doing business.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5. Operational Feasibility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5.1. Organizational Capacity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 current plan requires assembling a skilled team. The job market for these roles (React, Node, ML) is competitive but sufficient talent is available. The defined MVP scope is clear and achievable by a small, agile team.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5.2. Maintenance and Support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Post-launch, the team must transition from development to a DevOps and support model. This includes: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Implementing 24/7 application monitoring (e.g., Datadog, Sentry).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Establishing channels for customer support (e.g., helpdesk software, community forum).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Creating a process for handling bug reports, feature requests, and regular deployment of updates.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Operational Feasibility Verdict: FEASIBLE. The operational plan is standard for a SaaS startup. The main challenge will be hiring the right talent quickly, but this is a manageable risk.</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 Scheduling Feasibility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6.1. High-Level MVP Timeline (Gantt Chart Overview)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Months 1-2: Sprint 0: Architecture, Design System, Core Setup (Auth, DB, Cloud)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Months 2-4: Core Feature Development (Notes, Docs, Upload, Basic UI)</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Months 4-5: AI Integration Sprint (Summarization, Semantic Search Indexing)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Month 6: Testing, Deployment, &amp; Beta Launch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Scheduling Feasibility Verdict: FEASIBLE. The 6-month timeline for an MVP is aggressive but achievable given a fo</w:t>
      </w:r>
      <w:bookmarkStart w:id="0" w:name="_GoBack"/>
      <w:bookmarkEnd w:id="0"/>
      <w:r>
        <w:rPr>
          <w:rFonts w:ascii="SimSun" w:hAnsi="SimSun" w:eastAsia="SimSun" w:cs="SimSun"/>
          <w:kern w:val="0"/>
          <w:sz w:val="24"/>
          <w:szCs w:val="24"/>
          <w:lang w:val="en-US" w:eastAsia="zh-CN" w:bidi="ar"/>
        </w:rPr>
        <w:t>cused feature set and a small, senior team working in agile sprints. Buffer time has been included for unforeseen complexities, primarily in AI integration.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7. Conclusion and Recommendations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7.1. Overall Feasibility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 Vexa project is evaluated to be feasible across all examined dimensions. The market need is clear, the technology is available, the financial model is sound, and the risks are identifiable and manageable.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7.2. Recommendations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GO Decision: Approve the budget of $299,000 for the MVP development phase.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Immediate Action: Begin recruitment for the core development team and engage a legal firm to start on compliance documentation.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Risk Management: Prioritize the implementation of cost-control measures for AI API usage from the very beginning of development.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Next Steps: Upon approval of this feasibility study, the next step is to formalize the project charter and commence detailed project planning.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p w14:paraId="2DF880A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8727A8"/>
    <w:rsid w:val="49046A59"/>
    <w:rsid w:val="60872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9</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2025-08-20T15:00:00Z</dcterms:created>
  <dc:creator>KIIT</dc:creator>
  <cp:lastModifiedBy>KIIT</cp:lastModifiedBy>
  <dcterms:modified xsi:type="dcterms:W3CDTF">2025-08-20T15:10:11Z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1F985D89F1E04D7EBC055E1D24B4B517_11</vt:lpwstr>
  </property>
</Properties>
</file>