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ListParagraph"/>
      </w:pPr>
      <w:r w:rsidRPr="00536931">
        <w:rPr>
          <w:rStyle w:val="IntenseEmphasis"/>
        </w:rPr>
        <w:t xml:space="preserve">Responsables de </w:t>
      </w:r>
      <w:proofErr w:type="spellStart"/>
      <w:r w:rsidRPr="00536931">
        <w:rPr>
          <w:rStyle w:val="IntenseEmphasis"/>
        </w:rPr>
        <w:t>NoGame</w:t>
      </w:r>
      <w:proofErr w:type="spellEnd"/>
      <w:r w:rsidRPr="00536931">
        <w:rPr>
          <w:rStyle w:val="IntenseEmphasis"/>
        </w:rPr>
        <w:t>:</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Elemento final, 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LightShading-Accent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ListParagraph"/>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ListParagraph"/>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ListParagraph"/>
        <w:ind w:left="0"/>
      </w:pPr>
    </w:p>
    <w:p w:rsidR="00DE1879" w:rsidRDefault="00DE1879">
      <w:pPr>
        <w:pStyle w:val="ListParagraph"/>
      </w:pPr>
    </w:p>
    <w:p w:rsidR="00DE1879" w:rsidRDefault="00DF25C6">
      <w:pPr>
        <w:pStyle w:val="Encabezado1"/>
        <w:numPr>
          <w:ilvl w:val="0"/>
          <w:numId w:val="1"/>
        </w:numPr>
      </w:pPr>
      <w:r>
        <w:t>Requisitos funcionales</w:t>
      </w:r>
    </w:p>
    <w:p w:rsidR="00DE1879" w:rsidRDefault="00DF25C6" w:rsidP="00B20683">
      <w:pPr>
        <w:pStyle w:val="ListParagraph"/>
        <w:numPr>
          <w:ilvl w:val="1"/>
          <w:numId w:val="1"/>
        </w:numPr>
      </w:pPr>
      <w:r>
        <w:t>Se le debe poder comunicar a la aplicación por consola de donde tiene que leer la información.</w:t>
      </w:r>
    </w:p>
    <w:p w:rsidR="00DE1879" w:rsidRDefault="00DF25C6">
      <w:pPr>
        <w:pStyle w:val="ListParagraph"/>
        <w:numPr>
          <w:ilvl w:val="1"/>
          <w:numId w:val="1"/>
        </w:numPr>
      </w:pPr>
      <w:r>
        <w:t>Se le debe poder comunicar a la aplicación por consola donde ha de devolver el resultado.</w:t>
      </w:r>
    </w:p>
    <w:p w:rsidR="00DE1879" w:rsidRDefault="00DF25C6">
      <w:pPr>
        <w:pStyle w:val="ListParagraph"/>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ListParagraph"/>
        <w:numPr>
          <w:ilvl w:val="1"/>
          <w:numId w:val="1"/>
        </w:numPr>
      </w:pPr>
      <w:r>
        <w:t>La aplicación debe permitir observar los resultados intermedios de la conversión para detectar errores.</w:t>
      </w:r>
    </w:p>
    <w:p w:rsidR="00DE1879" w:rsidRDefault="00DF25C6">
      <w:pPr>
        <w:pStyle w:val="ListParagraph"/>
        <w:numPr>
          <w:ilvl w:val="1"/>
          <w:numId w:val="1"/>
        </w:numPr>
      </w:pPr>
      <w:r>
        <w:t>La aplicación debe poder leer los ficheros en el formato intermedio (JSON) y almacenarlos en una base de datos.</w:t>
      </w:r>
    </w:p>
    <w:p w:rsidR="00DE1879" w:rsidRDefault="00DF25C6">
      <w:pPr>
        <w:pStyle w:val="ListParagraph"/>
        <w:numPr>
          <w:ilvl w:val="1"/>
          <w:numId w:val="1"/>
        </w:numPr>
      </w:pPr>
      <w:r>
        <w:t>Estas dos operaciones podrán ser realizadas individualmente por un operario</w:t>
      </w:r>
    </w:p>
    <w:p w:rsidR="00DE1879" w:rsidRDefault="00DF25C6">
      <w:pPr>
        <w:pStyle w:val="ListParagraph"/>
        <w:numPr>
          <w:ilvl w:val="1"/>
          <w:numId w:val="1"/>
        </w:numPr>
      </w:pPr>
      <w:r>
        <w:t>Estas dos operaciones se deben poder automatizar, programando su ejecución cada cierto tiempo.</w:t>
      </w:r>
    </w:p>
    <w:p w:rsidR="00DE1879" w:rsidRDefault="00DE1879">
      <w:pPr>
        <w:pStyle w:val="ListParagraph"/>
        <w:ind w:left="0"/>
      </w:pPr>
    </w:p>
    <w:p w:rsidR="00DE1879" w:rsidRDefault="00DF25C6">
      <w:pPr>
        <w:pStyle w:val="Encabezado1"/>
        <w:numPr>
          <w:ilvl w:val="0"/>
          <w:numId w:val="1"/>
        </w:numPr>
      </w:pPr>
      <w:r>
        <w:t>Requisitos no funcionales</w:t>
      </w:r>
    </w:p>
    <w:p w:rsidR="00B20683" w:rsidRDefault="00B20683" w:rsidP="00B20683">
      <w:pPr>
        <w:pStyle w:val="ListParagraph"/>
        <w:numPr>
          <w:ilvl w:val="1"/>
          <w:numId w:val="1"/>
        </w:numPr>
      </w:pPr>
      <w:r>
        <w:t>Debe poder correr en paralelo varias instancias de la aplicación a la vez.</w:t>
      </w:r>
    </w:p>
    <w:p w:rsidR="00B20683" w:rsidRDefault="00B20683" w:rsidP="00B20683">
      <w:pPr>
        <w:pStyle w:val="ListParagraph"/>
        <w:numPr>
          <w:ilvl w:val="1"/>
          <w:numId w:val="1"/>
        </w:numPr>
      </w:pPr>
      <w:r>
        <w:t>Se le debe poder comunicar a la aplicación por consola que formato va a leer.</w:t>
      </w:r>
    </w:p>
    <w:p w:rsidR="00DE1879" w:rsidRDefault="00DE1879" w:rsidP="00B20683">
      <w:pPr>
        <w:pStyle w:val="ListParagraph"/>
        <w:ind w:left="1440"/>
      </w:pPr>
      <w:bookmarkStart w:id="0" w:name="_GoBack"/>
      <w:bookmarkEnd w:id="0"/>
    </w:p>
    <w:p w:rsidR="00DE1879" w:rsidRDefault="00DF25C6">
      <w:pPr>
        <w:pStyle w:val="Encabezado1"/>
        <w:numPr>
          <w:ilvl w:val="0"/>
          <w:numId w:val="1"/>
        </w:numPr>
      </w:pPr>
      <w:r>
        <w:t>Atributos de calidad</w:t>
      </w:r>
    </w:p>
    <w:p w:rsidR="006A1480" w:rsidRPr="006A1480" w:rsidRDefault="006A1480" w:rsidP="006A1480"/>
    <w:tbl>
      <w:tblPr>
        <w:tblStyle w:val="LightShading-Accent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DE1879" w:rsidRDefault="00DE1879"/>
    <w:p w:rsidR="00DE1879" w:rsidRDefault="00DF25C6">
      <w:pPr>
        <w:pStyle w:val="Encabezado1"/>
        <w:numPr>
          <w:ilvl w:val="0"/>
          <w:numId w:val="1"/>
        </w:numPr>
      </w:pPr>
      <w:r>
        <w:t>Escenarios de calidad</w:t>
      </w:r>
    </w:p>
    <w:p w:rsidR="00B179FE" w:rsidRPr="00B179FE" w:rsidRDefault="00B179FE" w:rsidP="00B179FE"/>
    <w:tbl>
      <w:tblPr>
        <w:tblStyle w:val="LightShading-Accent1"/>
        <w:tblW w:w="0" w:type="auto"/>
        <w:tblLook w:val="04A0" w:firstRow="1" w:lastRow="0" w:firstColumn="1" w:lastColumn="0" w:noHBand="0" w:noVBand="1"/>
      </w:tblPr>
      <w:tblGrid>
        <w:gridCol w:w="1092"/>
        <w:gridCol w:w="1084"/>
        <w:gridCol w:w="1078"/>
        <w:gridCol w:w="1089"/>
        <w:gridCol w:w="1158"/>
        <w:gridCol w:w="1113"/>
        <w:gridCol w:w="1017"/>
        <w:gridCol w:w="1089"/>
      </w:tblGrid>
      <w:tr w:rsidR="00B179FE"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Escenario nº</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1</w:t>
            </w: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2334DF"/>
    <w:rsid w:val="00536931"/>
    <w:rsid w:val="006A1480"/>
    <w:rsid w:val="006E7BEB"/>
    <w:rsid w:val="00B12885"/>
    <w:rsid w:val="00B179FE"/>
    <w:rsid w:val="00B20683"/>
    <w:rsid w:val="00DE1879"/>
    <w:rsid w:val="00DF25C6"/>
    <w:rsid w:val="00F5075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1959-F970-4953-AB64-D5936AD1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12</cp:revision>
  <dcterms:created xsi:type="dcterms:W3CDTF">2015-02-18T14:21:00Z</dcterms:created>
  <dcterms:modified xsi:type="dcterms:W3CDTF">2015-02-19T09:45:00Z</dcterms:modified>
  <dc:language>es-ES</dc:language>
</cp:coreProperties>
</file>