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IntenseQuote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Heading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ListParagraph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ListParagraph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ListParagraph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Heading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Heading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707EF6" w:rsidP="00BA55C1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BA55C1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BA55C1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desarrollar.(¿desplegar, instalar, migrar datos ?)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BA55C1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BA55C1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BA55C1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707EF6" w:rsidRDefault="00707EF6" w:rsidP="00BA55C1">
      <w:pPr>
        <w:pStyle w:val="ListParagraph"/>
        <w:numPr>
          <w:ilvl w:val="0"/>
          <w:numId w:val="9"/>
        </w:numPr>
        <w:rPr>
          <w:rFonts w:eastAsiaTheme="minorEastAsia"/>
        </w:rPr>
      </w:pPr>
      <w:bookmarkStart w:id="0" w:name="_GoBack"/>
      <w:bookmarkEnd w:id="0"/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Encontrarse con unos requisitos fáciles de solucionar, es </w:t>
      </w:r>
      <w:proofErr w:type="gramStart"/>
      <w:r w:rsidRPr="1CFA0BB2">
        <w:rPr>
          <w:rFonts w:ascii="Calibri" w:eastAsia="Calibri" w:hAnsi="Calibri" w:cs="Calibri"/>
        </w:rPr>
        <w:t>decir ,</w:t>
      </w:r>
      <w:proofErr w:type="gramEnd"/>
      <w:r w:rsidRPr="1CFA0BB2">
        <w:rPr>
          <w:rFonts w:ascii="Calibri" w:eastAsia="Calibri" w:hAnsi="Calibri" w:cs="Calibri"/>
        </w:rPr>
        <w:t xml:space="preserve"> que no sean peticiones imposibles de llevar a cabo.</w:t>
      </w:r>
    </w:p>
    <w:p w:rsidR="00707EF6" w:rsidRDefault="00707EF6" w:rsidP="00BA55C1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Heading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lastRenderedPageBreak/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Heading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Heading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Heading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ListParagraph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ListParagraph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ListParagraph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ListParagraph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ListParagraph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ListParagraph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ListParagraph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ListParagraph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ListParagraph"/>
              <w:ind w:left="0"/>
            </w:pP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ListParagraph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ListParagraph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ListParagraph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ListParagraph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ListParagraph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ListParagraph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ListParagraph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ListParagraph"/>
              <w:ind w:left="0"/>
            </w:pPr>
            <w:r>
              <w:t xml:space="preserve">Facilidad de cambio de la fuente de entrada de los </w:t>
            </w:r>
            <w:r>
              <w:lastRenderedPageBreak/>
              <w:t>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ListParagraph"/>
              <w:ind w:left="0"/>
            </w:pPr>
            <w:proofErr w:type="spellStart"/>
            <w:r>
              <w:lastRenderedPageBreak/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lastRenderedPageBreak/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ListParagraph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ListParagraph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ListParagraph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ListParagraph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ListParagraph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BA55C1"/>
    <w:p w:rsidR="00540369" w:rsidRDefault="00540369" w:rsidP="0054036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ListParagraph"/>
              <w:ind w:left="0"/>
            </w:pPr>
            <w:r>
              <w:t>Atributos</w:t>
            </w:r>
          </w:p>
          <w:p w:rsidR="00084B5B" w:rsidRDefault="00084B5B" w:rsidP="00C966CD">
            <w:pPr>
              <w:pStyle w:val="ListParagraph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ListParagraph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ListParagraph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ListParagraph"/>
              <w:ind w:left="0"/>
            </w:pP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eGrid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ListParagraph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ListParagraph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ListParagraph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Heading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Heading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Heading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Heading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Heading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Heading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A4" w:rsidRDefault="000305A4" w:rsidP="0036078D">
      <w:pPr>
        <w:spacing w:after="0" w:line="240" w:lineRule="auto"/>
      </w:pPr>
      <w:r>
        <w:separator/>
      </w:r>
    </w:p>
  </w:endnote>
  <w:end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Footer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A4" w:rsidRDefault="000305A4" w:rsidP="0036078D">
      <w:pPr>
        <w:spacing w:after="0" w:line="240" w:lineRule="auto"/>
      </w:pPr>
      <w:r>
        <w:separator/>
      </w:r>
    </w:p>
  </w:footnote>
  <w:foot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305A4"/>
    <w:rsid w:val="000452DE"/>
    <w:rsid w:val="00045DD3"/>
    <w:rsid w:val="0006123F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F3743"/>
    <w:rsid w:val="00524722"/>
    <w:rsid w:val="00540369"/>
    <w:rsid w:val="0059067F"/>
    <w:rsid w:val="00650B3C"/>
    <w:rsid w:val="006E213E"/>
    <w:rsid w:val="00707EF6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BA55C1"/>
    <w:rsid w:val="00C46058"/>
    <w:rsid w:val="00C5146E"/>
    <w:rsid w:val="00C80D4C"/>
    <w:rsid w:val="00D64E30"/>
    <w:rsid w:val="00D73D9E"/>
    <w:rsid w:val="00D8068F"/>
    <w:rsid w:val="00DB4841"/>
    <w:rsid w:val="00E436E0"/>
    <w:rsid w:val="00EA6887"/>
    <w:rsid w:val="00F20F2E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8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eGrid">
    <w:name w:val="Table Grid"/>
    <w:basedOn w:val="Table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8D"/>
  </w:style>
  <w:style w:type="paragraph" w:styleId="Footer">
    <w:name w:val="footer"/>
    <w:basedOn w:val="Normal"/>
    <w:link w:val="FooterCh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6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8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eGrid">
    <w:name w:val="Table Grid"/>
    <w:basedOn w:val="Table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8D"/>
  </w:style>
  <w:style w:type="paragraph" w:styleId="Footer">
    <w:name w:val="footer"/>
    <w:basedOn w:val="Normal"/>
    <w:link w:val="FooterCh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6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becario</cp:lastModifiedBy>
  <cp:revision>36</cp:revision>
  <dcterms:created xsi:type="dcterms:W3CDTF">2015-02-21T09:12:00Z</dcterms:created>
  <dcterms:modified xsi:type="dcterms:W3CDTF">2015-02-26T08:43:00Z</dcterms:modified>
</cp:coreProperties>
</file>