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autobom-purchasing"/>
    <w:p>
      <w:pPr>
        <w:pStyle w:val="Heading1"/>
      </w:pPr>
      <w:r>
        <w:t xml:space="preserve">AutoBOM Purchasing</w:t>
      </w:r>
    </w:p>
    <w:p>
      <w:pPr>
        <w:pStyle w:val="FirstParagraph"/>
      </w:pPr>
      <w:r>
        <w:rPr>
          <w:iCs/>
          <w:i/>
        </w:rPr>
        <w:t xml:space="preserve">Module Package · v4.2</w:t>
      </w:r>
    </w:p>
    <w:p>
      <w:pPr>
        <w:pStyle w:val="BodyText"/>
      </w:pPr>
      <w:r>
        <w:rPr>
          <w:bCs/>
          <w:b/>
        </w:rPr>
        <w:t xml:space="preserve">Module:</w:t>
      </w:r>
      <w:r>
        <w:t xml:space="preserve"> </w:t>
      </w:r>
      <w:r>
        <w:t xml:space="preserve">Purchasing (embedded surface)</w:t>
      </w:r>
      <w:r>
        <w:t xml:space="preserve"> </w:t>
      </w:r>
      <w:r>
        <w:rPr>
          <w:bCs/>
          <w:b/>
        </w:rPr>
        <w:t xml:space="preserve">Version:</w:t>
      </w:r>
      <w:r>
        <w:t xml:space="preserve"> </w:t>
      </w:r>
      <w:r>
        <w:t xml:space="preserve">4.2 (refresh of v4.1)</w:t>
      </w:r>
      <w:r>
        <w:t xml:space="preserve"> </w:t>
      </w:r>
      <w:r>
        <w:rPr>
          <w:bCs/>
          <w:b/>
        </w:rPr>
        <w:t xml:space="preserve">Scope:</w:t>
      </w:r>
      <w:r>
        <w:t xml:space="preserve"> </w:t>
      </w:r>
      <w:r>
        <w:t xml:space="preserve">Bucket model, cart-building at flush, Daily Purchasing List sheet contract, per-CPN fulfillment, Microsoft Graph sheet integration</w:t>
      </w:r>
      <w:r>
        <w:t xml:space="preserve"> </w:t>
      </w:r>
      <w:r>
        <w:rPr>
          <w:bCs/>
          <w:b/>
        </w:rPr>
        <w:t xml:space="preserve">Supersedes:</w:t>
      </w:r>
      <w:r>
        <w:t xml:space="preserve"> </w:t>
      </w:r>
      <w:r>
        <w:t xml:space="preserve">Purchasing v4.1</w:t>
      </w:r>
      <w:r>
        <w:t xml:space="preserve"> </w:t>
      </w:r>
      <w:r>
        <w:rPr>
          <w:bCs/>
          <w:b/>
        </w:rPr>
        <w:t xml:space="preserve">Parent doc:</w:t>
      </w:r>
      <w:r>
        <w:t xml:space="preserve"> </w:t>
      </w:r>
      <w:r>
        <w:t xml:space="preserve">PRD v1.5 Section 11</w:t>
      </w:r>
      <w:r>
        <w:t xml:space="preserve"> </w:t>
      </w:r>
      <w:r>
        <w:rPr>
          <w:iCs/>
          <w:i/>
        </w:rPr>
        <w:t xml:space="preserve">Created by Aaron Jones</w:t>
      </w:r>
    </w:p>
    <w:bookmarkStart w:id="20" w:name="change-log-v4.1-to-v4.2"/>
    <w:p>
      <w:pPr>
        <w:pStyle w:val="Heading2"/>
      </w:pPr>
      <w:r>
        <w:t xml:space="preserve">Change Log — v4.1 to v4.2</w:t>
      </w:r>
    </w:p>
    <w:p>
      <w:pPr>
        <w:numPr>
          <w:ilvl w:val="0"/>
          <w:numId w:val="1001"/>
        </w:numPr>
        <w:pStyle w:val="Compact"/>
      </w:pPr>
      <w:r>
        <w:rPr>
          <w:bCs/>
          <w:b/>
        </w:rPr>
        <w:t xml:space="preserve">Sheet contract updated to the live 14-column Daily Purchasing List.</w:t>
      </w:r>
      <w:r>
        <w:t xml:space="preserve"> </w:t>
      </w:r>
      <w:r>
        <w:t xml:space="preserve">The real sheet has two columns beyond the original 12 —</w:t>
      </w:r>
      <w:r>
        <w:t xml:space="preserve"> </w:t>
      </w:r>
      <w:r>
        <w:rPr>
          <w:bCs/>
          <w:b/>
        </w:rPr>
        <w:t xml:space="preserve">Purchase Date</w:t>
      </w:r>
      <w:r>
        <w:t xml:space="preserve"> </w:t>
      </w:r>
      <w:r>
        <w:t xml:space="preserve">and</w:t>
      </w:r>
      <w:r>
        <w:t xml:space="preserve"> </w:t>
      </w:r>
      <w:r>
        <w:rPr>
          <w:bCs/>
          <w:b/>
        </w:rPr>
        <w:t xml:space="preserve">Long Link (alternative)</w:t>
      </w:r>
      <w:r>
        <w:t xml:space="preserve"> </w:t>
      </w:r>
      <w:r>
        <w:t xml:space="preserve">— both human-managed. The</w:t>
      </w:r>
      <w:r>
        <w:t xml:space="preserve"> </w:t>
      </w:r>
      <w:r>
        <w:t xml:space="preserve">“</w:t>
      </w:r>
      <w:r>
        <w:t xml:space="preserve">12-column absolute</w:t>
      </w:r>
      <w:r>
        <w:t xml:space="preserve">”</w:t>
      </w:r>
      <w:r>
        <w:t xml:space="preserve"> </w:t>
      </w:r>
      <w:r>
        <w:t xml:space="preserve">commitment is replaced by a</w:t>
      </w:r>
      <w:r>
        <w:t xml:space="preserve"> </w:t>
      </w:r>
      <w:r>
        <w:rPr>
          <w:bCs/>
          <w:b/>
        </w:rPr>
        <w:t xml:space="preserve">14-column absolute</w:t>
      </w:r>
      <w:r>
        <w:t xml:space="preserve"> </w:t>
      </w:r>
      <w:r>
        <w:t xml:space="preserve">commitment. AutoBOM still adds/removes/reorders no columns.</w:t>
      </w:r>
    </w:p>
    <w:p>
      <w:pPr>
        <w:numPr>
          <w:ilvl w:val="0"/>
          <w:numId w:val="1001"/>
        </w:numPr>
        <w:pStyle w:val="Compact"/>
      </w:pPr>
      <w:r>
        <w:rPr>
          <w:bCs/>
          <w:b/>
        </w:rPr>
        <w:t xml:space="preserve">Concrete write defaults locked</w:t>
      </w:r>
      <w:r>
        <w:t xml:space="preserve"> </w:t>
      </w:r>
      <w:r>
        <w:t xml:space="preserve">(from the live add-item form):</w:t>
      </w:r>
      <w:r>
        <w:t xml:space="preserve"> </w:t>
      </w:r>
      <w:r>
        <w:rPr>
          <w:rStyle w:val="VerbatimChar"/>
        </w:rPr>
        <w:t xml:space="preserve">Project = Other</w:t>
      </w:r>
      <w:r>
        <w:t xml:space="preserve">,</w:t>
      </w:r>
      <w:r>
        <w:t xml:space="preserve"> </w:t>
      </w:r>
      <w:r>
        <w:rPr>
          <w:rStyle w:val="VerbatimChar"/>
        </w:rPr>
        <w:t xml:space="preserve">Need = Component Purchasing</w:t>
      </w:r>
      <w:r>
        <w:t xml:space="preserve">,</w:t>
      </w:r>
      <w:r>
        <w:t xml:space="preserve"> </w:t>
      </w:r>
      <w:r>
        <w:rPr>
          <w:rStyle w:val="VerbatimChar"/>
        </w:rPr>
        <w:t xml:space="preserve">Requestor = Aaron Jones</w:t>
      </w:r>
      <w:r>
        <w:t xml:space="preserve"> </w:t>
      </w:r>
      <w:r>
        <w:t xml:space="preserve">(temporary default until real requester routing is wired). These guarantee every field the form marks</w:t>
      </w:r>
      <w:r>
        <w:t xml:space="preserve"> </w:t>
      </w:r>
      <w:r>
        <w:rPr>
          <w:iCs/>
          <w:i/>
        </w:rPr>
        <w:t xml:space="preserve">required</w:t>
      </w:r>
      <w:r>
        <w:t xml:space="preserve"> </w:t>
      </w:r>
      <w:r>
        <w:t xml:space="preserve">is populated on each write.</w:t>
      </w:r>
    </w:p>
    <w:p>
      <w:pPr>
        <w:numPr>
          <w:ilvl w:val="0"/>
          <w:numId w:val="1001"/>
        </w:numPr>
        <w:pStyle w:val="Compact"/>
      </w:pPr>
      <w:r>
        <w:rPr>
          <w:bCs/>
          <w:b/>
        </w:rPr>
        <w:t xml:space="preserve">Unit Price / Total Cost corrected.</w:t>
      </w:r>
      <w:r>
        <w:t xml:space="preserve"> </w:t>
      </w:r>
      <w:r>
        <w:t xml:space="preserve">Unit Price now carries the</w:t>
      </w:r>
      <w:r>
        <w:t xml:space="preserve"> </w:t>
      </w:r>
      <w:r>
        <w:rPr>
          <w:bCs/>
          <w:b/>
        </w:rPr>
        <w:t xml:space="preserve">cart total (cost of the cart)</w:t>
      </w:r>
      <w:r>
        <w:t xml:space="preserve">; Quantity stays</w:t>
      </w:r>
      <w:r>
        <w:t xml:space="preserve"> </w:t>
      </w:r>
      <w:r>
        <w:rPr>
          <w:rStyle w:val="VerbatimChar"/>
        </w:rPr>
        <w:t xml:space="preserve">1</w:t>
      </w:r>
      <w:r>
        <w:t xml:space="preserve">;</w:t>
      </w:r>
      <w:r>
        <w:t xml:space="preserve"> </w:t>
      </w:r>
      <w:r>
        <w:rPr>
          <w:bCs/>
          <w:b/>
        </w:rPr>
        <w:t xml:space="preserve">Total Cost = Unit Price × Quantity</w:t>
      </w:r>
      <w:r>
        <w:t xml:space="preserve">. (v4.1 left Unit Price blank.)</w:t>
      </w:r>
    </w:p>
    <w:p>
      <w:pPr>
        <w:numPr>
          <w:ilvl w:val="0"/>
          <w:numId w:val="1001"/>
        </w:numPr>
        <w:pStyle w:val="Compact"/>
      </w:pPr>
      <w:r>
        <w:rPr>
          <w:bCs/>
          <w:b/>
        </w:rPr>
        <w:t xml:space="preserve">Link to Product = the supplier cart share link</w:t>
      </w:r>
      <w:r>
        <w:t xml:space="preserve"> </w:t>
      </w:r>
      <w:r>
        <w:t xml:space="preserve">(the shareable Mouser cart URL / DigiKey list URL</w:t>
      </w:r>
      <w:r>
        <w:t xml:space="preserve"> </w:t>
      </w:r>
      <w:r>
        <w:t xml:space="preserve">“</w:t>
      </w:r>
      <w:r>
        <w:t xml:space="preserve">share key</w:t>
      </w:r>
      <w:r>
        <w:t xml:space="preserve">”</w:t>
      </w:r>
      <w:r>
        <w:t xml:space="preserve"> </w:t>
      </w:r>
      <w:r>
        <w:t xml:space="preserve">produced at flush).</w:t>
      </w:r>
    </w:p>
    <w:p>
      <w:pPr>
        <w:numPr>
          <w:ilvl w:val="0"/>
          <w:numId w:val="1001"/>
        </w:numPr>
        <w:pStyle w:val="Compact"/>
      </w:pPr>
      <w:r>
        <w:rPr>
          <w:bCs/>
          <w:b/>
        </w:rPr>
        <w:t xml:space="preserve">Microsoft Graph integration made concrete.</w:t>
      </w:r>
      <w:r>
        <w:t xml:space="preserve"> </w:t>
      </w:r>
      <w:r>
        <w:t xml:space="preserve">The Daily Purchasing List is an Excel workbook in SharePoint/OneDrive behind a Teams team; AutoBOM writes via the Microsoft Graph API with app-only auth and the deployment doc’s graceful-fallback pattern.</w:t>
      </w:r>
    </w:p>
    <w:p>
      <w:pPr>
        <w:numPr>
          <w:ilvl w:val="0"/>
          <w:numId w:val="1001"/>
        </w:numPr>
        <w:pStyle w:val="Compact"/>
      </w:pPr>
      <w:r>
        <w:rPr>
          <w:bCs/>
          <w:b/>
        </w:rPr>
        <w:t xml:space="preserve">Append-only / write-once / no-empty-rows hard rule added.</w:t>
      </w:r>
      <w:r>
        <w:t xml:space="preserve"> </w:t>
      </w:r>
      <w:r>
        <w:t xml:space="preserve">AutoBOM only appends new rows; it never edits, overwrites, reorders, clears, or deletes existing rows/cells; each entry is written exactly once; empty carts are never written.</w:t>
      </w:r>
    </w:p>
    <w:p>
      <w:pPr>
        <w:numPr>
          <w:ilvl w:val="0"/>
          <w:numId w:val="1001"/>
        </w:numPr>
        <w:pStyle w:val="Compact"/>
      </w:pPr>
      <w:r>
        <w:rPr>
          <w:bCs/>
          <w:b/>
        </w:rPr>
        <w:t xml:space="preserve">Urgency origin clarified.</w:t>
      </w:r>
      <w:r>
        <w:t xml:space="preserve"> </w:t>
      </w:r>
      <w:r>
        <w:t xml:space="preserve">The Urgency value is set by the AutoBOM user’s Critical toggle at submission (Critical →</w:t>
      </w:r>
      <w:r>
        <w:t xml:space="preserve"> </w:t>
      </w:r>
      <w:r>
        <w:rPr>
          <w:rStyle w:val="VerbatimChar"/>
        </w:rPr>
        <w:t xml:space="preserve">Next Day</w:t>
      </w:r>
      <w:r>
        <w:t xml:space="preserve">, Main →</w:t>
      </w:r>
      <w:r>
        <w:t xml:space="preserve"> </w:t>
      </w:r>
      <w:r>
        <w:rPr>
          <w:rStyle w:val="VerbatimChar"/>
        </w:rPr>
        <w:t xml:space="preserve">2-Day</w:t>
      </w:r>
      <w:r>
        <w:t xml:space="preserve">) and is fixed after submission.</w:t>
      </w:r>
    </w:p>
    <w:p>
      <w:pPr>
        <w:numPr>
          <w:ilvl w:val="0"/>
          <w:numId w:val="1001"/>
        </w:numPr>
        <w:pStyle w:val="Compact"/>
      </w:pPr>
      <w:r>
        <w:t xml:space="preserve">Carried forward from v4.1: row structure Version A (per-supplier per-batch), Cart URL Pattern A (real supplier URL at flush), CPN on cart-line customer reference (never on the sheet), atomic batch-flush failure handling, per-CPN fulfillment via receiving scan-back.</w:t>
      </w:r>
    </w:p>
    <w:bookmarkEnd w:id="20"/>
    <w:bookmarkStart w:id="25" w:name="bucket-model"/>
    <w:p>
      <w:pPr>
        <w:pStyle w:val="Heading2"/>
      </w:pPr>
      <w:r>
        <w:t xml:space="preserve">1. Bucket Model</w:t>
      </w:r>
    </w:p>
    <w:bookmarkStart w:id="21" w:name="one-shared-bucket"/>
    <w:p>
      <w:pPr>
        <w:pStyle w:val="Heading3"/>
      </w:pPr>
      <w:r>
        <w:t xml:space="preserve">1.1 One shared bucket</w:t>
      </w:r>
    </w:p>
    <w:p>
      <w:pPr>
        <w:pStyle w:val="FirstParagraph"/>
      </w:pPr>
      <w:r>
        <w:t xml:space="preserve">Every Request from every workflow pools into one shared bucket. There is no per-role or per-user bucket. The bucket is the single funnel from all workflow-generated Request activity to the Daily Purchasing List.</w:t>
      </w:r>
    </w:p>
    <w:bookmarkEnd w:id="21"/>
    <w:bookmarkStart w:id="22" w:name="two-streams"/>
    <w:p>
      <w:pPr>
        <w:pStyle w:val="Heading3"/>
      </w:pPr>
      <w:r>
        <w:t xml:space="preserve">1.2 Two streams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Stream</w:t>
            </w:r>
          </w:p>
        </w:tc>
        <w:tc>
          <w:tcPr/>
          <w:p>
            <w:pPr>
              <w:pStyle w:val="Compact"/>
              <w:jc w:val="left"/>
            </w:pPr>
            <w:r>
              <w:t xml:space="preserve">Contents</w:t>
            </w:r>
          </w:p>
        </w:tc>
        <w:tc>
          <w:tcPr/>
          <w:p>
            <w:pPr>
              <w:pStyle w:val="Compact"/>
              <w:jc w:val="left"/>
            </w:pPr>
            <w:r>
              <w:t xml:space="preserve">Default batch interval</w:t>
            </w:r>
          </w:p>
        </w:tc>
        <w:tc>
          <w:tcPr/>
          <w:p>
            <w:pPr>
              <w:pStyle w:val="Compact"/>
              <w:jc w:val="left"/>
            </w:pPr>
            <w:r>
              <w:t xml:space="preserve">Sheet Urgency column</w:t>
            </w:r>
          </w:p>
        </w:tc>
      </w:tr>
      <w:tr>
        <w:tc>
          <w:tcPr/>
          <w:p>
            <w:pPr>
              <w:pStyle w:val="Compact"/>
              <w:jc w:val="left"/>
            </w:pPr>
            <w:r>
              <w:t xml:space="preserve">Critical</w:t>
            </w:r>
          </w:p>
        </w:tc>
        <w:tc>
          <w:tcPr/>
          <w:p>
            <w:pPr>
              <w:pStyle w:val="Compact"/>
              <w:jc w:val="left"/>
            </w:pPr>
            <w:r>
              <w:t xml:space="preserve">Requests where the submitter set the Critical toggle to on</w:t>
            </w:r>
          </w:p>
        </w:tc>
        <w:tc>
          <w:tcPr/>
          <w:p>
            <w:pPr>
              <w:pStyle w:val="Compact"/>
              <w:jc w:val="left"/>
            </w:pPr>
            <w:r>
              <w:t xml:space="preserve">180 min (Admin-configurable, 15–1440 min)</w:t>
            </w:r>
          </w:p>
        </w:tc>
        <w:tc>
          <w:tcPr/>
          <w:p>
            <w:pPr>
              <w:pStyle w:val="Compact"/>
              <w:jc w:val="left"/>
            </w:pPr>
            <w:r>
              <w:rPr>
                <w:rStyle w:val="VerbatimChar"/>
              </w:rPr>
              <w:t xml:space="preserve">Next Day</w:t>
            </w:r>
          </w:p>
        </w:tc>
      </w:tr>
      <w:tr>
        <w:tc>
          <w:tcPr/>
          <w:p>
            <w:pPr>
              <w:pStyle w:val="Compact"/>
              <w:jc w:val="left"/>
            </w:pPr>
            <w:r>
              <w:t xml:space="preserve">Main</w:t>
            </w:r>
          </w:p>
        </w:tc>
        <w:tc>
          <w:tcPr/>
          <w:p>
            <w:pPr>
              <w:pStyle w:val="Compact"/>
              <w:jc w:val="left"/>
            </w:pPr>
            <w:r>
              <w:t xml:space="preserve">Requests where the Critical toggle stayed off (default)</w:t>
            </w:r>
          </w:p>
        </w:tc>
        <w:tc>
          <w:tcPr/>
          <w:p>
            <w:pPr>
              <w:pStyle w:val="Compact"/>
              <w:jc w:val="left"/>
            </w:pPr>
            <w:r>
              <w:t xml:space="preserve">360 min (Admin-configurable, 15–1440 min)</w:t>
            </w:r>
          </w:p>
        </w:tc>
        <w:tc>
          <w:tcPr/>
          <w:p>
            <w:pPr>
              <w:pStyle w:val="Compact"/>
              <w:jc w:val="left"/>
            </w:pPr>
            <w:r>
              <w:rPr>
                <w:rStyle w:val="VerbatimChar"/>
              </w:rPr>
              <w:t xml:space="preserve">2-Day</w:t>
            </w:r>
          </w:p>
        </w:tc>
      </w:tr>
    </w:tbl>
    <w:bookmarkEnd w:id="22"/>
    <w:bookmarkStart w:id="23" w:name="timer-behavior"/>
    <w:p>
      <w:pPr>
        <w:pStyle w:val="Heading3"/>
      </w:pPr>
      <w:r>
        <w:t xml:space="preserve">1.3 Timer behavior</w:t>
      </w:r>
    </w:p>
    <w:p>
      <w:pPr>
        <w:numPr>
          <w:ilvl w:val="0"/>
          <w:numId w:val="1002"/>
        </w:numPr>
        <w:pStyle w:val="Compact"/>
      </w:pPr>
      <w:r>
        <w:t xml:space="preserve">Timers never overlap — Critical and Main run independently.</w:t>
      </w:r>
    </w:p>
    <w:p>
      <w:pPr>
        <w:numPr>
          <w:ilvl w:val="0"/>
          <w:numId w:val="1002"/>
        </w:numPr>
        <w:pStyle w:val="Compact"/>
      </w:pPr>
      <w:r>
        <w:t xml:space="preserve">Batch writes are atomic — all-or-nothing per batch.</w:t>
      </w:r>
    </w:p>
    <w:p>
      <w:pPr>
        <w:numPr>
          <w:ilvl w:val="0"/>
          <w:numId w:val="1002"/>
        </w:numPr>
        <w:pStyle w:val="Compact"/>
      </w:pPr>
      <w:r>
        <w:t xml:space="preserve">Timer values are Admin-configurable within validated integer-minute ranges.</w:t>
      </w:r>
    </w:p>
    <w:p>
      <w:pPr>
        <w:numPr>
          <w:ilvl w:val="0"/>
          <w:numId w:val="1002"/>
        </w:numPr>
        <w:pStyle w:val="Compact"/>
      </w:pPr>
      <w:r>
        <w:t xml:space="preserve">Manual flush escape hatch (Admin only) —</w:t>
      </w:r>
      <w:r>
        <w:t xml:space="preserve"> </w:t>
      </w:r>
      <w:r>
        <w:rPr>
          <w:rStyle w:val="VerbatimChar"/>
        </w:rPr>
        <w:t xml:space="preserve">flushBucket(stream)</w:t>
      </w:r>
      <w:r>
        <w:t xml:space="preserve"> </w:t>
      </w:r>
      <w:r>
        <w:t xml:space="preserve">action, audit-logged.</w:t>
      </w:r>
    </w:p>
    <w:bookmarkEnd w:id="23"/>
    <w:bookmarkStart w:id="24" w:name="full-filtered-toggle"/>
    <w:p>
      <w:pPr>
        <w:pStyle w:val="Heading3"/>
      </w:pPr>
      <w:r>
        <w:t xml:space="preserve">1.4 Full / Filtered toggle</w:t>
      </w:r>
    </w:p>
    <w:p>
      <w:pPr>
        <w:numPr>
          <w:ilvl w:val="0"/>
          <w:numId w:val="1003"/>
        </w:numPr>
        <w:pStyle w:val="Compact"/>
      </w:pPr>
      <w:r>
        <w:rPr>
          <w:bCs/>
          <w:b/>
        </w:rPr>
        <w:t xml:space="preserve">Full</w:t>
      </w:r>
      <w:r>
        <w:t xml:space="preserve"> </w:t>
      </w:r>
      <w:r>
        <w:t xml:space="preserve">— every in-flight Request across all users. Admin default.</w:t>
      </w:r>
    </w:p>
    <w:p>
      <w:pPr>
        <w:numPr>
          <w:ilvl w:val="0"/>
          <w:numId w:val="1003"/>
        </w:numPr>
        <w:pStyle w:val="Compact"/>
      </w:pPr>
      <w:r>
        <w:rPr>
          <w:bCs/>
          <w:b/>
        </w:rPr>
        <w:t xml:space="preserve">Filtered</w:t>
      </w:r>
      <w:r>
        <w:t xml:space="preserve"> </w:t>
      </w:r>
      <w:r>
        <w:t xml:space="preserve">— requester = current user only. Designer / Production default.</w:t>
      </w:r>
    </w:p>
    <w:p>
      <w:pPr>
        <w:numPr>
          <w:ilvl w:val="0"/>
          <w:numId w:val="1003"/>
        </w:numPr>
        <w:pStyle w:val="Compact"/>
      </w:pPr>
      <w:r>
        <w:t xml:space="preserve">Toggle persists per user (session or preference).</w:t>
      </w:r>
    </w:p>
    <w:bookmarkEnd w:id="24"/>
    <w:bookmarkEnd w:id="25"/>
    <w:bookmarkStart w:id="30" w:name="request-submission"/>
    <w:p>
      <w:pPr>
        <w:pStyle w:val="Heading2"/>
      </w:pPr>
      <w:r>
        <w:t xml:space="preserve">2. Request Submission</w:t>
      </w:r>
    </w:p>
    <w:bookmarkStart w:id="26" w:name="sources"/>
    <w:p>
      <w:pPr>
        <w:pStyle w:val="Heading3"/>
      </w:pPr>
      <w:r>
        <w:t xml:space="preserve">2.1 Sources</w:t>
      </w:r>
    </w:p>
    <w:p>
      <w:pPr>
        <w:numPr>
          <w:ilvl w:val="0"/>
          <w:numId w:val="1004"/>
        </w:numPr>
        <w:pStyle w:val="Compact"/>
      </w:pPr>
      <w:r>
        <w:rPr>
          <w:bCs/>
          <w:b/>
        </w:rPr>
        <w:t xml:space="preserve">From Collection</w:t>
      </w:r>
      <w:r>
        <w:t xml:space="preserve"> </w:t>
      </w:r>
      <w:r>
        <w:t xml:space="preserve">— Designer submits Collection → Request. Sourcing already run on the Collection; Request items pre-populated.</w:t>
      </w:r>
    </w:p>
    <w:p>
      <w:pPr>
        <w:numPr>
          <w:ilvl w:val="0"/>
          <w:numId w:val="1004"/>
        </w:numPr>
        <w:pStyle w:val="Compact"/>
      </w:pPr>
      <w:r>
        <w:rPr>
          <w:bCs/>
          <w:b/>
        </w:rPr>
        <w:t xml:space="preserve">From BOM</w:t>
      </w:r>
      <w:r>
        <w:t xml:space="preserve"> </w:t>
      </w:r>
      <w:r>
        <w:t xml:space="preserve">— Production submits validated + sourced BOM → Request. Same pre-population.</w:t>
      </w:r>
    </w:p>
    <w:p>
      <w:pPr>
        <w:numPr>
          <w:ilvl w:val="0"/>
          <w:numId w:val="1004"/>
        </w:numPr>
        <w:pStyle w:val="Compact"/>
      </w:pPr>
      <w:r>
        <w:rPr>
          <w:bCs/>
          <w:b/>
        </w:rPr>
        <w:t xml:space="preserve">From wall restock</w:t>
      </w:r>
      <w:r>
        <w:t xml:space="preserve"> </w:t>
      </w:r>
      <w:r>
        <w:t xml:space="preserve">— future path; not in v1.5 MVP but architecturally accommodated.</w:t>
      </w:r>
    </w:p>
    <w:bookmarkEnd w:id="26"/>
    <w:bookmarkStart w:id="27" w:name="submission-form"/>
    <w:p>
      <w:pPr>
        <w:pStyle w:val="Heading3"/>
      </w:pPr>
      <w:r>
        <w:t xml:space="preserve">2.2 Submission 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Behavior</w:t>
            </w:r>
          </w:p>
        </w:tc>
        <w:tc>
          <w:tcPr/>
          <w:p>
            <w:pPr>
              <w:pStyle w:val="Compact"/>
              <w:jc w:val="left"/>
            </w:pPr>
            <w:r>
              <w:t xml:space="preserve">Written to sheet as</w:t>
            </w:r>
          </w:p>
        </w:tc>
      </w:tr>
      <w:tr>
        <w:tc>
          <w:tcPr/>
          <w:p>
            <w:pPr>
              <w:pStyle w:val="Compact"/>
              <w:jc w:val="left"/>
            </w:pPr>
            <w:r>
              <w:t xml:space="preserve">Title</w:t>
            </w:r>
          </w:p>
        </w:tc>
        <w:tc>
          <w:tcPr/>
          <w:p>
            <w:pPr>
              <w:pStyle w:val="Compact"/>
              <w:jc w:val="left"/>
            </w:pPr>
            <w:r>
              <w:t xml:space="preserve">Free-text, auto-suggested from source object name</w:t>
            </w:r>
          </w:p>
        </w:tc>
        <w:tc>
          <w:tcPr/>
          <w:p>
            <w:pPr>
              <w:pStyle w:val="Compact"/>
              <w:jc w:val="left"/>
            </w:pPr>
            <w:r>
              <w:t xml:space="preserve">Not written to sheet</w:t>
            </w:r>
          </w:p>
        </w:tc>
      </w:tr>
      <w:tr>
        <w:tc>
          <w:tcPr/>
          <w:p>
            <w:pPr>
              <w:pStyle w:val="Compact"/>
              <w:jc w:val="left"/>
            </w:pPr>
            <w:r>
              <w:t xml:space="preserve">Source</w:t>
            </w:r>
          </w:p>
        </w:tc>
        <w:tc>
          <w:tcPr/>
          <w:p>
            <w:pPr>
              <w:pStyle w:val="Compact"/>
              <w:jc w:val="left"/>
            </w:pPr>
            <w:r>
              <w:t xml:space="preserve">Auto (Collection or BOM id from context)</w:t>
            </w:r>
          </w:p>
        </w:tc>
        <w:tc>
          <w:tcPr/>
          <w:p>
            <w:pPr>
              <w:pStyle w:val="Compact"/>
              <w:jc w:val="left"/>
            </w:pPr>
            <w:r>
              <w:t xml:space="preserve">Not written to sheet</w:t>
            </w:r>
          </w:p>
        </w:tc>
      </w:tr>
      <w:tr>
        <w:tc>
          <w:tcPr/>
          <w:p>
            <w:pPr>
              <w:pStyle w:val="Compact"/>
              <w:jc w:val="left"/>
            </w:pPr>
            <w:r>
              <w:t xml:space="preserve">Project</w:t>
            </w:r>
          </w:p>
        </w:tc>
        <w:tc>
          <w:tcPr/>
          <w:p>
            <w:pPr>
              <w:pStyle w:val="Compact"/>
              <w:jc w:val="left"/>
            </w:pPr>
            <w:r>
              <w:t xml:space="preserve">Auto from source; the sheet’s Project column receives the default</w:t>
            </w:r>
            <w:r>
              <w:t xml:space="preserve"> </w:t>
            </w:r>
            <w:r>
              <w:rPr>
                <w:rStyle w:val="VerbatimChar"/>
              </w:rPr>
              <w:t xml:space="preserve">Other</w:t>
            </w:r>
            <w:r>
              <w:t xml:space="preserve"> </w:t>
            </w:r>
            <w:r>
              <w:t xml:space="preserve">at write time (team may adjust)</w:t>
            </w:r>
          </w:p>
        </w:tc>
        <w:tc>
          <w:tcPr/>
          <w:p>
            <w:pPr>
              <w:pStyle w:val="Compact"/>
              <w:jc w:val="left"/>
            </w:pPr>
            <w:r>
              <w:rPr>
                <w:rStyle w:val="VerbatimChar"/>
              </w:rPr>
              <w:t xml:space="preserve">Other</w:t>
            </w:r>
            <w:r>
              <w:t xml:space="preserve"> </w:t>
            </w:r>
            <w:r>
              <w:t xml:space="preserve">(default)</w:t>
            </w:r>
          </w:p>
        </w:tc>
      </w:tr>
      <w:tr>
        <w:tc>
          <w:tcPr/>
          <w:p>
            <w:pPr>
              <w:pStyle w:val="Compact"/>
              <w:jc w:val="left"/>
            </w:pPr>
            <w:r>
              <w:t xml:space="preserve">Items</w:t>
            </w:r>
          </w:p>
        </w:tc>
        <w:tc>
          <w:tcPr/>
          <w:p>
            <w:pPr>
              <w:pStyle w:val="Compact"/>
              <w:jc w:val="left"/>
            </w:pPr>
            <w:r>
              <w:t xml:space="preserve">Auto-populated from source, editable line-by-line before submission</w:t>
            </w:r>
          </w:p>
        </w:tc>
        <w:tc>
          <w:tcPr/>
          <w:p>
            <w:pPr>
              <w:pStyle w:val="Compact"/>
              <w:jc w:val="left"/>
            </w:pPr>
            <w:r>
              <w:t xml:space="preserve">Aggregated into cart at flush; per-line detail lives in cart</w:t>
            </w:r>
          </w:p>
        </w:tc>
      </w:tr>
      <w:tr>
        <w:tc>
          <w:tcPr/>
          <w:p>
            <w:pPr>
              <w:pStyle w:val="Compact"/>
              <w:jc w:val="left"/>
            </w:pPr>
            <w:r>
              <w:t xml:space="preserve">Need</w:t>
            </w:r>
          </w:p>
        </w:tc>
        <w:tc>
          <w:tcPr/>
          <w:p>
            <w:pPr>
              <w:pStyle w:val="Compact"/>
              <w:jc w:val="left"/>
            </w:pPr>
            <w:r>
              <w:t xml:space="preserve">Optional free-text requirement note</w:t>
            </w:r>
          </w:p>
        </w:tc>
        <w:tc>
          <w:tcPr/>
          <w:p>
            <w:pPr>
              <w:pStyle w:val="Compact"/>
              <w:jc w:val="left"/>
            </w:pPr>
            <w:r>
              <w:rPr>
                <w:rStyle w:val="VerbatimChar"/>
              </w:rPr>
              <w:t xml:space="preserve">Component Purchasing</w:t>
            </w:r>
            <w:r>
              <w:t xml:space="preserve"> </w:t>
            </w:r>
            <w:r>
              <w:t xml:space="preserve">default (overwritten by the note if provided)</w:t>
            </w:r>
          </w:p>
        </w:tc>
      </w:tr>
      <w:tr>
        <w:tc>
          <w:tcPr/>
          <w:p>
            <w:pPr>
              <w:pStyle w:val="Compact"/>
              <w:jc w:val="left"/>
            </w:pPr>
            <w:r>
              <w:t xml:space="preserve">Critical toggle</w:t>
            </w:r>
          </w:p>
        </w:tc>
        <w:tc>
          <w:tcPr/>
          <w:p>
            <w:pPr>
              <w:pStyle w:val="Compact"/>
              <w:jc w:val="left"/>
            </w:pPr>
            <w:r>
              <w:t xml:space="preserve">Boolean, default off. Cannot be edited after submission</w:t>
            </w:r>
          </w:p>
        </w:tc>
        <w:tc>
          <w:tcPr/>
          <w:p>
            <w:pPr>
              <w:pStyle w:val="Compact"/>
              <w:jc w:val="left"/>
            </w:pPr>
            <w:r>
              <w:t xml:space="preserve">Determines Urgency column value</w:t>
            </w:r>
          </w:p>
        </w:tc>
      </w:tr>
    </w:tbl>
    <w:bookmarkEnd w:id="27"/>
    <w:bookmarkStart w:id="28" w:name="rejected-form-fields"/>
    <w:p>
      <w:pPr>
        <w:pStyle w:val="Heading3"/>
      </w:pPr>
      <w:r>
        <w:t xml:space="preserve">2.3 Rejected form fields</w:t>
      </w:r>
    </w:p>
    <w:p>
      <w:pPr>
        <w:numPr>
          <w:ilvl w:val="0"/>
          <w:numId w:val="1005"/>
        </w:numPr>
        <w:pStyle w:val="Compact"/>
      </w:pPr>
      <w:r>
        <w:t xml:space="preserve">Required By dropdown — retired. Critical toggle replaces it.</w:t>
      </w:r>
    </w:p>
    <w:p>
      <w:pPr>
        <w:numPr>
          <w:ilvl w:val="0"/>
          <w:numId w:val="1005"/>
        </w:numPr>
        <w:pStyle w:val="Compact"/>
      </w:pPr>
      <w:r>
        <w:t xml:space="preserve">Urgency dropdown — retired. Critical toggle replaces it.</w:t>
      </w:r>
    </w:p>
    <w:p>
      <w:pPr>
        <w:numPr>
          <w:ilvl w:val="0"/>
          <w:numId w:val="1005"/>
        </w:numPr>
        <w:pStyle w:val="Compact"/>
      </w:pPr>
      <w:r>
        <w:t xml:space="preserve">Per-line urgency — never. Urgency lives at bucket-stream level.</w:t>
      </w:r>
    </w:p>
    <w:bookmarkEnd w:id="28"/>
    <w:bookmarkStart w:id="29" w:name="on-submit"/>
    <w:p>
      <w:pPr>
        <w:pStyle w:val="Heading3"/>
      </w:pPr>
      <w:r>
        <w:t xml:space="preserve">2.4 On submit</w:t>
      </w:r>
    </w:p>
    <w:p>
      <w:pPr>
        <w:numPr>
          <w:ilvl w:val="0"/>
          <w:numId w:val="1006"/>
        </w:numPr>
        <w:pStyle w:val="Compact"/>
      </w:pPr>
      <w:r>
        <w:t xml:space="preserve">Request enters bucket immediately.</w:t>
      </w:r>
    </w:p>
    <w:p>
      <w:pPr>
        <w:numPr>
          <w:ilvl w:val="0"/>
          <w:numId w:val="1006"/>
        </w:numPr>
        <w:pStyle w:val="Compact"/>
      </w:pPr>
      <w:r>
        <w:rPr>
          <w:rStyle w:val="VerbatimChar"/>
        </w:rPr>
        <w:t xml:space="preserve">bucketState</w:t>
      </w:r>
      <w:r>
        <w:t xml:space="preserve"> </w:t>
      </w:r>
      <w:r>
        <w:t xml:space="preserve">set to</w:t>
      </w:r>
      <w:r>
        <w:t xml:space="preserve"> </w:t>
      </w:r>
      <w:r>
        <w:rPr>
          <w:rStyle w:val="VerbatimChar"/>
        </w:rPr>
        <w:t xml:space="preserve">QUEUED_MAIN</w:t>
      </w:r>
      <w:r>
        <w:t xml:space="preserve"> </w:t>
      </w:r>
      <w:r>
        <w:t xml:space="preserve">or</w:t>
      </w:r>
      <w:r>
        <w:t xml:space="preserve"> </w:t>
      </w:r>
      <w:r>
        <w:rPr>
          <w:rStyle w:val="VerbatimChar"/>
        </w:rPr>
        <w:t xml:space="preserve">QUEUED_CRITICAL</w:t>
      </w:r>
      <w:r>
        <w:t xml:space="preserve"> </w:t>
      </w:r>
      <w:r>
        <w:t xml:space="preserve">based on the Critical toggle.</w:t>
      </w:r>
    </w:p>
    <w:p>
      <w:pPr>
        <w:numPr>
          <w:ilvl w:val="0"/>
          <w:numId w:val="1006"/>
        </w:numPr>
        <w:pStyle w:val="Compact"/>
      </w:pPr>
      <w:r>
        <w:t xml:space="preserve">CPN generated for each line and inserted into the CPN issuance table.</w:t>
      </w:r>
    </w:p>
    <w:p>
      <w:pPr>
        <w:numPr>
          <w:ilvl w:val="0"/>
          <w:numId w:val="1006"/>
        </w:numPr>
        <w:pStyle w:val="Compact"/>
      </w:pPr>
      <w:r>
        <w:t xml:space="preserve">Requester sees the Request in the embedded Purchasing view (Filtered mode) with the next flush countdown.</w:t>
      </w:r>
    </w:p>
    <w:bookmarkEnd w:id="29"/>
    <w:bookmarkEnd w:id="30"/>
    <w:bookmarkStart w:id="35" w:name="batch-flush-pipeline-pattern-a"/>
    <w:p>
      <w:pPr>
        <w:pStyle w:val="Heading2"/>
      </w:pPr>
      <w:r>
        <w:t xml:space="preserve">3. Batch Flush Pipeline (Pattern A)</w:t>
      </w:r>
    </w:p>
    <w:bookmarkStart w:id="31" w:name="trigger"/>
    <w:p>
      <w:pPr>
        <w:pStyle w:val="Heading3"/>
      </w:pPr>
      <w:r>
        <w:t xml:space="preserve">3.1 Trigger</w:t>
      </w:r>
    </w:p>
    <w:p>
      <w:pPr>
        <w:numPr>
          <w:ilvl w:val="0"/>
          <w:numId w:val="1007"/>
        </w:numPr>
        <w:pStyle w:val="Compact"/>
      </w:pPr>
      <w:r>
        <w:t xml:space="preserve">Timer expiration (Critical or Main).</w:t>
      </w:r>
    </w:p>
    <w:p>
      <w:pPr>
        <w:numPr>
          <w:ilvl w:val="0"/>
          <w:numId w:val="1007"/>
        </w:numPr>
        <w:pStyle w:val="Compact"/>
      </w:pPr>
      <w:r>
        <w:t xml:space="preserve">Manual flush by Admin via</w:t>
      </w:r>
      <w:r>
        <w:t xml:space="preserve"> </w:t>
      </w:r>
      <w:r>
        <w:rPr>
          <w:rStyle w:val="VerbatimChar"/>
        </w:rPr>
        <w:t xml:space="preserve">flushBucket(stream)</w:t>
      </w:r>
      <w:r>
        <w:t xml:space="preserve">.</w:t>
      </w:r>
    </w:p>
    <w:p>
      <w:pPr>
        <w:numPr>
          <w:ilvl w:val="0"/>
          <w:numId w:val="1007"/>
        </w:numPr>
        <w:pStyle w:val="Compact"/>
      </w:pPr>
      <w:r>
        <w:t xml:space="preserve">Never automatic on Request submission — always batched.</w:t>
      </w:r>
    </w:p>
    <w:bookmarkEnd w:id="31"/>
    <w:bookmarkStart w:id="32" w:name="pipeline-steps-atomic"/>
    <w:p>
      <w:pPr>
        <w:pStyle w:val="Heading3"/>
      </w:pPr>
      <w:r>
        <w:t xml:space="preserve">3.2 Pipeline steps (atomic)</w:t>
      </w:r>
    </w:p>
    <w:p>
      <w:pPr>
        <w:numPr>
          <w:ilvl w:val="0"/>
          <w:numId w:val="1008"/>
        </w:numPr>
        <w:pStyle w:val="Compact"/>
      </w:pPr>
      <w:r>
        <w:t xml:space="preserve">Group bucket entries in the stream by supplier (Mouser vs DigiKey). If a Request has items across both suppliers, each supplier group is handled independently.</w:t>
      </w:r>
    </w:p>
    <w:p>
      <w:pPr>
        <w:numPr>
          <w:ilvl w:val="0"/>
          <w:numId w:val="1008"/>
        </w:numPr>
        <w:pStyle w:val="Compact"/>
      </w:pPr>
      <w:r>
        <w:rPr>
          <w:bCs/>
          <w:b/>
        </w:rPr>
        <w:t xml:space="preserve">Build Mouser cart</w:t>
      </w:r>
      <w:r>
        <w:t xml:space="preserve"> </w:t>
      </w:r>
      <w:r>
        <w:t xml:space="preserve">— call the Mouser Cart API with the Mouser group items. Each cart line includes the CPN in the customer reference field. On success, retrieve the shareable cart URL (share key).</w:t>
      </w:r>
    </w:p>
    <w:p>
      <w:pPr>
        <w:numPr>
          <w:ilvl w:val="0"/>
          <w:numId w:val="1008"/>
        </w:numPr>
        <w:pStyle w:val="Compact"/>
      </w:pPr>
      <w:r>
        <w:rPr>
          <w:bCs/>
          <w:b/>
        </w:rPr>
        <w:t xml:space="preserve">Build DigiKey list</w:t>
      </w:r>
      <w:r>
        <w:t xml:space="preserve"> </w:t>
      </w:r>
      <w:r>
        <w:t xml:space="preserve">— call the DigiKey MyLists API (create list + add parts) with the DigiKey group items. Each list entry includes the CPN in its reference field. On success, retrieve the shareable list URL.</w:t>
      </w:r>
    </w:p>
    <w:p>
      <w:pPr>
        <w:numPr>
          <w:ilvl w:val="0"/>
          <w:numId w:val="1008"/>
        </w:numPr>
        <w:pStyle w:val="Compact"/>
      </w:pPr>
      <w:r>
        <w:rPr>
          <w:bCs/>
          <w:b/>
        </w:rPr>
        <w:t xml:space="preserve">Write rows to the Daily Purchasing List</w:t>
      </w:r>
      <w:r>
        <w:t xml:space="preserve"> </w:t>
      </w:r>
      <w:r>
        <w:t xml:space="preserve">via the Microsoft Graph API (see §4.7). One row per supplier per batch: one</w:t>
      </w:r>
      <w:r>
        <w:t xml:space="preserve"> </w:t>
      </w:r>
      <w:r>
        <w:rPr>
          <w:rStyle w:val="VerbatimChar"/>
        </w:rPr>
        <w:t xml:space="preserve">Mouser Components</w:t>
      </w:r>
      <w:r>
        <w:t xml:space="preserve"> </w:t>
      </w:r>
      <w:r>
        <w:t xml:space="preserve">row + one</w:t>
      </w:r>
      <w:r>
        <w:t xml:space="preserve"> </w:t>
      </w:r>
      <w:r>
        <w:rPr>
          <w:rStyle w:val="VerbatimChar"/>
        </w:rPr>
        <w:t xml:space="preserve">DigiKey Components</w:t>
      </w:r>
      <w:r>
        <w:t xml:space="preserve"> </w:t>
      </w:r>
      <w:r>
        <w:t xml:space="preserve">row (or a single row if the batch is single-supplier).</w:t>
      </w:r>
      <w:r>
        <w:t xml:space="preserve"> </w:t>
      </w:r>
      <w:r>
        <w:rPr>
          <w:bCs/>
          <w:b/>
        </w:rPr>
        <w:t xml:space="preserve">Append only — never edit or delete existing rows.</w:t>
      </w:r>
    </w:p>
    <w:p>
      <w:pPr>
        <w:numPr>
          <w:ilvl w:val="0"/>
          <w:numId w:val="1008"/>
        </w:numPr>
        <w:pStyle w:val="Compact"/>
      </w:pPr>
      <w:r>
        <w:t xml:space="preserve">Batch state →</w:t>
      </w:r>
      <w:r>
        <w:t xml:space="preserve"> </w:t>
      </w:r>
      <w:r>
        <w:rPr>
          <w:rStyle w:val="VerbatimChar"/>
        </w:rPr>
        <w:t xml:space="preserve">WRITTEN</w:t>
      </w:r>
      <w:r>
        <w:t xml:space="preserve">. Bucket entries →</w:t>
      </w:r>
      <w:r>
        <w:t xml:space="preserve"> </w:t>
      </w:r>
      <w:r>
        <w:rPr>
          <w:rStyle w:val="VerbatimChar"/>
        </w:rPr>
        <w:t xml:space="preserve">bucketState = WRITTEN</w:t>
      </w:r>
      <w:r>
        <w:t xml:space="preserve">. Archive view updates.</w:t>
      </w:r>
    </w:p>
    <w:bookmarkEnd w:id="32"/>
    <w:bookmarkStart w:id="33" w:name="atomic-guarantee"/>
    <w:p>
      <w:pPr>
        <w:pStyle w:val="Heading3"/>
      </w:pPr>
      <w:r>
        <w:t xml:space="preserve">3.3 Atomic guarantee</w:t>
      </w:r>
    </w:p>
    <w:p>
      <w:pPr>
        <w:pStyle w:val="FirstParagraph"/>
      </w:pPr>
      <w:r>
        <w:t xml:space="preserve">All steps must succeed together. If any step fails, the batch stays Pending — bucket entries retain their QUEUED state, no partial write to the sheet, no cart URL exposed. The batch retries on the next timer expiration.</w:t>
      </w:r>
      <w:r>
        <w:t xml:space="preserve"> </w:t>
      </w:r>
      <w:r>
        <w:t xml:space="preserve">- If the batch persistently fails, Admin receives a Batch Flush Failure notification with error detail.</w:t>
      </w:r>
      <w:r>
        <w:t xml:space="preserve"> </w:t>
      </w:r>
      <w:r>
        <w:t xml:space="preserve">- Admin can inspect via decision traces.</w:t>
      </w:r>
      <w:r>
        <w:t xml:space="preserve"> </w:t>
      </w:r>
      <w:r>
        <w:t xml:space="preserve">- Admin can</w:t>
      </w:r>
      <w:r>
        <w:t xml:space="preserve"> </w:t>
      </w:r>
      <w:r>
        <w:rPr>
          <w:rStyle w:val="VerbatimChar"/>
        </w:rPr>
        <w:t xml:space="preserve">adminOverride</w:t>
      </w:r>
      <w:r>
        <w:t xml:space="preserve"> </w:t>
      </w:r>
      <w:r>
        <w:t xml:space="preserve">to unstick the batch (force-waive with reason), but the default behavior is graceful retry.</w:t>
      </w:r>
    </w:p>
    <w:bookmarkEnd w:id="33"/>
    <w:bookmarkStart w:id="34" w:name="cart-url-pattern-a-locked"/>
    <w:p>
      <w:pPr>
        <w:pStyle w:val="Heading3"/>
      </w:pPr>
      <w:r>
        <w:t xml:space="preserve">3.4 Cart URL Pattern A (locked)</w:t>
      </w:r>
    </w:p>
    <w:p>
      <w:pPr>
        <w:pStyle w:val="FirstParagraph"/>
      </w:pPr>
      <w:r>
        <w:t xml:space="preserve">Real Mouser/DigiKey URLs at flush. Mirrors the POC. Assumed non-expiring.</w:t>
      </w:r>
      <w:r>
        <w:t xml:space="preserve"> </w:t>
      </w:r>
      <w:r>
        <w:t xml:space="preserve">- The cart URL / list URL (share link) is written into the sheet’s</w:t>
      </w:r>
      <w:r>
        <w:t xml:space="preserve"> </w:t>
      </w:r>
      <w:r>
        <w:rPr>
          <w:bCs/>
          <w:b/>
        </w:rPr>
        <w:t xml:space="preserve">Link to Product</w:t>
      </w:r>
      <w:r>
        <w:t xml:space="preserve"> </w:t>
      </w:r>
      <w:r>
        <w:t xml:space="preserve">column.</w:t>
      </w:r>
      <w:r>
        <w:t xml:space="preserve"> </w:t>
      </w:r>
      <w:r>
        <w:t xml:space="preserve">- The buyer clicks the URL, arrives at the supplier’s cart page authenticated as themselves (Mouser/DigiKey session), reviews, and clicks Place Order in the supplier UI.</w:t>
      </w:r>
      <w:r>
        <w:t xml:space="preserve"> </w:t>
      </w:r>
      <w:r>
        <w:t xml:space="preserve">- If operational reality later proves URLs expire, revisit with a URL-refresh mechanism (out of scope for MVP).</w:t>
      </w:r>
    </w:p>
    <w:bookmarkEnd w:id="34"/>
    <w:bookmarkEnd w:id="35"/>
    <w:bookmarkStart w:id="44" w:name="daily-purchasing-list-sheet-contract"/>
    <w:p>
      <w:pPr>
        <w:pStyle w:val="Heading2"/>
      </w:pPr>
      <w:r>
        <w:t xml:space="preserve">4. Daily Purchasing List — Sheet Contract</w:t>
      </w:r>
    </w:p>
    <w:bookmarkStart w:id="36" w:name="column-commitment"/>
    <w:p>
      <w:pPr>
        <w:pStyle w:val="Heading3"/>
      </w:pPr>
      <w:r>
        <w:t xml:space="preserve">4.1 14-column commitment</w:t>
      </w:r>
    </w:p>
    <w:p>
      <w:pPr>
        <w:pStyle w:val="FirstParagraph"/>
      </w:pPr>
      <w:r>
        <w:t xml:space="preserve">Absolute. Fourteen columns exist and are fixed. The sheet is shared — humans also add manual, non-electronic purchase rows to it. AutoBOM writes into the existing sheet — it does</w:t>
      </w:r>
      <w:r>
        <w:t xml:space="preserve"> </w:t>
      </w:r>
      <w:r>
        <w:rPr>
          <w:bCs/>
          <w:b/>
        </w:rPr>
        <w:t xml:space="preserve">not</w:t>
      </w:r>
      <w:r>
        <w:t xml:space="preserve"> </w:t>
      </w:r>
      <w:r>
        <w:t xml:space="preserve">add, remove, or reorder columns, and it writes</w:t>
      </w:r>
      <w:r>
        <w:t xml:space="preserve"> </w:t>
      </w:r>
      <w:r>
        <w:rPr>
          <w:bCs/>
          <w:b/>
        </w:rPr>
        <w:t xml:space="preserve">only</w:t>
      </w:r>
      <w:r>
        <w:t xml:space="preserve"> </w:t>
      </w:r>
      <w:r>
        <w:t xml:space="preserve">its defined columns for the Mouser/DigiKey electronic-component batches.</w:t>
      </w:r>
    </w:p>
    <w:bookmarkEnd w:id="36"/>
    <w:bookmarkStart w:id="37" w:name="column-write-behavior"/>
    <w:p>
      <w:pPr>
        <w:pStyle w:val="Heading3"/>
      </w:pPr>
      <w:r>
        <w:t xml:space="preserve">4.2 Column write behavior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Column</w:t>
            </w:r>
          </w:p>
        </w:tc>
        <w:tc>
          <w:tcPr/>
          <w:p>
            <w:pPr>
              <w:pStyle w:val="Compact"/>
              <w:jc w:val="left"/>
            </w:pPr>
            <w:r>
              <w:t xml:space="preserve">AutoBOM writes at flush</w:t>
            </w:r>
          </w:p>
        </w:tc>
        <w:tc>
          <w:tcPr/>
          <w:p>
            <w:pPr>
              <w:pStyle w:val="Compact"/>
              <w:jc w:val="left"/>
            </w:pPr>
            <w:r>
              <w:t xml:space="preserve">Post-write</w:t>
            </w:r>
          </w:p>
        </w:tc>
      </w:tr>
      <w:tr>
        <w:tc>
          <w:tcPr/>
          <w:p>
            <w:pPr>
              <w:pStyle w:val="Compact"/>
              <w:jc w:val="left"/>
            </w:pPr>
            <w:r>
              <w:t xml:space="preserve">1</w:t>
            </w:r>
          </w:p>
        </w:tc>
        <w:tc>
          <w:tcPr/>
          <w:p>
            <w:pPr>
              <w:pStyle w:val="Compact"/>
              <w:jc w:val="left"/>
            </w:pPr>
            <w:r>
              <w:t xml:space="preserve">Date</w:t>
            </w:r>
          </w:p>
        </w:tc>
        <w:tc>
          <w:tcPr/>
          <w:p>
            <w:pPr>
              <w:pStyle w:val="Compact"/>
              <w:jc w:val="left"/>
            </w:pPr>
            <w:r>
              <w:t xml:space="preserve">Date/time the row is written (write timestamp)</w:t>
            </w:r>
          </w:p>
        </w:tc>
        <w:tc>
          <w:tcPr/>
          <w:p>
            <w:pPr>
              <w:pStyle w:val="Compact"/>
              <w:jc w:val="left"/>
            </w:pPr>
            <w:r>
              <w:t xml:space="preserve">Buyer-managed</w:t>
            </w:r>
          </w:p>
        </w:tc>
      </w:tr>
      <w:tr>
        <w:tc>
          <w:tcPr/>
          <w:p>
            <w:pPr>
              <w:pStyle w:val="Compact"/>
              <w:jc w:val="left"/>
            </w:pPr>
            <w:r>
              <w:t xml:space="preserve">2</w:t>
            </w:r>
          </w:p>
        </w:tc>
        <w:tc>
          <w:tcPr/>
          <w:p>
            <w:pPr>
              <w:pStyle w:val="Compact"/>
              <w:jc w:val="left"/>
            </w:pPr>
            <w:r>
              <w:t xml:space="preserve">Project</w:t>
            </w:r>
          </w:p>
        </w:tc>
        <w:tc>
          <w:tcPr/>
          <w:p>
            <w:pPr>
              <w:pStyle w:val="Compact"/>
              <w:jc w:val="left"/>
            </w:pPr>
            <w:r>
              <w:rPr>
                <w:rStyle w:val="VerbatimChar"/>
              </w:rPr>
              <w:t xml:space="preserve">Other</w:t>
            </w:r>
            <w:r>
              <w:t xml:space="preserve"> </w:t>
            </w:r>
            <w:r>
              <w:t xml:space="preserve">(fixed default)</w:t>
            </w:r>
          </w:p>
        </w:tc>
        <w:tc>
          <w:tcPr/>
          <w:p>
            <w:pPr>
              <w:pStyle w:val="Compact"/>
              <w:jc w:val="left"/>
            </w:pPr>
            <w:r>
              <w:t xml:space="preserve">Buyer may override</w:t>
            </w:r>
          </w:p>
        </w:tc>
      </w:tr>
      <w:tr>
        <w:tc>
          <w:tcPr/>
          <w:p>
            <w:pPr>
              <w:pStyle w:val="Compact"/>
              <w:jc w:val="left"/>
            </w:pPr>
            <w:r>
              <w:t xml:space="preserve">3</w:t>
            </w:r>
          </w:p>
        </w:tc>
        <w:tc>
          <w:tcPr/>
          <w:p>
            <w:pPr>
              <w:pStyle w:val="Compact"/>
              <w:jc w:val="left"/>
            </w:pPr>
            <w:r>
              <w:t xml:space="preserve">Vendor</w:t>
            </w:r>
          </w:p>
        </w:tc>
        <w:tc>
          <w:tcPr/>
          <w:p>
            <w:pPr>
              <w:pStyle w:val="Compact"/>
              <w:jc w:val="left"/>
            </w:pPr>
            <w:r>
              <w:t xml:space="preserve">Supplier name —</w:t>
            </w:r>
            <w:r>
              <w:t xml:space="preserve"> </w:t>
            </w:r>
            <w:r>
              <w:rPr>
                <w:rStyle w:val="VerbatimChar"/>
              </w:rPr>
              <w:t xml:space="preserve">Mouser</w:t>
            </w:r>
            <w:r>
              <w:t xml:space="preserve"> </w:t>
            </w:r>
            <w:r>
              <w:t xml:space="preserve">or</w:t>
            </w:r>
            <w:r>
              <w:t xml:space="preserve"> </w:t>
            </w:r>
            <w:r>
              <w:rPr>
                <w:rStyle w:val="VerbatimChar"/>
              </w:rPr>
              <w:t xml:space="preserve">DigiKey</w:t>
            </w:r>
          </w:p>
        </w:tc>
        <w:tc>
          <w:tcPr/>
          <w:p>
            <w:pPr>
              <w:pStyle w:val="Compact"/>
              <w:jc w:val="left"/>
            </w:pPr>
            <w:r>
              <w:t xml:space="preserve">Buyer-managed</w:t>
            </w:r>
          </w:p>
        </w:tc>
      </w:tr>
      <w:tr>
        <w:tc>
          <w:tcPr/>
          <w:p>
            <w:pPr>
              <w:pStyle w:val="Compact"/>
              <w:jc w:val="left"/>
            </w:pPr>
            <w:r>
              <w:t xml:space="preserve">4</w:t>
            </w:r>
          </w:p>
        </w:tc>
        <w:tc>
          <w:tcPr/>
          <w:p>
            <w:pPr>
              <w:pStyle w:val="Compact"/>
              <w:jc w:val="left"/>
            </w:pPr>
            <w:r>
              <w:t xml:space="preserve">Item</w:t>
            </w:r>
          </w:p>
        </w:tc>
        <w:tc>
          <w:tcPr/>
          <w:p>
            <w:pPr>
              <w:pStyle w:val="Compact"/>
              <w:jc w:val="left"/>
            </w:pPr>
            <w:r>
              <w:t xml:space="preserve">Category label —</w:t>
            </w:r>
            <w:r>
              <w:t xml:space="preserve"> </w:t>
            </w:r>
            <w:r>
              <w:rPr>
                <w:rStyle w:val="VerbatimChar"/>
              </w:rPr>
              <w:t xml:space="preserve">Mouser Components</w:t>
            </w:r>
            <w:r>
              <w:t xml:space="preserve"> </w:t>
            </w:r>
            <w:r>
              <w:t xml:space="preserve">or</w:t>
            </w:r>
            <w:r>
              <w:t xml:space="preserve"> </w:t>
            </w:r>
            <w:r>
              <w:rPr>
                <w:rStyle w:val="VerbatimChar"/>
              </w:rPr>
              <w:t xml:space="preserve">DigiKey Components</w:t>
            </w:r>
          </w:p>
        </w:tc>
        <w:tc>
          <w:tcPr/>
          <w:p>
            <w:pPr>
              <w:pStyle w:val="Compact"/>
              <w:jc w:val="left"/>
            </w:pPr>
            <w:r>
              <w:t xml:space="preserve">Buyer-managed</w:t>
            </w:r>
          </w:p>
        </w:tc>
      </w:tr>
      <w:tr>
        <w:tc>
          <w:tcPr/>
          <w:p>
            <w:pPr>
              <w:pStyle w:val="Compact"/>
              <w:jc w:val="left"/>
            </w:pPr>
            <w:r>
              <w:t xml:space="preserve">5</w:t>
            </w:r>
          </w:p>
        </w:tc>
        <w:tc>
          <w:tcPr/>
          <w:p>
            <w:pPr>
              <w:pStyle w:val="Compact"/>
              <w:jc w:val="left"/>
            </w:pPr>
            <w:r>
              <w:t xml:space="preserve">Need</w:t>
            </w:r>
          </w:p>
        </w:tc>
        <w:tc>
          <w:tcPr/>
          <w:p>
            <w:pPr>
              <w:pStyle w:val="Compact"/>
              <w:jc w:val="left"/>
            </w:pPr>
            <w:r>
              <w:rPr>
                <w:rStyle w:val="VerbatimChar"/>
              </w:rPr>
              <w:t xml:space="preserve">Component Purchasing</w:t>
            </w:r>
            <w:r>
              <w:t xml:space="preserve"> </w:t>
            </w:r>
            <w:r>
              <w:t xml:space="preserve">(fixed default; Request note overrides)</w:t>
            </w:r>
          </w:p>
        </w:tc>
        <w:tc>
          <w:tcPr/>
          <w:p>
            <w:pPr>
              <w:pStyle w:val="Compact"/>
              <w:jc w:val="left"/>
            </w:pPr>
            <w:r>
              <w:t xml:space="preserve">Buyer may override</w:t>
            </w:r>
          </w:p>
        </w:tc>
      </w:tr>
      <w:tr>
        <w:tc>
          <w:tcPr/>
          <w:p>
            <w:pPr>
              <w:pStyle w:val="Compact"/>
              <w:jc w:val="left"/>
            </w:pPr>
            <w:r>
              <w:t xml:space="preserve">6</w:t>
            </w:r>
          </w:p>
        </w:tc>
        <w:tc>
          <w:tcPr/>
          <w:p>
            <w:pPr>
              <w:pStyle w:val="Compact"/>
              <w:jc w:val="left"/>
            </w:pPr>
            <w:r>
              <w:t xml:space="preserve">Unit Price</w:t>
            </w:r>
          </w:p>
        </w:tc>
        <w:tc>
          <w:tcPr/>
          <w:p>
            <w:pPr>
              <w:pStyle w:val="Compact"/>
              <w:jc w:val="left"/>
            </w:pPr>
            <w:r>
              <w:t xml:space="preserve">Cart total (cost of the cart)</w:t>
            </w:r>
          </w:p>
        </w:tc>
        <w:tc>
          <w:tcPr/>
          <w:p>
            <w:pPr>
              <w:pStyle w:val="Compact"/>
              <w:jc w:val="left"/>
            </w:pPr>
            <w:r>
              <w:t xml:space="preserve">Buyer may override</w:t>
            </w:r>
          </w:p>
        </w:tc>
      </w:tr>
      <w:tr>
        <w:tc>
          <w:tcPr/>
          <w:p>
            <w:pPr>
              <w:pStyle w:val="Compact"/>
              <w:jc w:val="left"/>
            </w:pPr>
            <w:r>
              <w:t xml:space="preserve">7</w:t>
            </w:r>
          </w:p>
        </w:tc>
        <w:tc>
          <w:tcPr/>
          <w:p>
            <w:pPr>
              <w:pStyle w:val="Compact"/>
              <w:jc w:val="left"/>
            </w:pPr>
            <w:r>
              <w:t xml:space="preserve">Quantity</w:t>
            </w:r>
          </w:p>
        </w:tc>
        <w:tc>
          <w:tcPr/>
          <w:p>
            <w:pPr>
              <w:pStyle w:val="Compact"/>
              <w:jc w:val="left"/>
            </w:pPr>
            <w:r>
              <w:rPr>
                <w:rStyle w:val="VerbatimChar"/>
              </w:rPr>
              <w:t xml:space="preserve">1</w:t>
            </w:r>
            <w:r>
              <w:t xml:space="preserve"> </w:t>
            </w:r>
            <w:r>
              <w:t xml:space="preserve">— one copy of the cart</w:t>
            </w:r>
          </w:p>
        </w:tc>
        <w:tc>
          <w:tcPr/>
          <w:p>
            <w:pPr>
              <w:pStyle w:val="Compact"/>
              <w:jc w:val="left"/>
            </w:pPr>
            <w:r>
              <w:t xml:space="preserve">Buyer may override</w:t>
            </w:r>
          </w:p>
        </w:tc>
      </w:tr>
      <w:tr>
        <w:tc>
          <w:tcPr/>
          <w:p>
            <w:pPr>
              <w:pStyle w:val="Compact"/>
              <w:jc w:val="left"/>
            </w:pPr>
            <w:r>
              <w:t xml:space="preserve">8</w:t>
            </w:r>
          </w:p>
        </w:tc>
        <w:tc>
          <w:tcPr/>
          <w:p>
            <w:pPr>
              <w:pStyle w:val="Compact"/>
              <w:jc w:val="left"/>
            </w:pPr>
            <w:r>
              <w:t xml:space="preserve">Total Cost</w:t>
            </w:r>
          </w:p>
        </w:tc>
        <w:tc>
          <w:tcPr/>
          <w:p>
            <w:pPr>
              <w:pStyle w:val="Compact"/>
              <w:jc w:val="left"/>
            </w:pPr>
            <w:r>
              <w:t xml:space="preserve">Unit Price × Quantity (numeric, no currency symbol)</w:t>
            </w:r>
          </w:p>
        </w:tc>
        <w:tc>
          <w:tcPr/>
          <w:p>
            <w:pPr>
              <w:pStyle w:val="Compact"/>
              <w:jc w:val="left"/>
            </w:pPr>
            <w:r>
              <w:t xml:space="preserve">Buyer may override</w:t>
            </w:r>
          </w:p>
        </w:tc>
      </w:tr>
      <w:tr>
        <w:tc>
          <w:tcPr/>
          <w:p>
            <w:pPr>
              <w:pStyle w:val="Compact"/>
              <w:jc w:val="left"/>
            </w:pPr>
            <w:r>
              <w:t xml:space="preserve">9</w:t>
            </w:r>
          </w:p>
        </w:tc>
        <w:tc>
          <w:tcPr/>
          <w:p>
            <w:pPr>
              <w:pStyle w:val="Compact"/>
              <w:jc w:val="left"/>
            </w:pPr>
            <w:r>
              <w:t xml:space="preserve">Link to Product</w:t>
            </w:r>
          </w:p>
        </w:tc>
        <w:tc>
          <w:tcPr/>
          <w:p>
            <w:pPr>
              <w:pStyle w:val="Compact"/>
              <w:jc w:val="left"/>
            </w:pPr>
            <w:r>
              <w:t xml:space="preserve">Supplier cart</w:t>
            </w:r>
            <w:r>
              <w:t xml:space="preserve"> </w:t>
            </w:r>
            <w:r>
              <w:rPr>
                <w:bCs/>
                <w:b/>
              </w:rPr>
              <w:t xml:space="preserve">share link</w:t>
            </w:r>
            <w:r>
              <w:t xml:space="preserve"> </w:t>
            </w:r>
            <w:r>
              <w:t xml:space="preserve">(Mouser cart URL / DigiKey list URL)</w:t>
            </w:r>
          </w:p>
        </w:tc>
        <w:tc>
          <w:tcPr/>
          <w:p>
            <w:pPr>
              <w:pStyle w:val="Compact"/>
              <w:jc w:val="left"/>
            </w:pPr>
            <w:r>
              <w:t xml:space="preserve">Buyer clicks to purchase</w:t>
            </w:r>
          </w:p>
        </w:tc>
      </w:tr>
      <w:tr>
        <w:tc>
          <w:tcPr/>
          <w:p>
            <w:pPr>
              <w:pStyle w:val="Compact"/>
              <w:jc w:val="left"/>
            </w:pPr>
            <w:r>
              <w:t xml:space="preserve">10</w:t>
            </w:r>
          </w:p>
        </w:tc>
        <w:tc>
          <w:tcPr/>
          <w:p>
            <w:pPr>
              <w:pStyle w:val="Compact"/>
              <w:jc w:val="left"/>
            </w:pPr>
            <w:r>
              <w:t xml:space="preserve">Urgency</w:t>
            </w:r>
          </w:p>
        </w:tc>
        <w:tc>
          <w:tcPr/>
          <w:p>
            <w:pPr>
              <w:pStyle w:val="Compact"/>
              <w:jc w:val="left"/>
            </w:pPr>
            <w:r>
              <w:rPr>
                <w:rStyle w:val="VerbatimChar"/>
              </w:rPr>
              <w:t xml:space="preserve">Next Day</w:t>
            </w:r>
            <w:r>
              <w:t xml:space="preserve"> </w:t>
            </w:r>
            <w:r>
              <w:t xml:space="preserve">(Critical) or</w:t>
            </w:r>
            <w:r>
              <w:t xml:space="preserve"> </w:t>
            </w:r>
            <w:r>
              <w:rPr>
                <w:rStyle w:val="VerbatimChar"/>
              </w:rPr>
              <w:t xml:space="preserve">2-Day</w:t>
            </w:r>
            <w:r>
              <w:t xml:space="preserve"> </w:t>
            </w:r>
            <w:r>
              <w:t xml:space="preserve">(Main) — set by the AutoBOM user’s Critical toggle; never anything else</w:t>
            </w:r>
          </w:p>
        </w:tc>
        <w:tc>
          <w:tcPr/>
          <w:p>
            <w:pPr>
              <w:pStyle w:val="Compact"/>
              <w:jc w:val="left"/>
            </w:pPr>
            <w:r>
              <w:t xml:space="preserve">Fixed at submission</w:t>
            </w:r>
          </w:p>
        </w:tc>
      </w:tr>
      <w:tr>
        <w:tc>
          <w:tcPr/>
          <w:p>
            <w:pPr>
              <w:pStyle w:val="Compact"/>
              <w:jc w:val="left"/>
            </w:pPr>
            <w:r>
              <w:t xml:space="preserve">11</w:t>
            </w:r>
          </w:p>
        </w:tc>
        <w:tc>
          <w:tcPr/>
          <w:p>
            <w:pPr>
              <w:pStyle w:val="Compact"/>
              <w:jc w:val="left"/>
            </w:pPr>
            <w:r>
              <w:t xml:space="preserve">Requestor</w:t>
            </w:r>
          </w:p>
        </w:tc>
        <w:tc>
          <w:tcPr/>
          <w:p>
            <w:pPr>
              <w:pStyle w:val="Compact"/>
              <w:jc w:val="left"/>
            </w:pPr>
            <w:r>
              <w:rPr>
                <w:rStyle w:val="VerbatimChar"/>
              </w:rPr>
              <w:t xml:space="preserve">Aaron Jones</w:t>
            </w:r>
            <w:r>
              <w:t xml:space="preserve"> </w:t>
            </w:r>
            <w:r>
              <w:t xml:space="preserve">(default for now)</w:t>
            </w:r>
          </w:p>
        </w:tc>
        <w:tc>
          <w:tcPr/>
          <w:p>
            <w:pPr>
              <w:pStyle w:val="Compact"/>
              <w:jc w:val="left"/>
            </w:pPr>
            <w:r>
              <w:t xml:space="preserve">Buyer may override</w:t>
            </w:r>
          </w:p>
        </w:tc>
      </w:tr>
      <w:tr>
        <w:tc>
          <w:tcPr/>
          <w:p>
            <w:pPr>
              <w:pStyle w:val="Compact"/>
              <w:jc w:val="left"/>
            </w:pPr>
            <w:r>
              <w:t xml:space="preserve">12</w:t>
            </w:r>
          </w:p>
        </w:tc>
        <w:tc>
          <w:tcPr/>
          <w:p>
            <w:pPr>
              <w:pStyle w:val="Compact"/>
              <w:jc w:val="left"/>
            </w:pPr>
            <w:r>
              <w:t xml:space="preserve">Status</w:t>
            </w:r>
          </w:p>
        </w:tc>
        <w:tc>
          <w:tcPr/>
          <w:p>
            <w:pPr>
              <w:pStyle w:val="Compact"/>
              <w:jc w:val="left"/>
            </w:pPr>
            <w:r>
              <w:rPr>
                <w:bCs/>
                <w:b/>
              </w:rPr>
              <w:t xml:space="preserve">Blank</w:t>
            </w:r>
          </w:p>
        </w:tc>
        <w:tc>
          <w:tcPr/>
          <w:p>
            <w:pPr>
              <w:pStyle w:val="Compact"/>
              <w:jc w:val="left"/>
            </w:pPr>
            <w:r>
              <w:t xml:space="preserve">Buyer-managed (</w:t>
            </w:r>
            <w:r>
              <w:rPr>
                <w:rStyle w:val="VerbatimChar"/>
              </w:rPr>
              <w:t xml:space="preserve">Needs to be Purchased</w:t>
            </w:r>
            <w:r>
              <w:t xml:space="preserve"> </w:t>
            </w:r>
            <w:r>
              <w:t xml:space="preserve">→</w:t>
            </w:r>
            <w:r>
              <w:t xml:space="preserve"> </w:t>
            </w:r>
            <w:r>
              <w:rPr>
                <w:rStyle w:val="VerbatimChar"/>
              </w:rPr>
              <w:t xml:space="preserve">Purchased</w:t>
            </w:r>
            <w:r>
              <w:t xml:space="preserve"> </w:t>
            </w:r>
            <w:r>
              <w:t xml:space="preserve">/</w:t>
            </w:r>
            <w:r>
              <w:t xml:space="preserve"> </w:t>
            </w:r>
            <w:r>
              <w:rPr>
                <w:rStyle w:val="VerbatimChar"/>
              </w:rPr>
              <w:t xml:space="preserve">Processed</w:t>
            </w:r>
            <w:r>
              <w:t xml:space="preserve">)</w:t>
            </w:r>
          </w:p>
        </w:tc>
      </w:tr>
      <w:tr>
        <w:tc>
          <w:tcPr/>
          <w:p>
            <w:pPr>
              <w:pStyle w:val="Compact"/>
              <w:jc w:val="left"/>
            </w:pPr>
            <w:r>
              <w:t xml:space="preserve">13</w:t>
            </w:r>
          </w:p>
        </w:tc>
        <w:tc>
          <w:tcPr/>
          <w:p>
            <w:pPr>
              <w:pStyle w:val="Compact"/>
              <w:jc w:val="left"/>
            </w:pPr>
            <w:r>
              <w:t xml:space="preserve">Purchase Date</w:t>
            </w:r>
          </w:p>
        </w:tc>
        <w:tc>
          <w:tcPr/>
          <w:p>
            <w:pPr>
              <w:pStyle w:val="Compact"/>
              <w:jc w:val="left"/>
            </w:pPr>
            <w:r>
              <w:rPr>
                <w:bCs/>
                <w:b/>
              </w:rPr>
              <w:t xml:space="preserve">Blank</w:t>
            </w:r>
          </w:p>
        </w:tc>
        <w:tc>
          <w:tcPr/>
          <w:p>
            <w:pPr>
              <w:pStyle w:val="Compact"/>
              <w:jc w:val="left"/>
            </w:pPr>
            <w:r>
              <w:t xml:space="preserve">Filled when the order is placed</w:t>
            </w:r>
          </w:p>
        </w:tc>
      </w:tr>
      <w:tr>
        <w:tc>
          <w:tcPr/>
          <w:p>
            <w:pPr>
              <w:pStyle w:val="Compact"/>
              <w:jc w:val="left"/>
            </w:pPr>
            <w:r>
              <w:t xml:space="preserve">14</w:t>
            </w:r>
          </w:p>
        </w:tc>
        <w:tc>
          <w:tcPr/>
          <w:p>
            <w:pPr>
              <w:pStyle w:val="Compact"/>
              <w:jc w:val="left"/>
            </w:pPr>
            <w:r>
              <w:t xml:space="preserve">Long Link (alternative)</w:t>
            </w:r>
          </w:p>
        </w:tc>
        <w:tc>
          <w:tcPr/>
          <w:p>
            <w:pPr>
              <w:pStyle w:val="Compact"/>
              <w:jc w:val="left"/>
            </w:pPr>
            <w:r>
              <w:rPr>
                <w:bCs/>
                <w:b/>
              </w:rPr>
              <w:t xml:space="preserve">Blank</w:t>
            </w:r>
          </w:p>
        </w:tc>
        <w:tc>
          <w:tcPr/>
          <w:p>
            <w:pPr>
              <w:pStyle w:val="Compact"/>
              <w:jc w:val="left"/>
            </w:pPr>
            <w:r>
              <w:t xml:space="preserve">Buyer-managed (backup / full URL)</w:t>
            </w:r>
          </w:p>
        </w:tc>
      </w:tr>
    </w:tbl>
    <w:p>
      <w:pPr>
        <w:pStyle w:val="BodyText"/>
      </w:pPr>
      <w:r>
        <w:rPr>
          <w:bCs/>
          <w:b/>
        </w:rPr>
        <w:t xml:space="preserve">Required fields:</w:t>
      </w:r>
      <w:r>
        <w:t xml:space="preserve"> </w:t>
      </w:r>
      <w:r>
        <w:t xml:space="preserve">the sheet’s add-item form marks Date, Project, Vendor, Need, Unit Price, Quantity, Link to Product, Urgency, and Requestor as required. The defaults above guarantee every required field is populated on each write, so the Graph append never fails validation. (Total Cost, Status, Purchase Date, and Long Link are not required.)</w:t>
      </w:r>
    </w:p>
    <w:bookmarkEnd w:id="37"/>
    <w:bookmarkStart w:id="38" w:name="row-structure-version-a-locked"/>
    <w:p>
      <w:pPr>
        <w:pStyle w:val="Heading3"/>
      </w:pPr>
      <w:r>
        <w:t xml:space="preserve">4.3 Row structure — Version A (locked)</w:t>
      </w:r>
    </w:p>
    <w:p>
      <w:pPr>
        <w:pStyle w:val="FirstParagraph"/>
      </w:pPr>
      <w:r>
        <w:rPr>
          <w:bCs/>
          <w:b/>
        </w:rPr>
        <w:t xml:space="preserve">One row per supplier per batch.</w:t>
      </w:r>
      <w:r>
        <w:t xml:space="preserve"> </w:t>
      </w:r>
      <w:r>
        <w:t xml:space="preserve">If a batch has 10 Mouser items and 4 DigiKey items → 2 rows: one</w:t>
      </w:r>
      <w:r>
        <w:t xml:space="preserve"> </w:t>
      </w:r>
      <w:r>
        <w:rPr>
          <w:rStyle w:val="VerbatimChar"/>
        </w:rPr>
        <w:t xml:space="preserve">Mouser Components</w:t>
      </w:r>
      <w:r>
        <w:t xml:space="preserve"> </w:t>
      </w:r>
      <w:r>
        <w:t xml:space="preserve">row with the Mouser cart URL, one</w:t>
      </w:r>
      <w:r>
        <w:t xml:space="preserve"> </w:t>
      </w:r>
      <w:r>
        <w:rPr>
          <w:rStyle w:val="VerbatimChar"/>
        </w:rPr>
        <w:t xml:space="preserve">DigiKey Components</w:t>
      </w:r>
      <w:r>
        <w:t xml:space="preserve"> </w:t>
      </w:r>
      <w:r>
        <w:t xml:space="preserve">row with the DigiKey list URL. Per-part detail lives inside the supplier’s own cart UI. AutoBOM does not decompose the batch into per-part rows on the sheet.</w:t>
      </w:r>
    </w:p>
    <w:bookmarkEnd w:id="38"/>
    <w:bookmarkStart w:id="39" w:name="X2865cf9f222209cb0549ccf9f36ee2986d1ad61"/>
    <w:p>
      <w:pPr>
        <w:pStyle w:val="Heading3"/>
      </w:pPr>
      <w:r>
        <w:t xml:space="preserve">4.4 Append-only, write-once (hard rule — program this in)</w:t>
      </w:r>
    </w:p>
    <w:p>
      <w:pPr>
        <w:pStyle w:val="FirstParagraph"/>
      </w:pPr>
      <w:r>
        <w:t xml:space="preserve">AutoBOM’s</w:t>
      </w:r>
      <w:r>
        <w:t xml:space="preserve"> </w:t>
      </w:r>
      <w:r>
        <w:rPr>
          <w:bCs/>
          <w:b/>
        </w:rPr>
        <w:t xml:space="preserve">only</w:t>
      </w:r>
      <w:r>
        <w:t xml:space="preserve"> </w:t>
      </w:r>
      <w:r>
        <w:t xml:space="preserve">sheet operation is appending a new row.</w:t>
      </w:r>
      <w:r>
        <w:t xml:space="preserve"> </w:t>
      </w:r>
      <w:r>
        <w:t xml:space="preserve">- It MUST NOT edit, overwrite, reorder, clear, or delete any existing row or cell — including rows AutoBOM wrote in earlier batches and rows people added by hand. Use only the Graph row-append call; never a delete, clear, or update call.</w:t>
      </w:r>
      <w:r>
        <w:t xml:space="preserve"> </w:t>
      </w:r>
      <w:r>
        <w:t xml:space="preserve">-</w:t>
      </w:r>
      <w:r>
        <w:t xml:space="preserve"> </w:t>
      </w:r>
      <w:r>
        <w:rPr>
          <w:bCs/>
          <w:b/>
        </w:rPr>
        <w:t xml:space="preserve">Write-once.</w:t>
      </w:r>
      <w:r>
        <w:t xml:space="preserve"> </w:t>
      </w:r>
      <w:r>
        <w:t xml:space="preserve">Each bucket entry is written to the sheet exactly one time. Guard on</w:t>
      </w:r>
      <w:r>
        <w:t xml:space="preserve"> </w:t>
      </w:r>
      <w:r>
        <w:rPr>
          <w:rStyle w:val="VerbatimChar"/>
        </w:rPr>
        <w:t xml:space="preserve">bucketState</w:t>
      </w:r>
      <w:r>
        <w:t xml:space="preserve"> </w:t>
      </w:r>
      <w:r>
        <w:t xml:space="preserve">— an entry already</w:t>
      </w:r>
      <w:r>
        <w:t xml:space="preserve"> </w:t>
      </w:r>
      <w:r>
        <w:rPr>
          <w:rStyle w:val="VerbatimChar"/>
        </w:rPr>
        <w:t xml:space="preserve">WRITTEN</w:t>
      </w:r>
      <w:r>
        <w:t xml:space="preserve"> </w:t>
      </w:r>
      <w:r>
        <w:t xml:space="preserve">is never re-written, updated, or re-flushed, and no duplicate row is ever created for the same entry.</w:t>
      </w:r>
      <w:r>
        <w:t xml:space="preserve"> </w:t>
      </w:r>
      <w:r>
        <w:t xml:space="preserve">-</w:t>
      </w:r>
      <w:r>
        <w:t xml:space="preserve"> </w:t>
      </w:r>
      <w:r>
        <w:rPr>
          <w:bCs/>
          <w:b/>
        </w:rPr>
        <w:t xml:space="preserve">No empty rows.</w:t>
      </w:r>
      <w:r>
        <w:t xml:space="preserve"> </w:t>
      </w:r>
      <w:r>
        <w:t xml:space="preserve">Never append a row for a cart with no items / no content. Skip empty carts entirely — do not create blank or placeholder rows. A row is written only when it carries real data (a real cart with a share link and a cost).</w:t>
      </w:r>
    </w:p>
    <w:bookmarkEnd w:id="39"/>
    <w:bookmarkStart w:id="40" w:name="sheet-write-is-one-way"/>
    <w:p>
      <w:pPr>
        <w:pStyle w:val="Heading3"/>
      </w:pPr>
      <w:r>
        <w:t xml:space="preserve">4.5 Sheet-write is one-way</w:t>
      </w:r>
    </w:p>
    <w:p>
      <w:pPr>
        <w:numPr>
          <w:ilvl w:val="0"/>
          <w:numId w:val="1009"/>
        </w:numPr>
        <w:pStyle w:val="Compact"/>
      </w:pPr>
      <w:r>
        <w:t xml:space="preserve">AutoBOM writes at flush.</w:t>
      </w:r>
    </w:p>
    <w:p>
      <w:pPr>
        <w:numPr>
          <w:ilvl w:val="0"/>
          <w:numId w:val="1009"/>
        </w:numPr>
        <w:pStyle w:val="Compact"/>
      </w:pPr>
      <w:r>
        <w:t xml:space="preserve">AutoBOM does not read the sheet after write.</w:t>
      </w:r>
    </w:p>
    <w:p>
      <w:pPr>
        <w:numPr>
          <w:ilvl w:val="0"/>
          <w:numId w:val="1009"/>
        </w:numPr>
        <w:pStyle w:val="Compact"/>
      </w:pPr>
      <w:r>
        <w:t xml:space="preserve">AutoBOM does not respond to sheet edits — manual entries in Project / Requestor / Status / Purchase Date / Long Link columns do not flow back into AutoBOM.</w:t>
      </w:r>
    </w:p>
    <w:p>
      <w:pPr>
        <w:numPr>
          <w:ilvl w:val="0"/>
          <w:numId w:val="1009"/>
        </w:numPr>
        <w:pStyle w:val="Compact"/>
      </w:pPr>
      <w:r>
        <w:t xml:space="preserve">Fulfillment tracking lives in AutoBOM’s internal per-CPN state (CPN issuance table + archive view), not in the sheet.</w:t>
      </w:r>
    </w:p>
    <w:bookmarkEnd w:id="40"/>
    <w:bookmarkStart w:id="41" w:name="quantity1-rationale"/>
    <w:p>
      <w:pPr>
        <w:pStyle w:val="Heading3"/>
      </w:pPr>
      <w:r>
        <w:t xml:space="preserve">4.6 Quantity=1 rationale</w:t>
      </w:r>
    </w:p>
    <w:p>
      <w:pPr>
        <w:pStyle w:val="FirstParagraph"/>
      </w:pPr>
      <w:r>
        <w:t xml:space="preserve">The sourcing engine’s build-allocation logic (preserved from the POC) computes per-part order quantities factoring in build multiplication (requester specifies build count at Request time), supplier MOQs, and price breaks. The cart already contains the correct total quantities for the intended production run. Sheet Quantity=1 represents</w:t>
      </w:r>
      <w:r>
        <w:t xml:space="preserve"> </w:t>
      </w:r>
      <w:r>
        <w:t xml:space="preserve">“</w:t>
      </w:r>
      <w:r>
        <w:t xml:space="preserve">one copy of this correctly-sized cart</w:t>
      </w:r>
      <w:r>
        <w:t xml:space="preserve">”</w:t>
      </w:r>
      <w:r>
        <w:t xml:space="preserve"> </w:t>
      </w:r>
      <w:r>
        <w:t xml:space="preserve">— the buyer does not multiply the sheet quantity. Total Cost therefore equals the cart total (Unit Price × 1).</w:t>
      </w:r>
    </w:p>
    <w:bookmarkEnd w:id="41"/>
    <w:bookmarkStart w:id="42" w:name="X2d7d846bb0a833e25ee26e5e1a051683b115a4c"/>
    <w:p>
      <w:pPr>
        <w:pStyle w:val="Heading3"/>
      </w:pPr>
      <w:r>
        <w:t xml:space="preserve">4.7 Microsoft Graph sheet integration (SharePoint / OneDrive in Teams)</w:t>
      </w:r>
    </w:p>
    <w:p>
      <w:pPr>
        <w:pStyle w:val="FirstParagraph"/>
      </w:pPr>
      <w:r>
        <w:t xml:space="preserve">The Daily Purchasing List is an Excel workbook living in the SharePoint / OneDrive document library behind a Microsoft Teams team. AutoBOM writes to it</w:t>
      </w:r>
      <w:r>
        <w:t xml:space="preserve"> </w:t>
      </w:r>
      <w:r>
        <w:rPr>
          <w:bCs/>
          <w:b/>
        </w:rPr>
        <w:t xml:space="preserve">only</w:t>
      </w:r>
      <w:r>
        <w:t xml:space="preserve"> </w:t>
      </w:r>
      <w:r>
        <w:t xml:space="preserve">through the Microsoft Graph API. Build the writer so that when credentials arrive it plugs in with no code change (graceful-fallback pattern from</w:t>
      </w:r>
      <w:r>
        <w:t xml:space="preserve"> </w:t>
      </w:r>
      <w:r>
        <w:rPr>
          <w:rStyle w:val="VerbatimChar"/>
        </w:rPr>
        <w:t xml:space="preserve">AutoBOM_Deployment_Readiness.md</w:t>
      </w:r>
      <w:r>
        <w:t xml:space="preserve">).</w:t>
      </w:r>
    </w:p>
    <w:p>
      <w:pPr>
        <w:numPr>
          <w:ilvl w:val="0"/>
          <w:numId w:val="1010"/>
        </w:numPr>
        <w:pStyle w:val="Compact"/>
      </w:pPr>
      <w:r>
        <w:rPr>
          <w:bCs/>
          <w:b/>
        </w:rPr>
        <w:t xml:space="preserve">Credentials (</w:t>
      </w:r>
      <w:r>
        <w:rPr>
          <w:rStyle w:val="VerbatimChar"/>
          <w:bCs/>
          <w:b/>
        </w:rPr>
        <w:t xml:space="preserve">.env</w:t>
      </w:r>
      <w:r>
        <w:rPr>
          <w:bCs/>
          <w:b/>
        </w:rPr>
        <w:t xml:space="preserve">, never hardcode/log):</w:t>
      </w:r>
      <w:r>
        <w:t xml:space="preserve"> </w:t>
      </w:r>
      <w:r>
        <w:rPr>
          <w:rStyle w:val="VerbatimChar"/>
        </w:rPr>
        <w:t xml:space="preserve">MICROSOFT_GRAPH_TENANT_ID</w:t>
      </w:r>
      <w:r>
        <w:t xml:space="preserve">,</w:t>
      </w:r>
      <w:r>
        <w:t xml:space="preserve"> </w:t>
      </w:r>
      <w:r>
        <w:rPr>
          <w:rStyle w:val="VerbatimChar"/>
        </w:rPr>
        <w:t xml:space="preserve">MICROSOFT_GRAPH_CLIENT_ID</w:t>
      </w:r>
      <w:r>
        <w:t xml:space="preserve">,</w:t>
      </w:r>
      <w:r>
        <w:t xml:space="preserve"> </w:t>
      </w:r>
      <w:r>
        <w:rPr>
          <w:rStyle w:val="VerbatimChar"/>
        </w:rPr>
        <w:t xml:space="preserve">MICROSOFT_GRAPH_CLIENT_SECRET</w:t>
      </w:r>
      <w:r>
        <w:t xml:space="preserve">,</w:t>
      </w:r>
      <w:r>
        <w:t xml:space="preserve"> </w:t>
      </w:r>
      <w:r>
        <w:rPr>
          <w:rStyle w:val="VerbatimChar"/>
        </w:rPr>
        <w:t xml:space="preserve">ONEDRIVE_PURCHASING_SHEET_ID</w:t>
      </w:r>
      <w:r>
        <w:t xml:space="preserve"> </w:t>
      </w:r>
      <w:r>
        <w:t xml:space="preserve">(the workbook’s drive-item id). Same Azure AD app registration as SSO.</w:t>
      </w:r>
    </w:p>
    <w:p>
      <w:pPr>
        <w:numPr>
          <w:ilvl w:val="0"/>
          <w:numId w:val="1010"/>
        </w:numPr>
        <w:pStyle w:val="Compact"/>
      </w:pPr>
      <w:r>
        <w:rPr>
          <w:bCs/>
          <w:b/>
        </w:rPr>
        <w:t xml:space="preserve">Auth (app-only / client credentials):</w:t>
      </w:r>
      <w:r>
        <w:t xml:space="preserve"> </w:t>
      </w:r>
      <w:r>
        <w:rPr>
          <w:rStyle w:val="VerbatimChar"/>
        </w:rPr>
        <w:t xml:space="preserve">POST https://login.microsoftonline.com/{tenant}/oauth2/v2.0/token</w:t>
      </w:r>
      <w:r>
        <w:t xml:space="preserve"> </w:t>
      </w:r>
      <w:r>
        <w:t xml:space="preserve">with</w:t>
      </w:r>
      <w:r>
        <w:t xml:space="preserve"> </w:t>
      </w:r>
      <w:r>
        <w:rPr>
          <w:rStyle w:val="VerbatimChar"/>
        </w:rPr>
        <w:t xml:space="preserve">grant_type=client_credentials</w:t>
      </w:r>
      <w:r>
        <w:t xml:space="preserve">,</w:t>
      </w:r>
      <w:r>
        <w:t xml:space="preserve"> </w:t>
      </w:r>
      <w:r>
        <w:rPr>
          <w:rStyle w:val="VerbatimChar"/>
        </w:rPr>
        <w:t xml:space="preserve">scope=https://graph.microsoft.com/.default</w:t>
      </w:r>
      <w:r>
        <w:t xml:space="preserve">. Token ~60 min — cache and refresh. Application permission</w:t>
      </w:r>
      <w:r>
        <w:t xml:space="preserve"> </w:t>
      </w:r>
      <w:r>
        <w:rPr>
          <w:rStyle w:val="VerbatimChar"/>
        </w:rPr>
        <w:t xml:space="preserve">Sites.ReadWrite.All</w:t>
      </w:r>
      <w:r>
        <w:t xml:space="preserve"> </w:t>
      </w:r>
      <w:r>
        <w:t xml:space="preserve">(or</w:t>
      </w:r>
      <w:r>
        <w:t xml:space="preserve"> </w:t>
      </w:r>
      <w:r>
        <w:rPr>
          <w:rStyle w:val="VerbatimChar"/>
        </w:rPr>
        <w:t xml:space="preserve">Files.ReadWrite.All</w:t>
      </w:r>
      <w:r>
        <w:t xml:space="preserve">) with admin consent.</w:t>
      </w:r>
    </w:p>
    <w:p>
      <w:pPr>
        <w:numPr>
          <w:ilvl w:val="0"/>
          <w:numId w:val="1010"/>
        </w:numPr>
        <w:pStyle w:val="Compact"/>
      </w:pPr>
      <w:r>
        <w:rPr>
          <w:bCs/>
          <w:b/>
        </w:rPr>
        <w:t xml:space="preserve">Locate the workbook:</w:t>
      </w:r>
      <w:r>
        <w:t xml:space="preserve"> </w:t>
      </w:r>
      <w:r>
        <w:t xml:space="preserve">by drive-item id —</w:t>
      </w:r>
      <w:r>
        <w:t xml:space="preserve"> </w:t>
      </w:r>
      <w:r>
        <w:rPr>
          <w:rStyle w:val="VerbatimChar"/>
        </w:rPr>
        <w:t xml:space="preserve">/drives/{driveId}/items/{ONEDRIVE_PURCHASING_SHEET_ID}</w:t>
      </w:r>
      <w:r>
        <w:t xml:space="preserve"> </w:t>
      </w:r>
      <w:r>
        <w:t xml:space="preserve">(or</w:t>
      </w:r>
      <w:r>
        <w:t xml:space="preserve"> </w:t>
      </w:r>
      <w:r>
        <w:rPr>
          <w:rStyle w:val="VerbatimChar"/>
        </w:rPr>
        <w:t xml:space="preserve">/sites/{siteId}/drive/items/{itemId}</w:t>
      </w:r>
      <w:r>
        <w:t xml:space="preserve">). The workbook should contain a formatted Table over the 14-column header row (e.g. named</w:t>
      </w:r>
      <w:r>
        <w:t xml:space="preserve"> </w:t>
      </w:r>
      <w:r>
        <w:rPr>
          <w:rStyle w:val="VerbatimChar"/>
        </w:rPr>
        <w:t xml:space="preserve">PurchasingList</w:t>
      </w:r>
      <w:r>
        <w:t xml:space="preserve">).</w:t>
      </w:r>
    </w:p>
    <w:p>
      <w:pPr>
        <w:numPr>
          <w:ilvl w:val="0"/>
          <w:numId w:val="1010"/>
        </w:numPr>
        <w:pStyle w:val="Compact"/>
      </w:pPr>
      <w:r>
        <w:rPr>
          <w:bCs/>
          <w:b/>
        </w:rPr>
        <w:t xml:space="preserve">Append rows:</w:t>
      </w:r>
      <w:r>
        <w:t xml:space="preserve"> </w:t>
      </w:r>
      <w:r>
        <w:rPr>
          <w:rStyle w:val="VerbatimChar"/>
        </w:rPr>
        <w:t xml:space="preserve">POST /drives/{driveId}/items/{itemId}/workbook/tables/{tableName}/rows/add</w:t>
      </w:r>
      <w:r>
        <w:t xml:space="preserve"> </w:t>
      </w:r>
      <w:r>
        <w:t xml:space="preserve">with</w:t>
      </w:r>
      <w:r>
        <w:t xml:space="preserve"> </w:t>
      </w:r>
      <w:r>
        <w:rPr>
          <w:rStyle w:val="VerbatimChar"/>
        </w:rPr>
        <w:t xml:space="preserve">{ "values": [ [ &lt;14 cells in column order&gt; ], ... ] }</w:t>
      </w:r>
      <w:r>
        <w:t xml:space="preserve"> </w:t>
      </w:r>
      <w:r>
        <w:t xml:space="preserve">— one inner array per per-supplier-per-batch row, empty string for human-managed columns. If the sheet has no Table, fall back to a range write targeting the</w:t>
      </w:r>
      <w:r>
        <w:t xml:space="preserve"> </w:t>
      </w:r>
      <w:r>
        <w:rPr>
          <w:bCs/>
          <w:b/>
        </w:rPr>
        <w:t xml:space="preserve">next empty row only, never an existing row</w:t>
      </w:r>
      <w:r>
        <w:t xml:space="preserve">.</w:t>
      </w:r>
    </w:p>
    <w:p>
      <w:pPr>
        <w:numPr>
          <w:ilvl w:val="0"/>
          <w:numId w:val="1010"/>
        </w:numPr>
        <w:pStyle w:val="Compact"/>
      </w:pPr>
      <w:r>
        <w:rPr>
          <w:bCs/>
          <w:b/>
        </w:rPr>
        <w:t xml:space="preserve">Atomic batch write:</w:t>
      </w:r>
      <w:r>
        <w:t xml:space="preserve"> </w:t>
      </w:r>
      <w:r>
        <w:t xml:space="preserve">open a workbook session (</w:t>
      </w:r>
      <w:r>
        <w:rPr>
          <w:rStyle w:val="VerbatimChar"/>
        </w:rPr>
        <w:t xml:space="preserve">POST .../workbook/createSession {"persistChanges": true}</w:t>
      </w:r>
      <w:r>
        <w:t xml:space="preserve">), send the returned id as the</w:t>
      </w:r>
      <w:r>
        <w:t xml:space="preserve"> </w:t>
      </w:r>
      <w:r>
        <w:rPr>
          <w:rStyle w:val="VerbatimChar"/>
        </w:rPr>
        <w:t xml:space="preserve">workbook-session-id</w:t>
      </w:r>
      <w:r>
        <w:t xml:space="preserve"> </w:t>
      </w:r>
      <w:r>
        <w:t xml:space="preserve">header on every write in the batch, then</w:t>
      </w:r>
      <w:r>
        <w:t xml:space="preserve"> </w:t>
      </w:r>
      <w:r>
        <w:rPr>
          <w:rStyle w:val="VerbatimChar"/>
        </w:rPr>
        <w:t xml:space="preserve">POST .../workbook/closeSession</w:t>
      </w:r>
      <w:r>
        <w:t xml:space="preserve">.</w:t>
      </w:r>
    </w:p>
    <w:p>
      <w:pPr>
        <w:numPr>
          <w:ilvl w:val="0"/>
          <w:numId w:val="1010"/>
        </w:numPr>
        <w:pStyle w:val="Compact"/>
      </w:pPr>
      <w:r>
        <w:rPr>
          <w:bCs/>
          <w:b/>
        </w:rPr>
        <w:t xml:space="preserve">Graceful fallback:</w:t>
      </w:r>
      <w:r>
        <w:t xml:space="preserve"> </w:t>
      </w:r>
      <w:r>
        <w:t xml:space="preserve">if the</w:t>
      </w:r>
      <w:r>
        <w:t xml:space="preserve"> </w:t>
      </w:r>
      <w:r>
        <w:rPr>
          <w:rStyle w:val="VerbatimChar"/>
        </w:rPr>
        <w:t xml:space="preserve">MICROSOFT_GRAPH_*</w:t>
      </w:r>
      <w:r>
        <w:t xml:space="preserve"> </w:t>
      </w:r>
      <w:r>
        <w:t xml:space="preserve">/</w:t>
      </w:r>
      <w:r>
        <w:t xml:space="preserve"> </w:t>
      </w:r>
      <w:r>
        <w:rPr>
          <w:rStyle w:val="VerbatimChar"/>
        </w:rPr>
        <w:t xml:space="preserve">ONEDRIVE_PURCHASING_SHEET_ID</w:t>
      </w:r>
      <w:r>
        <w:t xml:space="preserve"> </w:t>
      </w:r>
      <w:r>
        <w:t xml:space="preserve">values are empty/placeholder (local dev), the writer logs the batch rows to console instead of calling Graph. When the values are real (Azure mode), writes go to the live workbook. Same code path, gated on whether the env vars hold real values. Implement in</w:t>
      </w:r>
      <w:r>
        <w:t xml:space="preserve"> </w:t>
      </w:r>
      <w:r>
        <w:rPr>
          <w:rStyle w:val="VerbatimChar"/>
        </w:rPr>
        <w:t xml:space="preserve">backend/integrations/microsoft_graph.py</w:t>
      </w:r>
      <w:r>
        <w:t xml:space="preserve"> </w:t>
      </w:r>
      <w:r>
        <w:t xml:space="preserve">+</w:t>
      </w:r>
      <w:r>
        <w:t xml:space="preserve"> </w:t>
      </w:r>
      <w:r>
        <w:rPr>
          <w:rStyle w:val="VerbatimChar"/>
        </w:rPr>
        <w:t xml:space="preserve">backend/services/purchasing_sheet_writer.py</w:t>
      </w:r>
      <w:r>
        <w:t xml:space="preserve">.</w:t>
      </w:r>
    </w:p>
    <w:bookmarkEnd w:id="42"/>
    <w:bookmarkStart w:id="43" w:name="cpn-is-not-written"/>
    <w:p>
      <w:pPr>
        <w:pStyle w:val="Heading3"/>
      </w:pPr>
      <w:r>
        <w:t xml:space="preserve">4.8 CPN is NOT written</w:t>
      </w:r>
    </w:p>
    <w:p>
      <w:pPr>
        <w:pStyle w:val="FirstParagraph"/>
      </w:pPr>
      <w:r>
        <w:t xml:space="preserve">The sheet has no CPN column. Per-CPN traceability lives in:</w:t>
      </w:r>
      <w:r>
        <w:t xml:space="preserve"> </w:t>
      </w:r>
      <w:r>
        <w:t xml:space="preserve">- AutoBOM’s CPN issuance table (internal).</w:t>
      </w:r>
      <w:r>
        <w:t xml:space="preserve"> </w:t>
      </w:r>
      <w:r>
        <w:t xml:space="preserve">- The embedded Purchasing archive view’s per-CPN fulfillment pills.</w:t>
      </w:r>
      <w:r>
        <w:t xml:space="preserve"> </w:t>
      </w:r>
      <w:r>
        <w:t xml:space="preserve">- The supplier cart line’s customer reference field (written at cart-build).</w:t>
      </w:r>
      <w:r>
        <w:t xml:space="preserve"> </w:t>
      </w:r>
      <w:r>
        <w:t xml:space="preserve">- The physical bag’s shipping label / QR code (printed by Mouser/DigiKey per the customer reference).</w:t>
      </w:r>
      <w:r>
        <w:t xml:space="preserve"> </w:t>
      </w:r>
      <w:r>
        <w:t xml:space="preserve">- The receiving scan at PartsBox (read from the bag label).</w:t>
      </w:r>
    </w:p>
    <w:bookmarkEnd w:id="43"/>
    <w:bookmarkEnd w:id="44"/>
    <w:bookmarkStart w:id="48" w:name="cpn-and-cart-line-customer-reference"/>
    <w:p>
      <w:pPr>
        <w:pStyle w:val="Heading2"/>
      </w:pPr>
      <w:r>
        <w:t xml:space="preserve">5. CPN and Cart Line Customer Reference</w:t>
      </w:r>
    </w:p>
    <w:bookmarkStart w:id="45" w:name="customer-reference-field-usage"/>
    <w:p>
      <w:pPr>
        <w:pStyle w:val="Heading3"/>
      </w:pPr>
      <w:r>
        <w:t xml:space="preserve">5.1 Customer reference field usage</w:t>
      </w:r>
    </w:p>
    <w:p>
      <w:pPr>
        <w:pStyle w:val="FirstParagraph"/>
      </w:pPr>
      <w:r>
        <w:t xml:space="preserve">Both the Mouser Cart API and the DigiKey MyLists API support a customer reference field on each cart line. AutoBOM writes the CPN into this field at cart-build time.</w:t>
      </w:r>
    </w:p>
    <w:bookmarkEnd w:id="45"/>
    <w:bookmarkStart w:id="46" w:name="downstream-traceability"/>
    <w:p>
      <w:pPr>
        <w:pStyle w:val="Heading3"/>
      </w:pPr>
      <w:r>
        <w:t xml:space="preserve">5.2 Downstream traceability</w:t>
      </w:r>
    </w:p>
    <w:p>
      <w:pPr>
        <w:numPr>
          <w:ilvl w:val="0"/>
          <w:numId w:val="1011"/>
        </w:numPr>
        <w:pStyle w:val="Compact"/>
      </w:pPr>
      <w:r>
        <w:t xml:space="preserve">CPN generated → stored in the CPN issuance table with metadata (format version, scope, target reference, requester, timestamp, MPN, quantity).</w:t>
      </w:r>
    </w:p>
    <w:p>
      <w:pPr>
        <w:numPr>
          <w:ilvl w:val="0"/>
          <w:numId w:val="1011"/>
        </w:numPr>
        <w:pStyle w:val="Compact"/>
      </w:pPr>
      <w:r>
        <w:t xml:space="preserve">CPN written into the cart line customer reference at cart-build time.</w:t>
      </w:r>
    </w:p>
    <w:p>
      <w:pPr>
        <w:numPr>
          <w:ilvl w:val="0"/>
          <w:numId w:val="1011"/>
        </w:numPr>
        <w:pStyle w:val="Compact"/>
      </w:pPr>
      <w:r>
        <w:t xml:space="preserve">Buyer places the order in the supplier UI. Customer reference travels with the order.</w:t>
      </w:r>
    </w:p>
    <w:p>
      <w:pPr>
        <w:numPr>
          <w:ilvl w:val="0"/>
          <w:numId w:val="1011"/>
        </w:numPr>
        <w:pStyle w:val="Compact"/>
      </w:pPr>
      <w:r>
        <w:t xml:space="preserve">Supplier prints the customer reference on the shipping label / packing slip / QR label of the physical bag.</w:t>
      </w:r>
    </w:p>
    <w:p>
      <w:pPr>
        <w:numPr>
          <w:ilvl w:val="0"/>
          <w:numId w:val="1011"/>
        </w:numPr>
        <w:pStyle w:val="Compact"/>
      </w:pPr>
      <w:r>
        <w:t xml:space="preserve">Bag arrives at receiving. User scans the distributor QR/barcode.</w:t>
      </w:r>
    </w:p>
    <w:p>
      <w:pPr>
        <w:numPr>
          <w:ilvl w:val="0"/>
          <w:numId w:val="1011"/>
        </w:numPr>
        <w:pStyle w:val="Compact"/>
      </w:pPr>
      <w:r>
        <w:t xml:space="preserve">PartsBox parses the scan → returns CPN.</w:t>
      </w:r>
    </w:p>
    <w:p>
      <w:pPr>
        <w:numPr>
          <w:ilvl w:val="0"/>
          <w:numId w:val="1011"/>
        </w:numPr>
        <w:pStyle w:val="Compact"/>
      </w:pPr>
      <w:r>
        <w:t xml:space="preserve">AutoBOM matches CPN against the CPN issuance table → identifies bucket entry → batch → destination (project box or wall location).</w:t>
      </w:r>
    </w:p>
    <w:p>
      <w:pPr>
        <w:numPr>
          <w:ilvl w:val="0"/>
          <w:numId w:val="1011"/>
        </w:numPr>
        <w:pStyle w:val="Compact"/>
      </w:pPr>
      <w:r>
        <w:t xml:space="preserve">PartsBox</w:t>
      </w:r>
      <w:r>
        <w:t xml:space="preserve"> </w:t>
      </w:r>
      <w:r>
        <w:rPr>
          <w:rStyle w:val="VerbatimChar"/>
        </w:rPr>
        <w:t xml:space="preserve">stock/add</w:t>
      </w:r>
      <w:r>
        <w:t xml:space="preserve"> </w:t>
      </w:r>
      <w:r>
        <w:t xml:space="preserve">executes to the correct destination.</w:t>
      </w:r>
    </w:p>
    <w:p>
      <w:pPr>
        <w:numPr>
          <w:ilvl w:val="0"/>
          <w:numId w:val="1011"/>
        </w:numPr>
        <w:pStyle w:val="Compact"/>
      </w:pPr>
      <w:r>
        <w:t xml:space="preserve">AutoBOM updates the fulfillment pill on the archive view (Pending → Partial → Fulfilled).</w:t>
      </w:r>
    </w:p>
    <w:bookmarkEnd w:id="46"/>
    <w:bookmarkStart w:id="47" w:name="fulfillment-state-values"/>
    <w:p>
      <w:pPr>
        <w:pStyle w:val="Heading3"/>
      </w:pPr>
      <w:r>
        <w:t xml:space="preserve">5.3 Fulfillment state values</w:t>
      </w:r>
    </w:p>
    <w:p>
      <w:pPr>
        <w:numPr>
          <w:ilvl w:val="0"/>
          <w:numId w:val="1012"/>
        </w:numPr>
        <w:pStyle w:val="Compact"/>
      </w:pPr>
      <w:r>
        <w:rPr>
          <w:bCs/>
          <w:b/>
        </w:rPr>
        <w:t xml:space="preserve">Pending</w:t>
      </w:r>
      <w:r>
        <w:t xml:space="preserve"> </w:t>
      </w:r>
      <w:r>
        <w:t xml:space="preserve">— no CPN scan-back received yet.</w:t>
      </w:r>
    </w:p>
    <w:p>
      <w:pPr>
        <w:numPr>
          <w:ilvl w:val="0"/>
          <w:numId w:val="1012"/>
        </w:numPr>
        <w:pStyle w:val="Compact"/>
      </w:pPr>
      <w:r>
        <w:rPr>
          <w:bCs/>
          <w:b/>
        </w:rPr>
        <w:t xml:space="preserve">Partial</w:t>
      </w:r>
      <w:r>
        <w:t xml:space="preserve"> </w:t>
      </w:r>
      <w:r>
        <w:t xml:space="preserve">— some quantity received (partial shipment, backorder).</w:t>
      </w:r>
    </w:p>
    <w:p>
      <w:pPr>
        <w:numPr>
          <w:ilvl w:val="0"/>
          <w:numId w:val="1012"/>
        </w:numPr>
        <w:pStyle w:val="Compact"/>
      </w:pPr>
      <w:r>
        <w:rPr>
          <w:bCs/>
          <w:b/>
        </w:rPr>
        <w:t xml:space="preserve">Fulfilled</w:t>
      </w:r>
      <w:r>
        <w:t xml:space="preserve"> </w:t>
      </w:r>
      <w:r>
        <w:t xml:space="preserve">— expected quantity received.</w:t>
      </w:r>
    </w:p>
    <w:p>
      <w:pPr>
        <w:numPr>
          <w:ilvl w:val="0"/>
          <w:numId w:val="1012"/>
        </w:numPr>
        <w:pStyle w:val="Compact"/>
      </w:pPr>
      <w:r>
        <w:rPr>
          <w:bCs/>
          <w:b/>
        </w:rPr>
        <w:t xml:space="preserve">Over</w:t>
      </w:r>
      <w:r>
        <w:t xml:space="preserve"> </w:t>
      </w:r>
      <w:r>
        <w:t xml:space="preserve">— more received than expected (triggers Admin diagnostic).</w:t>
      </w:r>
    </w:p>
    <w:bookmarkEnd w:id="47"/>
    <w:bookmarkEnd w:id="48"/>
    <w:bookmarkStart w:id="56" w:name="embedded-purchasing-surface-ui"/>
    <w:p>
      <w:pPr>
        <w:pStyle w:val="Heading2"/>
      </w:pPr>
      <w:r>
        <w:t xml:space="preserve">6. Embedded Purchasing Surface UI</w:t>
      </w:r>
    </w:p>
    <w:bookmarkStart w:id="49" w:name="nav-access"/>
    <w:p>
      <w:pPr>
        <w:pStyle w:val="Heading3"/>
      </w:pPr>
      <w:r>
        <w:t xml:space="preserve">6.1 Nav access</w:t>
      </w:r>
    </w:p>
    <w:p>
      <w:pPr>
        <w:pStyle w:val="FirstParagraph"/>
      </w:pPr>
      <w:r>
        <w:t xml:space="preserve">Purchasing sidebar item on Designer, Production, and Admin workspaces. Clicking opens the embedded view in the workspace’s content area — no new nav context, no route switch.</w:t>
      </w:r>
    </w:p>
    <w:bookmarkEnd w:id="49"/>
    <w:bookmarkStart w:id="50" w:name="filtered-full-toggle"/>
    <w:p>
      <w:pPr>
        <w:pStyle w:val="Heading3"/>
      </w:pPr>
      <w:r>
        <w:t xml:space="preserve">6.2 Filtered / Full toggle</w:t>
      </w:r>
    </w:p>
    <w:p>
      <w:pPr>
        <w:numPr>
          <w:ilvl w:val="0"/>
          <w:numId w:val="1013"/>
        </w:numPr>
        <w:pStyle w:val="Compact"/>
      </w:pPr>
      <w:r>
        <w:t xml:space="preserve">Prominent segmented control at the top of the surface.</w:t>
      </w:r>
    </w:p>
    <w:p>
      <w:pPr>
        <w:numPr>
          <w:ilvl w:val="0"/>
          <w:numId w:val="1013"/>
        </w:numPr>
        <w:pStyle w:val="Compact"/>
      </w:pPr>
      <w:r>
        <w:t xml:space="preserve">Designer / Production default: Filtered (my submissions where requester = current user).</w:t>
      </w:r>
    </w:p>
    <w:p>
      <w:pPr>
        <w:numPr>
          <w:ilvl w:val="0"/>
          <w:numId w:val="1013"/>
        </w:numPr>
        <w:pStyle w:val="Compact"/>
      </w:pPr>
      <w:r>
        <w:t xml:space="preserve">Admin default: Full (entire bucket regardless of submitter).</w:t>
      </w:r>
    </w:p>
    <w:p>
      <w:pPr>
        <w:numPr>
          <w:ilvl w:val="0"/>
          <w:numId w:val="1013"/>
        </w:numPr>
        <w:pStyle w:val="Compact"/>
      </w:pPr>
      <w:r>
        <w:t xml:space="preserve">Toggle state persists per user session.</w:t>
      </w:r>
    </w:p>
    <w:bookmarkEnd w:id="50"/>
    <w:bookmarkStart w:id="51" w:name="onedrive-live-integration-banner"/>
    <w:p>
      <w:pPr>
        <w:pStyle w:val="Heading3"/>
      </w:pPr>
      <w:r>
        <w:t xml:space="preserve">6.3 OneDrive live integration banner</w:t>
      </w:r>
    </w:p>
    <w:p>
      <w:pPr>
        <w:pStyle w:val="FirstParagraph"/>
      </w:pPr>
      <w:r>
        <w:t xml:space="preserve">Sticky at top of surface. Confirms: live-writes to the 14-column sheet at each batch flush; one row per supplier per batch; cart URL populated in Link to Product; CPN not written to sheet (present on cart line customer reference instead).</w:t>
      </w:r>
    </w:p>
    <w:bookmarkEnd w:id="51"/>
    <w:bookmarkStart w:id="52" w:name="bucket-display"/>
    <w:p>
      <w:pPr>
        <w:pStyle w:val="Heading3"/>
      </w:pPr>
      <w:r>
        <w:t xml:space="preserve">6.4 Bucket display</w:t>
      </w:r>
    </w:p>
    <w:p>
      <w:pPr>
        <w:numPr>
          <w:ilvl w:val="0"/>
          <w:numId w:val="1014"/>
        </w:numPr>
        <w:pStyle w:val="Compact"/>
      </w:pPr>
      <w:r>
        <w:t xml:space="preserve">Critical and Main streams displayed side by side (or stacked on narrow viewport).</w:t>
      </w:r>
    </w:p>
    <w:p>
      <w:pPr>
        <w:numPr>
          <w:ilvl w:val="0"/>
          <w:numId w:val="1014"/>
        </w:numPr>
        <w:pStyle w:val="Compact"/>
      </w:pPr>
      <w:r>
        <w:t xml:space="preserve">Each stream shows pending Request entries, next flush countdown, archive tab link.</w:t>
      </w:r>
    </w:p>
    <w:p>
      <w:pPr>
        <w:numPr>
          <w:ilvl w:val="0"/>
          <w:numId w:val="1014"/>
        </w:numPr>
        <w:pStyle w:val="Compact"/>
      </w:pPr>
      <w:r>
        <w:t xml:space="preserve">Each entry row shows CPN (monospace), title, source object link, submitter, submitted timestamp, item count, bucketState pill.</w:t>
      </w:r>
    </w:p>
    <w:p>
      <w:pPr>
        <w:numPr>
          <w:ilvl w:val="0"/>
          <w:numId w:val="1014"/>
        </w:numPr>
        <w:pStyle w:val="Compact"/>
      </w:pPr>
      <w:r>
        <w:t xml:space="preserve">Row expand shows the item list with per-item MPN, quantity, supplier target, characteristics.</w:t>
      </w:r>
    </w:p>
    <w:bookmarkEnd w:id="52"/>
    <w:bookmarkStart w:id="53" w:name="archive-tab"/>
    <w:p>
      <w:pPr>
        <w:pStyle w:val="Heading3"/>
      </w:pPr>
      <w:r>
        <w:t xml:space="preserve">6.5 Archive tab</w:t>
      </w:r>
    </w:p>
    <w:p>
      <w:pPr>
        <w:numPr>
          <w:ilvl w:val="0"/>
          <w:numId w:val="1015"/>
        </w:numPr>
        <w:pStyle w:val="Compact"/>
      </w:pPr>
      <w:r>
        <w:t xml:space="preserve">Past batches with WRITTEN state.</w:t>
      </w:r>
    </w:p>
    <w:p>
      <w:pPr>
        <w:numPr>
          <w:ilvl w:val="0"/>
          <w:numId w:val="1015"/>
        </w:numPr>
        <w:pStyle w:val="Compact"/>
      </w:pPr>
      <w:r>
        <w:t xml:space="preserve">Batch header: timestamp, supplier, cart URL (opens external), cart total, entry count.</w:t>
      </w:r>
    </w:p>
    <w:p>
      <w:pPr>
        <w:numPr>
          <w:ilvl w:val="0"/>
          <w:numId w:val="1015"/>
        </w:numPr>
        <w:pStyle w:val="Compact"/>
      </w:pPr>
      <w:r>
        <w:t xml:space="preserve">Batch entries with per-CPN fulfillment pill (Pending / Partial / Fulfilled / Over).</w:t>
      </w:r>
    </w:p>
    <w:p>
      <w:pPr>
        <w:numPr>
          <w:ilvl w:val="0"/>
          <w:numId w:val="1015"/>
        </w:numPr>
        <w:pStyle w:val="Compact"/>
      </w:pPr>
      <w:r>
        <w:t xml:space="preserve">Expandable to show line-level fulfillment state.</w:t>
      </w:r>
    </w:p>
    <w:p>
      <w:pPr>
        <w:numPr>
          <w:ilvl w:val="0"/>
          <w:numId w:val="1015"/>
        </w:numPr>
        <w:pStyle w:val="Compact"/>
      </w:pPr>
      <w:r>
        <w:t xml:space="preserve">Copy-CPN button on each row.</w:t>
      </w:r>
    </w:p>
    <w:bookmarkEnd w:id="53"/>
    <w:bookmarkStart w:id="54" w:name="new-request-button"/>
    <w:p>
      <w:pPr>
        <w:pStyle w:val="Heading3"/>
      </w:pPr>
      <w:r>
        <w:t xml:space="preserve">6.6 New Request button</w:t>
      </w:r>
    </w:p>
    <w:p>
      <w:pPr>
        <w:pStyle w:val="FirstParagraph"/>
      </w:pPr>
      <w:r>
        <w:t xml:space="preserve">Top-right of the surface. Opens the Request submission form (modal or slide-out).</w:t>
      </w:r>
    </w:p>
    <w:bookmarkEnd w:id="54"/>
    <w:bookmarkStart w:id="55" w:name="admin-only-actions"/>
    <w:p>
      <w:pPr>
        <w:pStyle w:val="Heading3"/>
      </w:pPr>
      <w:r>
        <w:t xml:space="preserve">6.7 Admin-only actions</w:t>
      </w:r>
    </w:p>
    <w:p>
      <w:pPr>
        <w:numPr>
          <w:ilvl w:val="0"/>
          <w:numId w:val="1016"/>
        </w:numPr>
        <w:pStyle w:val="Compact"/>
      </w:pPr>
      <w:r>
        <w:t xml:space="preserve">Manual flush button per stream (</w:t>
      </w:r>
      <w:r>
        <w:t xml:space="preserve">“</w:t>
      </w:r>
      <w:r>
        <w:t xml:space="preserve">Flush Critical now</w:t>
      </w:r>
      <w:r>
        <w:t xml:space="preserve">”</w:t>
      </w:r>
      <w:r>
        <w:t xml:space="preserve"> </w:t>
      </w:r>
      <w:r>
        <w:t xml:space="preserve">/</w:t>
      </w:r>
      <w:r>
        <w:t xml:space="preserve"> </w:t>
      </w:r>
      <w:r>
        <w:t xml:space="preserve">“</w:t>
      </w:r>
      <w:r>
        <w:t xml:space="preserve">Flush Main now</w:t>
      </w:r>
      <w:r>
        <w:t xml:space="preserve">”</w:t>
      </w:r>
      <w:r>
        <w:t xml:space="preserve">) — confirmation modal + audit reason required.</w:t>
      </w:r>
    </w:p>
    <w:p>
      <w:pPr>
        <w:numPr>
          <w:ilvl w:val="0"/>
          <w:numId w:val="1016"/>
        </w:numPr>
        <w:pStyle w:val="Compact"/>
      </w:pPr>
      <w:r>
        <w:t xml:space="preserve">Bucket timer adjustment link — routes to Configuration → Workflow tab.</w:t>
      </w:r>
    </w:p>
    <w:p>
      <w:pPr>
        <w:numPr>
          <w:ilvl w:val="0"/>
          <w:numId w:val="1016"/>
        </w:numPr>
        <w:pStyle w:val="Compact"/>
      </w:pPr>
      <w:r>
        <w:t xml:space="preserve">Batch retry button on Pending failed batches.</w:t>
      </w:r>
    </w:p>
    <w:bookmarkEnd w:id="55"/>
    <w:bookmarkEnd w:id="56"/>
    <w:bookmarkStart w:id="62" w:name="failure-modes"/>
    <w:p>
      <w:pPr>
        <w:pStyle w:val="Heading2"/>
      </w:pPr>
      <w:r>
        <w:t xml:space="preserve">7. Failure Modes</w:t>
      </w:r>
    </w:p>
    <w:bookmarkStart w:id="57" w:name="mouser-api-failure"/>
    <w:p>
      <w:pPr>
        <w:pStyle w:val="Heading3"/>
      </w:pPr>
      <w:r>
        <w:t xml:space="preserve">7.1 Mouser API failure</w:t>
      </w:r>
    </w:p>
    <w:p>
      <w:pPr>
        <w:pStyle w:val="FirstParagraph"/>
      </w:pPr>
      <w:r>
        <w:t xml:space="preserve">Mouser cart building fails at step 2. Batch stays Pending — no partial write. Retries on next timer. After N retries (Admin-configurable, default 3), Admin receives a Batch Flush Failure notification with error detail.</w:t>
      </w:r>
    </w:p>
    <w:bookmarkEnd w:id="57"/>
    <w:bookmarkStart w:id="58" w:name="digikey-api-failure"/>
    <w:p>
      <w:pPr>
        <w:pStyle w:val="Heading3"/>
      </w:pPr>
      <w:r>
        <w:t xml:space="preserve">7.2 DigiKey API failure</w:t>
      </w:r>
    </w:p>
    <w:p>
      <w:pPr>
        <w:pStyle w:val="FirstParagraph"/>
      </w:pPr>
      <w:r>
        <w:t xml:space="preserve">Same behavior as Mouser API failure. Batch stays Pending.</w:t>
      </w:r>
    </w:p>
    <w:bookmarkEnd w:id="58"/>
    <w:bookmarkStart w:id="59" w:name="microsoft-graph-onedrive-api-failure"/>
    <w:p>
      <w:pPr>
        <w:pStyle w:val="Heading3"/>
      </w:pPr>
      <w:r>
        <w:t xml:space="preserve">7.3 Microsoft Graph / OneDrive API failure</w:t>
      </w:r>
    </w:p>
    <w:p>
      <w:pPr>
        <w:pStyle w:val="FirstParagraph"/>
      </w:pPr>
      <w:r>
        <w:t xml:space="preserve">Sheet write fails at step 4. Cart URLs are already generated but not written. Batch stays Pending. Retry preserves the cart URLs (do not rebuild the carts on retry) — only re-attempts the sheet write. Because writes are append-only and write-once, a retry must not double-write rows already committed; a batch is</w:t>
      </w:r>
      <w:r>
        <w:t xml:space="preserve"> </w:t>
      </w:r>
      <w:r>
        <w:rPr>
          <w:rStyle w:val="VerbatimChar"/>
        </w:rPr>
        <w:t xml:space="preserve">WRITTEN</w:t>
      </w:r>
      <w:r>
        <w:t xml:space="preserve"> </w:t>
      </w:r>
      <w:r>
        <w:t xml:space="preserve">only after the append succeeds. If cart URLs are stale after long delay, refresh them from suppliers on retry.</w:t>
      </w:r>
    </w:p>
    <w:bookmarkEnd w:id="59"/>
    <w:bookmarkStart w:id="60" w:name="partial-cart-build-within-a-supplier"/>
    <w:p>
      <w:pPr>
        <w:pStyle w:val="Heading3"/>
      </w:pPr>
      <w:r>
        <w:t xml:space="preserve">7.4 Partial cart build within a supplier</w:t>
      </w:r>
    </w:p>
    <w:p>
      <w:pPr>
        <w:pStyle w:val="FirstParagraph"/>
      </w:pPr>
      <w:r>
        <w:t xml:space="preserve">Some cart lines succeed, some fail. Batch stays Pending; failed lines are logged with error detail; Admin can inspect and decide whether to force-waive the batch (known-good lines only) or wait for the supplier API to recover.</w:t>
      </w:r>
    </w:p>
    <w:bookmarkEnd w:id="60"/>
    <w:bookmarkStart w:id="61" w:name="sheet-manually-edited"/>
    <w:p>
      <w:pPr>
        <w:pStyle w:val="Heading3"/>
      </w:pPr>
      <w:r>
        <w:t xml:space="preserve">7.5 Sheet manually edited</w:t>
      </w:r>
    </w:p>
    <w:p>
      <w:pPr>
        <w:pStyle w:val="FirstParagraph"/>
      </w:pPr>
      <w:r>
        <w:t xml:space="preserve">The buyer or team edits the sheet. Since AutoBOM does not read back, edits do not affect AutoBOM’s state. Fulfillment tracking continues independently in the internal per-CPN state.</w:t>
      </w:r>
    </w:p>
    <w:bookmarkEnd w:id="61"/>
    <w:bookmarkEnd w:id="62"/>
    <w:bookmarkStart w:id="63" w:name="rejection-criteria-enforce"/>
    <w:p>
      <w:pPr>
        <w:pStyle w:val="Heading2"/>
      </w:pPr>
      <w:r>
        <w:t xml:space="preserve">8. Rejection Criteria (enforce)</w:t>
      </w:r>
    </w:p>
    <w:p>
      <w:pPr>
        <w:numPr>
          <w:ilvl w:val="0"/>
          <w:numId w:val="1017"/>
        </w:numPr>
        <w:pStyle w:val="Compact"/>
      </w:pPr>
      <w:r>
        <w:t xml:space="preserve">Any Required By dropdown or Urgency dropdown on the Request form — only the Critical toggle exists.</w:t>
      </w:r>
    </w:p>
    <w:p>
      <w:pPr>
        <w:numPr>
          <w:ilvl w:val="0"/>
          <w:numId w:val="1017"/>
        </w:numPr>
        <w:pStyle w:val="Compact"/>
      </w:pPr>
      <w:r>
        <w:t xml:space="preserve">Any per-line urgency written to the sheet — only</w:t>
      </w:r>
      <w:r>
        <w:t xml:space="preserve"> </w:t>
      </w:r>
      <w:r>
        <w:rPr>
          <w:rStyle w:val="VerbatimChar"/>
        </w:rPr>
        <w:t xml:space="preserve">2-Day</w:t>
      </w:r>
      <w:r>
        <w:t xml:space="preserve"> </w:t>
      </w:r>
      <w:r>
        <w:t xml:space="preserve">/</w:t>
      </w:r>
      <w:r>
        <w:t xml:space="preserve"> </w:t>
      </w:r>
      <w:r>
        <w:rPr>
          <w:rStyle w:val="VerbatimChar"/>
        </w:rPr>
        <w:t xml:space="preserve">Next Day</w:t>
      </w:r>
      <w:r>
        <w:t xml:space="preserve"> </w:t>
      </w:r>
      <w:r>
        <w:t xml:space="preserve">at row level, no per-item variation.</w:t>
      </w:r>
    </w:p>
    <w:p>
      <w:pPr>
        <w:numPr>
          <w:ilvl w:val="0"/>
          <w:numId w:val="1017"/>
        </w:numPr>
        <w:pStyle w:val="Compact"/>
      </w:pPr>
      <w:r>
        <w:t xml:space="preserve">Immediate per-submission sheet writes — must be batched.</w:t>
      </w:r>
    </w:p>
    <w:p>
      <w:pPr>
        <w:numPr>
          <w:ilvl w:val="0"/>
          <w:numId w:val="1017"/>
        </w:numPr>
        <w:pStyle w:val="Compact"/>
      </w:pPr>
      <w:r>
        <w:t xml:space="preserve">Batches that interleave or leave half-writes — must be atomic.</w:t>
      </w:r>
    </w:p>
    <w:p>
      <w:pPr>
        <w:numPr>
          <w:ilvl w:val="0"/>
          <w:numId w:val="1017"/>
        </w:numPr>
        <w:pStyle w:val="Compact"/>
      </w:pPr>
      <w:r>
        <w:t xml:space="preserve">Hard-coded / fixed timer intervals — must be Admin-configurable within validated range.</w:t>
      </w:r>
    </w:p>
    <w:p>
      <w:pPr>
        <w:numPr>
          <w:ilvl w:val="0"/>
          <w:numId w:val="1017"/>
        </w:numPr>
        <w:pStyle w:val="Compact"/>
      </w:pPr>
      <w:r>
        <w:t xml:space="preserve">Any Order Execution / cart-submission / order-placing work UI anywhere — violates</w:t>
      </w:r>
      <w:r>
        <w:t xml:space="preserve"> </w:t>
      </w:r>
      <w:r>
        <w:rPr>
          <w:iCs/>
          <w:i/>
        </w:rPr>
        <w:t xml:space="preserve">No autonomous purchases</w:t>
      </w:r>
      <w:r>
        <w:t xml:space="preserve">.</w:t>
      </w:r>
    </w:p>
    <w:p>
      <w:pPr>
        <w:numPr>
          <w:ilvl w:val="0"/>
          <w:numId w:val="1017"/>
        </w:numPr>
        <w:pStyle w:val="Compact"/>
      </w:pPr>
      <w:r>
        <w:t xml:space="preserve">AutoBOM adding, removing, or reordering sheet columns — 14-column commitment absolute.</w:t>
      </w:r>
    </w:p>
    <w:p>
      <w:pPr>
        <w:numPr>
          <w:ilvl w:val="0"/>
          <w:numId w:val="1017"/>
        </w:numPr>
        <w:pStyle w:val="Compact"/>
      </w:pPr>
      <w:r>
        <w:t xml:space="preserve">A CPN column on the sheet — CPN lives on the cart-line customer reference and internal state, never on the sheet.</w:t>
      </w:r>
    </w:p>
    <w:p>
      <w:pPr>
        <w:numPr>
          <w:ilvl w:val="0"/>
          <w:numId w:val="1017"/>
        </w:numPr>
        <w:pStyle w:val="Compact"/>
      </w:pPr>
      <w:r>
        <w:rPr>
          <w:bCs/>
          <w:b/>
        </w:rPr>
        <w:t xml:space="preserve">Editing, overwriting, reordering, or deleting existing sheet rows or cells</w:t>
      </w:r>
      <w:r>
        <w:t xml:space="preserve"> </w:t>
      </w:r>
      <w:r>
        <w:t xml:space="preserve">— append-only.</w:t>
      </w:r>
    </w:p>
    <w:p>
      <w:pPr>
        <w:numPr>
          <w:ilvl w:val="0"/>
          <w:numId w:val="1017"/>
        </w:numPr>
        <w:pStyle w:val="Compact"/>
      </w:pPr>
      <w:r>
        <w:rPr>
          <w:bCs/>
          <w:b/>
        </w:rPr>
        <w:t xml:space="preserve">Empty or placeholder rows written to the sheet</w:t>
      </w:r>
      <w:r>
        <w:t xml:space="preserve"> </w:t>
      </w:r>
      <w:r>
        <w:t xml:space="preserve">— write only rows with real content.</w:t>
      </w:r>
    </w:p>
    <w:p>
      <w:pPr>
        <w:numPr>
          <w:ilvl w:val="0"/>
          <w:numId w:val="1017"/>
        </w:numPr>
        <w:pStyle w:val="Compact"/>
      </w:pPr>
      <w:r>
        <w:rPr>
          <w:bCs/>
          <w:b/>
        </w:rPr>
        <w:t xml:space="preserve">Duplicate / repeat writes of an already-</w:t>
      </w:r>
      <w:r>
        <w:rPr>
          <w:rStyle w:val="VerbatimChar"/>
          <w:bCs/>
          <w:b/>
        </w:rPr>
        <w:t xml:space="preserve">WRITTEN</w:t>
      </w:r>
      <w:r>
        <w:rPr>
          <w:bCs/>
          <w:b/>
        </w:rPr>
        <w:t xml:space="preserve"> </w:t>
      </w:r>
      <w:r>
        <w:rPr>
          <w:bCs/>
          <w:b/>
        </w:rPr>
        <w:t xml:space="preserve">entry</w:t>
      </w:r>
      <w:r>
        <w:t xml:space="preserve"> </w:t>
      </w:r>
      <w:r>
        <w:t xml:space="preserve">— write-once.</w:t>
      </w:r>
    </w:p>
    <w:p>
      <w:pPr>
        <w:numPr>
          <w:ilvl w:val="0"/>
          <w:numId w:val="1017"/>
        </w:numPr>
        <w:pStyle w:val="Compact"/>
      </w:pPr>
      <w:r>
        <w:t xml:space="preserve">Any</w:t>
      </w:r>
      <w:r>
        <w:t xml:space="preserve"> </w:t>
      </w:r>
      <w:r>
        <w:rPr>
          <w:rStyle w:val="VerbatimChar"/>
        </w:rPr>
        <w:t xml:space="preserve">approveRequest</w:t>
      </w:r>
      <w:r>
        <w:t xml:space="preserve"> </w:t>
      </w:r>
      <w:r>
        <w:t xml:space="preserve">/</w:t>
      </w:r>
      <w:r>
        <w:t xml:space="preserve"> </w:t>
      </w:r>
      <w:r>
        <w:rPr>
          <w:rStyle w:val="VerbatimChar"/>
        </w:rPr>
        <w:t xml:space="preserve">rejectRequest</w:t>
      </w:r>
      <w:r>
        <w:t xml:space="preserve"> </w:t>
      </w:r>
      <w:r>
        <w:t xml:space="preserve">/</w:t>
      </w:r>
      <w:r>
        <w:t xml:space="preserve"> </w:t>
      </w:r>
      <w:r>
        <w:rPr>
          <w:rStyle w:val="VerbatimChar"/>
        </w:rPr>
        <w:t xml:space="preserve">requestClarification</w:t>
      </w:r>
      <w:r>
        <w:t xml:space="preserve"> </w:t>
      </w:r>
      <w:r>
        <w:t xml:space="preserve">flow — violates the one-way funnel.</w:t>
      </w:r>
    </w:p>
    <w:p>
      <w:pPr>
        <w:numPr>
          <w:ilvl w:val="0"/>
          <w:numId w:val="1017"/>
        </w:numPr>
        <w:pStyle w:val="Compact"/>
      </w:pPr>
      <w:r>
        <w:t xml:space="preserve">Order lifecycle objects (POs, Shipments) as first-class AutoBOM state — retired.</w:t>
      </w:r>
    </w:p>
    <w:p>
      <w:pPr>
        <w:numPr>
          <w:ilvl w:val="0"/>
          <w:numId w:val="1017"/>
        </w:numPr>
        <w:pStyle w:val="Compact"/>
      </w:pPr>
      <w:r>
        <w:t xml:space="preserve">Purchasing as a login role, dashboard, or user context — retired.</w:t>
      </w:r>
    </w:p>
    <w:p>
      <w:pPr>
        <w:numPr>
          <w:ilvl w:val="0"/>
          <w:numId w:val="1017"/>
        </w:numPr>
        <w:pStyle w:val="Compact"/>
      </w:pPr>
      <w:r>
        <w:t xml:space="preserve">Sourcing engine build-allocation logic removed from the flush pipeline — POC logic is preserved (cart contents right-sized).</w:t>
      </w:r>
    </w:p>
    <w:p>
      <w:pPr>
        <w:numPr>
          <w:ilvl w:val="0"/>
          <w:numId w:val="1017"/>
        </w:numPr>
        <w:pStyle w:val="Compact"/>
      </w:pPr>
      <w:r>
        <w:t xml:space="preserve">Sheet Quantity ≠ 1 by default — always 1 unless Admin overrides for a specific batch.</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2026-07-18T21:48:36Z</dcterms:created>
  <dcterms:modified xsi:type="dcterms:W3CDTF">2026-07-18T21:48:36Z</dcterms:modified>
</cp:coreProperties>
</file>

<file path=docProps/custom.xml><?xml version="1.0" encoding="utf-8"?>
<Properties xmlns="http://schemas.openxmlformats.org/officeDocument/2006/custom-properties" xmlns:vt="http://schemas.openxmlformats.org/officeDocument/2006/docPropsVTypes"/>
</file>