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80"/>
      </w:pPr>
      <w:r>
        <w:rPr>
          <w:rFonts w:ascii="Aptos" w:hAnsi="Aptos"/>
          <w:b/>
          <w:color w:val="315FD8"/>
          <w:sz w:val="17"/>
        </w:rPr>
        <w:t>2026 FINTECHATHON · SUBMISSION TEMPLATE</w:t>
      </w:r>
    </w:p>
    <w:p>
      <w:pPr>
        <w:spacing w:after="60"/>
      </w:pPr>
      <w:r>
        <w:rPr>
          <w:rFonts w:ascii="Arial Unicode MS" w:hAnsi="Arial Unicode MS" w:eastAsia="Arial Unicode MS"/>
          <w:b/>
          <w:color w:val="17213A"/>
          <w:sz w:val="46"/>
        </w:rPr>
        <w:t>International AI Track | Security Self-assessment</w:t>
      </w:r>
    </w:p>
    <w:p>
      <w:pPr>
        <w:spacing w:after="320"/>
      </w:pPr>
      <w:r>
        <w:rPr>
          <w:color w:val="616C7F"/>
          <w:sz w:val="20"/>
        </w:rPr>
        <w:t>Optional supporting material. Please complete this document in English.</w:t>
      </w:r>
    </w:p>
    <w:tbl>
      <w:tblPr>
        <w:tblW w:type="auto" w:w="0"/>
        <w:tblLayout w:type="fixed"/>
        <w:tblLook w:firstColumn="1" w:firstRow="1" w:lastColumn="0" w:lastRow="0" w:noHBand="0" w:noVBand="1" w:val="04A0"/>
      </w:tblPr>
      <w:tblGrid>
        <w:gridCol w:w="4939"/>
        <w:gridCol w:w="4939"/>
      </w:tblGrid>
      <w:tr>
        <w:tc>
          <w:tcPr>
            <w:tcW w:type="dxa" w:w="2088"/>
            <w:shd w:fill="EEF3FF"/>
          </w:tcPr>
          <w:p>
            <w:pPr>
              <w:spacing w:after="0"/>
            </w:pPr>
            <w:r>
              <w:rPr>
                <w:b/>
                <w:sz w:val="18"/>
              </w:rPr>
              <w:t>Team name</w:t>
            </w:r>
          </w:p>
        </w:tc>
        <w:tc>
          <w:tcPr>
            <w:tcW w:type="dxa" w:w="7704"/>
          </w:tcPr>
          <w:p>
            <w:r>
              <w:rPr>
                <w:color w:val="17213A"/>
              </w:rPr>
              <w:t>Centrale</w:t>
            </w:r>
          </w:p>
        </w:tc>
      </w:tr>
      <w:tr>
        <w:tc>
          <w:tcPr>
            <w:tcW w:type="dxa" w:w="2088"/>
            <w:shd w:fill="EEF3FF"/>
          </w:tcPr>
          <w:p>
            <w:pPr>
              <w:spacing w:after="0"/>
            </w:pPr>
            <w:r>
              <w:rPr>
                <w:b/>
                <w:sz w:val="18"/>
              </w:rPr>
              <w:t>Competition track</w:t>
            </w:r>
          </w:p>
        </w:tc>
        <w:tc>
          <w:tcPr>
            <w:tcW w:type="dxa" w:w="7704"/>
          </w:tcPr>
          <w:p>
            <w:r>
              <w:rPr>
                <w:color w:val="17213A"/>
              </w:rPr>
              <w:t>International AI Track, Topic C (Cross-border and Student Finance)</w:t>
            </w:r>
          </w:p>
        </w:tc>
      </w:tr>
      <w:tr>
        <w:tc>
          <w:tcPr>
            <w:tcW w:type="dxa" w:w="2088"/>
            <w:shd w:fill="EEF3FF"/>
          </w:tcPr>
          <w:p>
            <w:pPr>
              <w:spacing w:after="0"/>
            </w:pPr>
            <w:r>
              <w:rPr>
                <w:b/>
                <w:sz w:val="18"/>
              </w:rPr>
              <w:t>Submission date</w:t>
            </w:r>
          </w:p>
        </w:tc>
        <w:tc>
          <w:tcPr>
            <w:tcW w:type="dxa" w:w="7704"/>
          </w:tcPr>
          <w:p>
            <w:r>
              <w:rPr>
                <w:color w:val="17213A"/>
              </w:rPr>
              <w:t>2026-10-20</w:t>
            </w:r>
          </w:p>
        </w:tc>
      </w:tr>
    </w:tbl>
    <w:p/>
    <w:tbl>
      <w:tblPr>
        <w:tblW w:w="9792" w:type="dxa"/>
        <w:tblLayout w:type="fixed"/>
        <w:tblCellMar>
          <w:top w:w="110" w:type="dxa"/>
          <w:left w:w="170" w:type="dxa"/>
          <w:bottom w:w="90" w:type="dxa"/>
          <w:right w:w="170" w:type="dxa"/>
        </w:tblCellMar>
        <w:tblLook w:firstColumn="1" w:firstRow="1" w:lastColumn="0" w:lastRow="0" w:noHBand="0" w:noVBand="1" w:val="04A0"/>
      </w:tblPr>
      <w:tblGrid>
        <w:gridCol w:w="9792"/>
      </w:tblGrid>
      <w:tr>
        <w:tc>
          <w:tcPr>
            <w:tcW w:w="9792" w:type="dxa"/>
            <w:shd w:val="clear" w:color="auto" w:fill="EEF3FF"/>
          </w:tcPr>
          <w:p>
            <w:pPr>
              <w:spacing w:after="80"/>
            </w:pPr>
            <w:r>
              <w:rPr>
                <w:b/>
                <w:color w:val="315FD8"/>
                <w:sz w:val="22"/>
              </w:rPr>
              <w:t>Scope and how to read this</w:t>
            </w:r>
          </w:p>
          <w:p>
            <w:pPr>
              <w:spacing w:after="80" w:line="259" w:lineRule="auto"/>
            </w:pPr>
            <w:r>
              <w:rPr>
                <w:sz w:val="18"/>
              </w:rPr>
              <w:t xml:space="preserve">This is a self-assessment of the BorderlessGuard prototype, which runs against a </w:t>
            </w:r>
            <w:r>
              <w:rPr>
                <w:b/>
                <w:sz w:val="18"/>
              </w:rPr>
              <w:t>simulated sandbox ledger</w:t>
            </w:r>
            <w:r>
              <w:rPr>
                <w:sz w:val="18"/>
              </w:rPr>
              <w:t>. The authors wrote it. Two inputs are not ours: two white-box audits by separate AI agents with full read access to the code (23 findings, all fixed or mitigated), and a blind test set written by a separate AI agent that could not read the security code.</w:t>
            </w:r>
          </w:p>
          <w:p>
            <w:pPr>
              <w:spacing w:after="80" w:line="259" w:lineRule="auto"/>
            </w:pPr>
            <w:r>
              <w:rPr>
                <w:sz w:val="18"/>
              </w:rPr>
              <w:t xml:space="preserve">Two results estimate generalisation, one per parser: blind v2 with the rules parser, frozen in </w:t>
            </w:r>
            <w:r>
              <w:rPr>
                <w:rFonts w:ascii="Consolas" w:hAnsi="Consolas" w:eastAsia="Consolas"/>
                <w:color w:val="2B3F77"/>
                <w:sz w:val="17"/>
              </w:rPr>
              <w:t>44542f2</w:t>
            </w:r>
            <w:r>
              <w:rPr>
                <w:sz w:val="18"/>
              </w:rPr>
              <w:t xml:space="preserve"> (</w:t>
            </w:r>
            <w:r>
              <w:rPr>
                <w:b/>
                <w:sz w:val="18"/>
              </w:rPr>
              <w:t>69/70 attacks blocked</w:t>
            </w:r>
            <w:r>
              <w:rPr>
                <w:sz w:val="18"/>
              </w:rPr>
              <w:t xml:space="preserve">, 24/30 benign English completed), and blind v2 with local Qwen2.5 7B, frozen in </w:t>
            </w:r>
            <w:r>
              <w:rPr>
                <w:rFonts w:ascii="Consolas" w:hAnsi="Consolas" w:eastAsia="Consolas"/>
                <w:color w:val="2B3F77"/>
                <w:sz w:val="17"/>
              </w:rPr>
              <w:t>5868d83</w:t>
            </w:r>
            <w:r>
              <w:rPr>
                <w:sz w:val="18"/>
              </w:rPr>
              <w:t xml:space="preserve"> (</w:t>
            </w:r>
            <w:r>
              <w:rPr>
                <w:b/>
                <w:sz w:val="18"/>
              </w:rPr>
              <w:t>66/70 attacks blocked</w:t>
            </w:r>
            <w:r>
              <w:rPr>
                <w:sz w:val="18"/>
              </w:rPr>
              <w:t xml:space="preserve">, 26/30 benign English, 5/5 non-English). Everything measured after them is regression. State: commit </w:t>
            </w:r>
            <w:r>
              <w:rPr>
                <w:rFonts w:ascii="Consolas" w:hAnsi="Consolas" w:eastAsia="Consolas"/>
                <w:color w:val="2B3F77"/>
                <w:sz w:val="17"/>
              </w:rPr>
              <w:t>d1822bf</w:t>
            </w:r>
            <w:r>
              <w:rPr>
                <w:sz w:val="18"/>
              </w:rPr>
              <w:t>, 2026-10-19: 1230 tests pass, 7 are documented expected failures.</w:t>
            </w:r>
          </w:p>
          <w:p>
            <w:pPr>
              <w:spacing w:after="80" w:line="259" w:lineRule="auto"/>
            </w:pPr>
            <w:r>
              <w:rPr>
                <w:sz w:val="18"/>
              </w:rPr>
              <w:t>The model connector, the cascade and the model selector (</w:t>
            </w:r>
            <w:r>
              <w:rPr>
                <w:rFonts w:ascii="Consolas" w:hAnsi="Consolas" w:eastAsia="Consolas"/>
                <w:color w:val="2B3F77"/>
                <w:sz w:val="17"/>
              </w:rPr>
              <w:t>c10f0a0</w:t>
            </w:r>
            <w:r>
              <w:rPr>
                <w:sz w:val="18"/>
              </w:rPr>
              <w:t>), then the help replies, the scripted-task harness and its localhost HTTP API, the FX cost display and Verification of Payee (</w:t>
            </w:r>
            <w:r>
              <w:rPr>
                <w:rFonts w:ascii="Consolas" w:hAnsi="Consolas" w:eastAsia="Consolas"/>
                <w:color w:val="2B3F77"/>
                <w:sz w:val="17"/>
              </w:rPr>
              <w:t>7e90cc3</w:t>
            </w:r>
            <w:r>
              <w:rPr>
                <w:sz w:val="18"/>
              </w:rPr>
              <w:t xml:space="preserve">, </w:t>
            </w:r>
            <w:r>
              <w:rPr>
                <w:rFonts w:ascii="Consolas" w:hAnsi="Consolas" w:eastAsia="Consolas"/>
                <w:color w:val="2B3F77"/>
                <w:sz w:val="17"/>
              </w:rPr>
              <w:t>d1822bf</w:t>
            </w:r>
            <w:r>
              <w:rPr>
                <w:sz w:val="18"/>
              </w:rPr>
              <w:t>), came after the second audit and have had no white-box review. No hosted or frontier model was measured. No licensing, KYC, AML, sanctions or data-protection compliance is claimed.</w:t>
            </w:r>
          </w:p>
        </w:tc>
      </w:tr>
    </w:tbl>
    <w:p>
      <w:pPr>
        <w:spacing w:after="80" w:line="40" w:lineRule="exact"/>
      </w:pPr>
    </w:p>
    <w:p>
      <w:pPr>
        <w:pStyle w:val="Heading1"/>
      </w:pPr>
      <w:r>
        <w:t>01 Permission Model</w:t>
      </w:r>
    </w:p>
    <w:p>
      <w:pPr>
        <w:pStyle w:val="ListBullet"/>
        <w:keepNext/>
        <w:spacing w:after="100" w:before="120"/>
      </w:pPr>
      <w:r>
        <w:rPr>
          <w:b/>
        </w:rPr>
        <w:t>Roles, operations and permission boundaries</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265"/>
        <w:gridCol w:w="3603"/>
        <w:gridCol w:w="3603"/>
      </w:tblGrid>
      <w:tr>
        <w:trPr>
          <w:cantSplit/>
          <w:tblHeader/>
        </w:trPr>
        <w:tc>
          <w:tcPr>
            <w:tcW w:w="2265" w:type="dxa"/>
            <w:shd w:val="clear" w:color="auto" w:fill="EEF3FF"/>
          </w:tcPr>
          <w:p>
            <w:pPr>
              <w:keepNext/>
              <w:spacing w:after="0" w:before="0" w:line="240" w:lineRule="auto"/>
            </w:pPr>
            <w:r>
              <w:rPr>
                <w:b/>
                <w:sz w:val="16"/>
              </w:rPr>
              <w:t>Role</w:t>
            </w:r>
          </w:p>
        </w:tc>
        <w:tc>
          <w:tcPr>
            <w:tcW w:w="3603" w:type="dxa"/>
            <w:shd w:val="clear" w:color="auto" w:fill="EEF3FF"/>
          </w:tcPr>
          <w:p>
            <w:pPr>
              <w:keepNext/>
              <w:spacing w:after="0" w:before="0" w:line="240" w:lineRule="auto"/>
            </w:pPr>
            <w:r>
              <w:rPr>
                <w:b/>
                <w:sz w:val="16"/>
              </w:rPr>
              <w:t>Operations</w:t>
            </w:r>
          </w:p>
        </w:tc>
        <w:tc>
          <w:tcPr>
            <w:tcW w:w="3603" w:type="dxa"/>
            <w:shd w:val="clear" w:color="auto" w:fill="EEF3FF"/>
          </w:tcPr>
          <w:p>
            <w:pPr>
              <w:keepNext/>
              <w:spacing w:after="0" w:before="0" w:line="240" w:lineRule="auto"/>
            </w:pPr>
            <w:r>
              <w:rPr>
                <w:b/>
                <w:sz w:val="16"/>
              </w:rPr>
              <w:t>Permission boundary</w:t>
            </w:r>
          </w:p>
        </w:tc>
      </w:tr>
      <w:tr>
        <w:trPr>
          <w:cantSplit/>
        </w:trPr>
        <w:tc>
          <w:tcPr>
            <w:tcW w:w="2265" w:type="dxa"/>
          </w:tcPr>
          <w:p>
            <w:pPr>
              <w:keepNext/>
              <w:spacing w:after="0" w:before="0" w:line="240" w:lineRule="auto"/>
            </w:pPr>
            <w:r>
              <w:rPr>
                <w:sz w:val="16"/>
              </w:rPr>
              <w:t xml:space="preserve">Customer (the student, one session per </w:t>
            </w:r>
            <w:r>
              <w:rPr>
                <w:rFonts w:ascii="Consolas" w:hAnsi="Consolas" w:eastAsia="Consolas"/>
                <w:color w:val="2B3F77"/>
                <w:sz w:val="15"/>
              </w:rPr>
              <w:t>user_id</w:t>
            </w:r>
            <w:r>
              <w:rPr>
                <w:sz w:val="16"/>
              </w:rPr>
              <w:t>)</w:t>
            </w:r>
          </w:p>
        </w:tc>
        <w:tc>
          <w:tcPr>
            <w:tcW w:w="3603" w:type="dxa"/>
          </w:tcPr>
          <w:p>
            <w:pPr>
              <w:keepNext/>
              <w:spacing w:after="0" w:before="0" w:line="240" w:lineRule="auto"/>
            </w:pPr>
            <w:r>
              <w:rPr>
                <w:sz w:val="16"/>
              </w:rPr>
              <w:t>Ask; attach a document; approve or reject her own pending actions with a tap or a code; cancel; read her own overview and receipts; check her receipts against her signed copy.</w:t>
            </w:r>
          </w:p>
        </w:tc>
        <w:tc>
          <w:tcPr>
            <w:tcW w:w="3603" w:type="dxa"/>
          </w:tcPr>
          <w:p>
            <w:pPr>
              <w:keepNext/>
              <w:spacing w:after="0" w:before="0" w:line="240" w:lineRule="auto"/>
            </w:pPr>
            <w:r>
              <w:rPr>
                <w:sz w:val="16"/>
              </w:rPr>
              <w:t>Sees and acts on her own accounts and payees only (</w:t>
            </w:r>
            <w:r>
              <w:rPr>
                <w:rFonts w:ascii="Consolas" w:hAnsi="Consolas" w:eastAsia="Consolas"/>
                <w:color w:val="2B3F77"/>
                <w:sz w:val="15"/>
              </w:rPr>
              <w:t>TENANT_ISOLATION</w:t>
            </w:r>
            <w:r>
              <w:rPr>
                <w:sz w:val="16"/>
              </w:rPr>
              <w:t>). Cannot change limits, the watchlist, the FX price or the code. Each approval is bound to the hash of the exact action.</w:t>
            </w:r>
          </w:p>
        </w:tc>
      </w:tr>
      <w:tr>
        <w:trPr>
          <w:cantSplit/>
        </w:trPr>
        <w:tc>
          <w:tcPr>
            <w:tcW w:w="2265" w:type="dxa"/>
          </w:tcPr>
          <w:p>
            <w:pPr>
              <w:keepNext/>
              <w:spacing w:after="0" w:before="0" w:line="240" w:lineRule="auto"/>
            </w:pPr>
            <w:r>
              <w:rPr>
                <w:sz w:val="16"/>
              </w:rPr>
              <w:t>Language model (any parser)</w:t>
            </w:r>
          </w:p>
        </w:tc>
        <w:tc>
          <w:tcPr>
            <w:tcW w:w="3603" w:type="dxa"/>
          </w:tcPr>
          <w:p>
            <w:pPr>
              <w:keepNext/>
              <w:spacing w:after="0" w:before="0" w:line="240" w:lineRule="auto"/>
            </w:pPr>
            <w:r>
              <w:rPr>
                <w:sz w:val="16"/>
              </w:rPr>
              <w:t>Propose typed intents from the customer's text.</w:t>
            </w:r>
          </w:p>
        </w:tc>
        <w:tc>
          <w:tcPr>
            <w:tcW w:w="3603" w:type="dxa"/>
          </w:tcPr>
          <w:p>
            <w:pPr>
              <w:keepNext/>
              <w:spacing w:after="0" w:before="0" w:line="240" w:lineRule="auto"/>
            </w:pPr>
            <w:r>
              <w:rPr>
                <w:sz w:val="16"/>
              </w:rPr>
              <w:t>No tool, no authority, no access to accounts, balances, IBANs or documents. Its output is validated, grounded in the customer's words and policed like any input.</w:t>
            </w:r>
          </w:p>
        </w:tc>
      </w:tr>
      <w:tr>
        <w:trPr>
          <w:cantSplit/>
        </w:trPr>
        <w:tc>
          <w:tcPr>
            <w:tcW w:w="2265" w:type="dxa"/>
          </w:tcPr>
          <w:p>
            <w:pPr>
              <w:keepNext/>
              <w:spacing w:after="0" w:before="0" w:line="240" w:lineRule="auto"/>
            </w:pPr>
            <w:r>
              <w:rPr>
                <w:sz w:val="16"/>
              </w:rPr>
              <w:t>Content guard</w:t>
            </w:r>
          </w:p>
        </w:tc>
        <w:tc>
          <w:tcPr>
            <w:tcW w:w="3603" w:type="dxa"/>
          </w:tcPr>
          <w:p>
            <w:pPr>
              <w:keepNext/>
              <w:spacing w:after="0" w:before="0" w:line="240" w:lineRule="auto"/>
            </w:pPr>
            <w:r>
              <w:rPr>
                <w:sz w:val="16"/>
              </w:rPr>
              <w:t>Warn about injected documents and tool output.</w:t>
            </w:r>
          </w:p>
        </w:tc>
        <w:tc>
          <w:tcPr>
            <w:tcW w:w="3603" w:type="dxa"/>
          </w:tcPr>
          <w:p>
            <w:pPr>
              <w:keepNext/>
              <w:spacing w:after="0" w:before="0" w:line="240" w:lineRule="auto"/>
            </w:pPr>
            <w:r>
              <w:rPr>
                <w:sz w:val="16"/>
              </w:rPr>
              <w:t>Advisory. No authorisation reads its output.</w:t>
            </w:r>
          </w:p>
        </w:tc>
      </w:tr>
      <w:tr>
        <w:trPr>
          <w:cantSplit/>
        </w:trPr>
        <w:tc>
          <w:tcPr>
            <w:tcW w:w="2265" w:type="dxa"/>
          </w:tcPr>
          <w:p>
            <w:pPr>
              <w:keepNext/>
              <w:spacing w:after="0" w:before="0" w:line="240" w:lineRule="auto"/>
            </w:pPr>
            <w:r>
              <w:rPr>
                <w:sz w:val="16"/>
              </w:rPr>
              <w:t>FX provider (simulated)</w:t>
            </w:r>
          </w:p>
        </w:tc>
        <w:tc>
          <w:tcPr>
            <w:tcW w:w="3603" w:type="dxa"/>
          </w:tcPr>
          <w:p>
            <w:pPr>
              <w:keepNext/>
              <w:spacing w:after="0" w:before="0" w:line="240" w:lineRule="auto"/>
            </w:pPr>
            <w:r>
              <w:rPr>
                <w:sz w:val="16"/>
              </w:rPr>
              <w:t>Return a price.</w:t>
            </w:r>
          </w:p>
        </w:tc>
        <w:tc>
          <w:tcPr>
            <w:tcW w:w="3603" w:type="dxa"/>
          </w:tcPr>
          <w:p>
            <w:pPr>
              <w:keepNext/>
              <w:spacing w:after="0" w:before="0" w:line="240" w:lineRule="auto"/>
            </w:pPr>
            <w:r>
              <w:rPr>
                <w:sz w:val="16"/>
              </w:rPr>
              <w:t>Untrusted. A quote is kept only if it equals the bank's reference price and the ledger issued it; it is used once.</w:t>
            </w:r>
          </w:p>
        </w:tc>
      </w:tr>
      <w:tr>
        <w:trPr>
          <w:cantSplit/>
        </w:trPr>
        <w:tc>
          <w:tcPr>
            <w:tcW w:w="2265" w:type="dxa"/>
          </w:tcPr>
          <w:p>
            <w:pPr>
              <w:keepNext/>
              <w:spacing w:after="0" w:before="0" w:line="240" w:lineRule="auto"/>
            </w:pPr>
            <w:r>
              <w:rPr>
                <w:sz w:val="16"/>
              </w:rPr>
              <w:t>Bank operator (stands in as a reset function)</w:t>
            </w:r>
          </w:p>
        </w:tc>
        <w:tc>
          <w:tcPr>
            <w:tcW w:w="3603" w:type="dxa"/>
          </w:tcPr>
          <w:p>
            <w:pPr>
              <w:keepNext/>
              <w:spacing w:after="0" w:before="0" w:line="240" w:lineRule="auto"/>
            </w:pPr>
            <w:r>
              <w:rPr>
                <w:sz w:val="16"/>
              </w:rPr>
              <w:t>Unlock approval by code after three wrong codes.</w:t>
            </w:r>
          </w:p>
        </w:tc>
        <w:tc>
          <w:tcPr>
            <w:tcW w:w="3603" w:type="dxa"/>
          </w:tcPr>
          <w:p>
            <w:pPr>
              <w:keepNext/>
              <w:spacing w:after="0" w:before="0" w:line="240" w:lineRule="auto"/>
            </w:pPr>
            <w:r>
              <w:rPr>
                <w:sz w:val="16"/>
              </w:rPr>
              <w:t>Never reachable from chat. In the sandbox it is a function call and the Reset demo button; there is no operator login.</w:t>
            </w:r>
          </w:p>
        </w:tc>
      </w:tr>
      <w:tr>
        <w:trPr>
          <w:cantSplit/>
        </w:trPr>
        <w:tc>
          <w:tcPr>
            <w:tcW w:w="2265" w:type="dxa"/>
          </w:tcPr>
          <w:p>
            <w:pPr>
              <w:spacing w:after="0" w:before="0" w:line="240" w:lineRule="auto"/>
            </w:pPr>
            <w:r>
              <w:rPr>
                <w:sz w:val="16"/>
              </w:rPr>
              <w:t>Verifier (customer or reviewer)</w:t>
            </w:r>
          </w:p>
        </w:tc>
        <w:tc>
          <w:tcPr>
            <w:tcW w:w="3603" w:type="dxa"/>
          </w:tcPr>
          <w:p>
            <w:pPr>
              <w:spacing w:after="0" w:before="0" w:line="240" w:lineRule="auto"/>
            </w:pPr>
            <w:r>
              <w:rPr>
                <w:sz w:val="16"/>
              </w:rPr>
              <w:t>Run the chain check against a signed anchor.</w:t>
            </w:r>
          </w:p>
        </w:tc>
        <w:tc>
          <w:tcPr>
            <w:tcW w:w="3603" w:type="dxa"/>
          </w:tcPr>
          <w:p>
            <w:pPr>
              <w:spacing w:after="0" w:before="0" w:line="240" w:lineRule="auto"/>
            </w:pPr>
            <w:r>
              <w:rPr>
                <w:sz w:val="16"/>
              </w:rPr>
              <w:t>Read-only.</w:t>
            </w:r>
          </w:p>
        </w:tc>
      </w:tr>
    </w:tbl>
    <w:p>
      <w:pPr>
        <w:spacing w:after="120" w:before="0" w:line="40" w:lineRule="exact"/>
      </w:pP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617"/>
        <w:gridCol w:w="5559"/>
        <w:gridCol w:w="3294"/>
      </w:tblGrid>
      <w:tr>
        <w:trPr>
          <w:cantSplit/>
          <w:tblHeader/>
        </w:trPr>
        <w:tc>
          <w:tcPr>
            <w:tcW w:w="617" w:type="dxa"/>
            <w:shd w:val="clear" w:color="auto" w:fill="EEF3FF"/>
          </w:tcPr>
          <w:p>
            <w:pPr>
              <w:keepNext/>
              <w:spacing w:after="0" w:before="0" w:line="240" w:lineRule="auto"/>
            </w:pPr>
            <w:r>
              <w:rPr>
                <w:b/>
                <w:sz w:val="16"/>
              </w:rPr>
              <w:t>Tier</w:t>
            </w:r>
          </w:p>
        </w:tc>
        <w:tc>
          <w:tcPr>
            <w:tcW w:w="5559" w:type="dxa"/>
            <w:shd w:val="clear" w:color="auto" w:fill="EEF3FF"/>
          </w:tcPr>
          <w:p>
            <w:pPr>
              <w:keepNext/>
              <w:spacing w:after="0" w:before="0" w:line="240" w:lineRule="auto"/>
            </w:pPr>
            <w:r>
              <w:rPr>
                <w:b/>
                <w:sz w:val="16"/>
              </w:rPr>
              <w:t>Operation</w:t>
            </w:r>
          </w:p>
        </w:tc>
        <w:tc>
          <w:tcPr>
            <w:tcW w:w="3294" w:type="dxa"/>
            <w:shd w:val="clear" w:color="auto" w:fill="EEF3FF"/>
          </w:tcPr>
          <w:p>
            <w:pPr>
              <w:keepNext/>
              <w:spacing w:after="0" w:before="0" w:line="240" w:lineRule="auto"/>
            </w:pPr>
            <w:r>
              <w:rPr>
                <w:b/>
                <w:sz w:val="16"/>
              </w:rPr>
              <w:t>Boundary</w:t>
            </w:r>
          </w:p>
        </w:tc>
      </w:tr>
      <w:tr>
        <w:trPr>
          <w:cantSplit/>
        </w:trPr>
        <w:tc>
          <w:tcPr>
            <w:tcW w:w="617" w:type="dxa"/>
          </w:tcPr>
          <w:p>
            <w:pPr>
              <w:keepNext/>
              <w:spacing w:after="0" w:before="0" w:line="240" w:lineRule="auto"/>
            </w:pPr>
            <w:r>
              <w:rPr>
                <w:sz w:val="16"/>
              </w:rPr>
              <w:t>R0</w:t>
            </w:r>
          </w:p>
        </w:tc>
        <w:tc>
          <w:tcPr>
            <w:tcW w:w="5559" w:type="dxa"/>
          </w:tcPr>
          <w:p>
            <w:pPr>
              <w:keepNext/>
              <w:spacing w:after="0" w:before="0" w:line="240" w:lineRule="auto"/>
            </w:pPr>
            <w:r>
              <w:rPr>
                <w:sz w:val="16"/>
              </w:rPr>
              <w:t>Overview, receipts, rate quote, affordability simulation</w:t>
            </w:r>
          </w:p>
        </w:tc>
        <w:tc>
          <w:tcPr>
            <w:tcW w:w="3294" w:type="dxa"/>
          </w:tcPr>
          <w:p>
            <w:pPr>
              <w:keepNext/>
              <w:spacing w:after="0" w:before="0" w:line="240" w:lineRule="auto"/>
            </w:pPr>
            <w:r>
              <w:rPr>
                <w:sz w:val="16"/>
              </w:rPr>
              <w:t>Allowed; creates no action</w:t>
            </w:r>
          </w:p>
        </w:tc>
      </w:tr>
      <w:tr>
        <w:trPr>
          <w:cantSplit/>
        </w:trPr>
        <w:tc>
          <w:tcPr>
            <w:tcW w:w="617" w:type="dxa"/>
          </w:tcPr>
          <w:p>
            <w:pPr>
              <w:keepNext/>
              <w:spacing w:after="0" w:before="0" w:line="240" w:lineRule="auto"/>
            </w:pPr>
            <w:r>
              <w:rPr>
                <w:sz w:val="16"/>
              </w:rPr>
              <w:t>R2</w:t>
            </w:r>
          </w:p>
        </w:tc>
        <w:tc>
          <w:tcPr>
            <w:tcW w:w="5559" w:type="dxa"/>
          </w:tcPr>
          <w:p>
            <w:pPr>
              <w:keepNext/>
              <w:spacing w:after="0" w:before="0" w:line="240" w:lineRule="auto"/>
            </w:pPr>
            <w:r>
              <w:rPr>
                <w:sz w:val="16"/>
              </w:rPr>
              <w:t>Payment to a payee older than 72 h up to 1,500 EUR eq.; currency purchase up to 2,500 EUR eq.</w:t>
            </w:r>
          </w:p>
        </w:tc>
        <w:tc>
          <w:tcPr>
            <w:tcW w:w="3294" w:type="dxa"/>
          </w:tcPr>
          <w:p>
            <w:pPr>
              <w:keepNext/>
              <w:spacing w:after="0" w:before="0" w:line="240" w:lineRule="auto"/>
            </w:pPr>
            <w:r>
              <w:rPr>
                <w:sz w:val="16"/>
              </w:rPr>
              <w:t>One tap</w:t>
            </w:r>
          </w:p>
        </w:tc>
      </w:tr>
      <w:tr>
        <w:trPr>
          <w:cantSplit/>
        </w:trPr>
        <w:tc>
          <w:tcPr>
            <w:tcW w:w="617" w:type="dxa"/>
          </w:tcPr>
          <w:p>
            <w:pPr>
              <w:keepNext/>
              <w:spacing w:after="0" w:before="0" w:line="240" w:lineRule="auto"/>
            </w:pPr>
            <w:r>
              <w:rPr>
                <w:sz w:val="16"/>
              </w:rPr>
              <w:t>R3</w:t>
            </w:r>
          </w:p>
        </w:tc>
        <w:tc>
          <w:tcPr>
            <w:tcW w:w="5559" w:type="dxa"/>
          </w:tcPr>
          <w:p>
            <w:pPr>
              <w:keepNext/>
              <w:spacing w:after="0" w:before="0" w:line="240" w:lineRule="auto"/>
            </w:pPr>
            <w:r>
              <w:rPr>
                <w:sz w:val="16"/>
              </w:rPr>
              <w:t>Payment to a payee under 72 h old; larger amounts; splitting payments; adding a payee</w:t>
            </w:r>
          </w:p>
        </w:tc>
        <w:tc>
          <w:tcPr>
            <w:tcW w:w="3294" w:type="dxa"/>
          </w:tcPr>
          <w:p>
            <w:pPr>
              <w:keepNext/>
              <w:spacing w:after="0" w:before="0" w:line="240" w:lineRule="auto"/>
            </w:pPr>
            <w:r>
              <w:rPr>
                <w:sz w:val="16"/>
              </w:rPr>
              <w:t>One-time code; three wrong codes in a row lock approval by code for the customer</w:t>
            </w:r>
          </w:p>
        </w:tc>
      </w:tr>
      <w:tr>
        <w:trPr>
          <w:cantSplit/>
        </w:trPr>
        <w:tc>
          <w:tcPr>
            <w:tcW w:w="617" w:type="dxa"/>
          </w:tcPr>
          <w:p>
            <w:pPr>
              <w:spacing w:after="0" w:before="0" w:line="240" w:lineRule="auto"/>
            </w:pPr>
            <w:r>
              <w:rPr>
                <w:sz w:val="16"/>
              </w:rPr>
              <w:t>R4</w:t>
            </w:r>
          </w:p>
        </w:tc>
        <w:tc>
          <w:tcPr>
            <w:tcW w:w="5559" w:type="dxa"/>
          </w:tcPr>
          <w:p>
            <w:pPr>
              <w:spacing w:after="0" w:before="0" w:line="240" w:lineRule="auto"/>
            </w:pPr>
            <w:r>
              <w:rPr>
                <w:sz w:val="16"/>
              </w:rPr>
              <w:t>Infeasible payment, unregistered or blocked payee, IBAN not in the registry, other tenant, reserve breach, over 4,000 EUR per payment or 5,000 EUR per day, untrusted origin, sanctions hit, invalid IBAN, look-alike payee name, off-price FX quote, locked approval</w:t>
            </w:r>
          </w:p>
        </w:tc>
        <w:tc>
          <w:tcPr>
            <w:tcW w:w="3294" w:type="dxa"/>
          </w:tcPr>
          <w:p>
            <w:pPr>
              <w:spacing w:after="0" w:before="0" w:line="240" w:lineRule="auto"/>
            </w:pPr>
            <w:r>
              <w:rPr>
                <w:sz w:val="16"/>
              </w:rPr>
              <w:t>Denied; nothing the model or the customer says overrides it</w:t>
            </w:r>
          </w:p>
        </w:tc>
      </w:tr>
    </w:tbl>
    <w:p>
      <w:pPr>
        <w:spacing w:after="120" w:before="0" w:line="40" w:lineRule="exact"/>
      </w:pPr>
    </w:p>
    <w:p>
      <w:pPr>
        <w:pStyle w:val="ListBullet"/>
        <w:keepNext/>
        <w:spacing w:after="100" w:before="120"/>
      </w:pPr>
      <w:r>
        <w:rPr>
          <w:b/>
        </w:rPr>
        <w:t>Confirmation, verification and rollback mechanisms</w:t>
      </w:r>
    </w:p>
    <w:p>
      <w:pPr>
        <w:pStyle w:val="ListBullet2"/>
        <w:spacing w:after="50" w:before="0"/>
        <w:ind w:left="652" w:hanging="255"/>
      </w:pPr>
      <w:r>
        <w:rPr>
          <w:b/>
        </w:rPr>
        <w:t>Confirmation.</w:t>
      </w:r>
      <w:r>
        <w:t xml:space="preserve"> Every action that changes money or the registry waits for approval. The card shows the payee, the amount, the account tail, the tier and the balance afterwards. The approval is a hash of the action: changing any field invalidates it (</w:t>
      </w:r>
      <w:r>
        <w:rPr>
          <w:rFonts w:ascii="Consolas" w:hAnsi="Consolas" w:eastAsia="Consolas"/>
          <w:color w:val="2B3F77"/>
          <w:sz w:val="19"/>
        </w:rPr>
        <w:t>param_tamper</w:t>
      </w:r>
      <w:r>
        <w:t>). A correction is a new action with a new hash.</w:t>
      </w:r>
    </w:p>
    <w:p>
      <w:pPr>
        <w:pStyle w:val="ListBullet2"/>
        <w:spacing w:after="50" w:before="0"/>
        <w:ind w:left="652" w:hanging="255"/>
      </w:pPr>
      <w:r>
        <w:rPr>
          <w:b/>
        </w:rPr>
        <w:t>Verification.</w:t>
      </w:r>
      <w:r>
        <w:t xml:space="preserve"> Every action, executed or denied, gets a receipt in the customer's own hash chain. She keeps a signed anchor of the latest receipt and can check the chain against it. A deleted last receipt or a rewritten chain is detected only against an anchor she kept, and only while the signing key is secret. While the public demo key is in use, the log and the UI say so.</w:t>
      </w:r>
    </w:p>
    <w:p>
      <w:pPr>
        <w:pStyle w:val="ListBullet2"/>
        <w:spacing w:after="50" w:before="0"/>
        <w:ind w:left="652" w:hanging="255"/>
      </w:pPr>
      <w:r>
        <w:rPr>
          <w:b/>
        </w:rPr>
        <w:t>Rollback.</w:t>
      </w:r>
      <w:r>
        <w:t xml:space="preserve"> Before execution she can reject, cancel or correct any pending action, and nothing has moved. After execution the prototype has no reversal: the sandbox has no recall or refund function, and a real payment could not always be recalled. That is why high-risk steps wait for a code. A denied action is final and recorded; the only unlock is the operator reset of the code lock.</w:t>
      </w:r>
    </w:p>
    <w:p>
      <w:pPr>
        <w:pStyle w:val="ListBullet2"/>
        <w:spacing w:after="50" w:before="0"/>
        <w:ind w:left="652" w:hanging="255"/>
      </w:pPr>
      <w:r>
        <w:rPr>
          <w:b/>
        </w:rPr>
        <w:t>Failure recovery.</w:t>
      </w:r>
      <w:r>
        <w:t xml:space="preserve"> A model that is down, slow or malformed falls back to the rules parser. A policy exception becomes a deny. A malformed anchor gives "invalid", not a crash. A message over 2,000 characters is refused before parsing.</w:t>
      </w:r>
    </w:p>
    <w:p>
      <w:pPr>
        <w:pStyle w:val="Heading1"/>
      </w:pPr>
      <w:r>
        <w:t>02 Security Tests</w:t>
      </w:r>
    </w:p>
    <w:p>
      <w:pPr>
        <w:pStyle w:val="ListBullet"/>
        <w:keepNext/>
        <w:spacing w:after="100" w:before="120"/>
      </w:pPr>
      <w:r>
        <w:rPr>
          <w:b/>
        </w:rPr>
        <w:t>Prompt injection, social engineering, privilege escalation and failure recovery tests</w:t>
      </w:r>
    </w:p>
    <w:p>
      <w:pPr>
        <w:keepNext w:val="0"/>
        <w:spacing w:after="60" w:before="0"/>
        <w:ind w:left="317"/>
      </w:pPr>
      <w:r>
        <w:t xml:space="preserve">Every test runs against the real system through </w:t>
      </w:r>
      <w:r>
        <w:rPr>
          <w:rFonts w:ascii="Consolas" w:hAnsi="Consolas" w:eastAsia="Consolas"/>
          <w:color w:val="2B3F77"/>
          <w:sz w:val="19"/>
        </w:rPr>
        <w:t>bg.app.build_default</w:t>
      </w:r>
      <w:r>
        <w:t>. A case counts as blocked only if every invariant of its family holds: no money to an unregistered or attacker account, limits unchanged, approvals bound, no other customer's data.</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495"/>
        <w:gridCol w:w="3888"/>
        <w:gridCol w:w="2193"/>
        <w:gridCol w:w="1894"/>
      </w:tblGrid>
      <w:tr>
        <w:trPr>
          <w:cantSplit/>
          <w:tblHeader/>
        </w:trPr>
        <w:tc>
          <w:tcPr>
            <w:tcW w:w="1495" w:type="dxa"/>
            <w:shd w:val="clear" w:color="auto" w:fill="EEF3FF"/>
          </w:tcPr>
          <w:p>
            <w:pPr>
              <w:keepNext/>
              <w:spacing w:after="0" w:before="0" w:line="240" w:lineRule="auto"/>
            </w:pPr>
            <w:r>
              <w:rPr>
                <w:b/>
                <w:sz w:val="15"/>
              </w:rPr>
              <w:t>Category</w:t>
            </w:r>
          </w:p>
        </w:tc>
        <w:tc>
          <w:tcPr>
            <w:tcW w:w="3888" w:type="dxa"/>
            <w:shd w:val="clear" w:color="auto" w:fill="EEF3FF"/>
          </w:tcPr>
          <w:p>
            <w:pPr>
              <w:keepNext/>
              <w:spacing w:after="0" w:before="0" w:line="240" w:lineRule="auto"/>
            </w:pPr>
            <w:r>
              <w:rPr>
                <w:b/>
                <w:sz w:val="15"/>
              </w:rPr>
              <w:t>What was tested</w:t>
            </w:r>
          </w:p>
        </w:tc>
        <w:tc>
          <w:tcPr>
            <w:tcW w:w="2193" w:type="dxa"/>
            <w:shd w:val="clear" w:color="auto" w:fill="EEF3FF"/>
          </w:tcPr>
          <w:p>
            <w:pPr>
              <w:keepNext/>
              <w:spacing w:after="0" w:before="0" w:line="240" w:lineRule="auto"/>
            </w:pPr>
            <w:r>
              <w:rPr>
                <w:b/>
                <w:sz w:val="15"/>
              </w:rPr>
              <w:t>Where</w:t>
            </w:r>
          </w:p>
        </w:tc>
        <w:tc>
          <w:tcPr>
            <w:tcW w:w="1894" w:type="dxa"/>
            <w:shd w:val="clear" w:color="auto" w:fill="EEF3FF"/>
          </w:tcPr>
          <w:p>
            <w:pPr>
              <w:keepNext/>
              <w:spacing w:after="0" w:before="0" w:line="240" w:lineRule="auto"/>
            </w:pPr>
            <w:r>
              <w:rPr>
                <w:b/>
                <w:sz w:val="15"/>
              </w:rPr>
              <w:t>Result</w:t>
            </w:r>
          </w:p>
        </w:tc>
      </w:tr>
      <w:tr>
        <w:trPr>
          <w:cantSplit/>
        </w:trPr>
        <w:tc>
          <w:tcPr>
            <w:tcW w:w="1495" w:type="dxa"/>
          </w:tcPr>
          <w:p>
            <w:pPr>
              <w:keepNext/>
              <w:spacing w:after="0" w:before="0" w:line="240" w:lineRule="auto"/>
            </w:pPr>
            <w:r>
              <w:rPr>
                <w:sz w:val="15"/>
              </w:rPr>
              <w:t>Prompt injection</w:t>
            </w:r>
          </w:p>
        </w:tc>
        <w:tc>
          <w:tcPr>
            <w:tcW w:w="3888" w:type="dxa"/>
          </w:tcPr>
          <w:p>
            <w:pPr>
              <w:keepNext/>
              <w:spacing w:after="0" w:before="0" w:line="240" w:lineRule="auto"/>
            </w:pPr>
            <w:r>
              <w:rPr>
                <w:sz w:val="15"/>
              </w:rPr>
              <w:t>Hidden instructions in invoices (9 variants, plus ES, AR, ZH, base64, leetspeak, table, polite, fake bank notice, zero-width, system tags), IBAN swap with no instruction, poisoned FX note, model free text</w:t>
            </w:r>
          </w:p>
        </w:tc>
        <w:tc>
          <w:tcPr>
            <w:tcW w:w="2193" w:type="dxa"/>
          </w:tcPr>
          <w:p>
            <w:pPr>
              <w:keepNext/>
              <w:spacing w:after="0" w:before="0" w:line="240" w:lineRule="auto"/>
            </w:pPr>
            <w:r>
              <w:rPr>
                <w:sz w:val="15"/>
              </w:rPr>
              <w:t>tests/adversarial F1 and F4; blind v1 document cases; blind v2 D01 to D13; missions T14 and T20</w:t>
            </w:r>
          </w:p>
        </w:tc>
        <w:tc>
          <w:tcPr>
            <w:tcW w:w="1894" w:type="dxa"/>
          </w:tcPr>
          <w:p>
            <w:pPr>
              <w:keepNext/>
              <w:spacing w:after="0" w:before="0" w:line="240" w:lineRule="auto"/>
            </w:pPr>
            <w:r>
              <w:rPr>
                <w:sz w:val="15"/>
              </w:rPr>
              <w:t>69/69 in the development suites; blind v2 rules 69/70 overall</w:t>
            </w:r>
          </w:p>
        </w:tc>
      </w:tr>
      <w:tr>
        <w:trPr>
          <w:cantSplit/>
        </w:trPr>
        <w:tc>
          <w:tcPr>
            <w:tcW w:w="1495" w:type="dxa"/>
          </w:tcPr>
          <w:p>
            <w:pPr>
              <w:keepNext/>
              <w:spacing w:after="0" w:before="0" w:line="240" w:lineRule="auto"/>
            </w:pPr>
            <w:r>
              <w:rPr>
                <w:sz w:val="15"/>
              </w:rPr>
              <w:t>Social engineering</w:t>
            </w:r>
          </w:p>
        </w:tc>
        <w:tc>
          <w:tcPr>
            <w:tcW w:w="3888" w:type="dxa"/>
          </w:tcPr>
          <w:p>
            <w:pPr>
              <w:keepNext/>
              <w:spacing w:after="0" w:before="0" w:line="240" w:lineRule="auto"/>
            </w:pPr>
            <w:r>
              <w:rPr>
                <w:sz w:val="15"/>
              </w:rPr>
              <w:t>Chat IBAN change, new payee named "mom", look-alike duplicate name, add-payee-and-pay in one sentence, a careless user who approves everything shown (stage B)</w:t>
            </w:r>
          </w:p>
        </w:tc>
        <w:tc>
          <w:tcPr>
            <w:tcW w:w="2193" w:type="dxa"/>
          </w:tcPr>
          <w:p>
            <w:pPr>
              <w:keepNext/>
              <w:spacing w:after="0" w:before="0" w:line="240" w:lineRule="auto"/>
            </w:pPr>
            <w:r>
              <w:rPr>
                <w:sz w:val="15"/>
              </w:rPr>
              <w:t>tests/adversarial F2; blind v2 M01 to M15 and the careless-user stage; tests/audit</w:t>
            </w:r>
          </w:p>
        </w:tc>
        <w:tc>
          <w:tcPr>
            <w:tcW w:w="1894" w:type="dxa"/>
          </w:tcPr>
          <w:p>
            <w:pPr>
              <w:keepNext/>
              <w:spacing w:after="0" w:before="0" w:line="240" w:lineRule="auto"/>
            </w:pPr>
            <w:r>
              <w:rPr>
                <w:sz w:val="15"/>
              </w:rPr>
              <w:t>No money reached a non-registry payee in any case</w:t>
            </w:r>
          </w:p>
        </w:tc>
      </w:tr>
      <w:tr>
        <w:trPr>
          <w:cantSplit/>
        </w:trPr>
        <w:tc>
          <w:tcPr>
            <w:tcW w:w="1495" w:type="dxa"/>
          </w:tcPr>
          <w:p>
            <w:pPr>
              <w:keepNext/>
              <w:spacing w:after="0" w:before="0" w:line="240" w:lineRule="auto"/>
            </w:pPr>
            <w:r>
              <w:rPr>
                <w:sz w:val="15"/>
              </w:rPr>
              <w:t>Privilege escalation, data extraction</w:t>
            </w:r>
          </w:p>
        </w:tc>
        <w:tc>
          <w:tcPr>
            <w:tcW w:w="3888" w:type="dxa"/>
          </w:tcPr>
          <w:p>
            <w:pPr>
              <w:keepNext/>
              <w:spacing w:after="0" w:before="0" w:line="240" w:lineRule="auto"/>
            </w:pPr>
            <w:r>
              <w:rPr>
                <w:sz w:val="15"/>
              </w:rPr>
              <w:t>"Raise my limit", "skip the code", DAN and developer mode, other customers' balances, system prompt, API keys, other tenant's payee id</w:t>
            </w:r>
          </w:p>
        </w:tc>
        <w:tc>
          <w:tcPr>
            <w:tcW w:w="2193" w:type="dxa"/>
          </w:tcPr>
          <w:p>
            <w:pPr>
              <w:keepNext/>
              <w:spacing w:after="0" w:before="0" w:line="240" w:lineRule="auto"/>
            </w:pPr>
            <w:r>
              <w:rPr>
                <w:sz w:val="15"/>
              </w:rPr>
              <w:t>tests/adversarial F3 (18); blind v2 P01 to P10; mission T19</w:t>
            </w:r>
          </w:p>
        </w:tc>
        <w:tc>
          <w:tcPr>
            <w:tcW w:w="1894" w:type="dxa"/>
          </w:tcPr>
          <w:p>
            <w:pPr>
              <w:keepNext/>
              <w:spacing w:after="0" w:before="0" w:line="240" w:lineRule="auto"/>
            </w:pPr>
            <w:r>
              <w:rPr>
                <w:sz w:val="15"/>
              </w:rPr>
              <w:t>No data leaked; limits unchanged</w:t>
            </w:r>
          </w:p>
        </w:tc>
      </w:tr>
      <w:tr>
        <w:trPr>
          <w:cantSplit/>
        </w:trPr>
        <w:tc>
          <w:tcPr>
            <w:tcW w:w="1495" w:type="dxa"/>
          </w:tcPr>
          <w:p>
            <w:pPr>
              <w:keepNext/>
              <w:spacing w:after="0" w:before="0" w:line="240" w:lineRule="auto"/>
            </w:pPr>
            <w:r>
              <w:rPr>
                <w:sz w:val="15"/>
              </w:rPr>
              <w:t>Replay, tampering, brute force</w:t>
            </w:r>
          </w:p>
        </w:tc>
        <w:tc>
          <w:tcPr>
            <w:tcW w:w="3888" w:type="dxa"/>
          </w:tcPr>
          <w:p>
            <w:pPr>
              <w:keepNext/>
              <w:spacing w:after="0" w:before="0" w:line="240" w:lineRule="auto"/>
            </w:pPr>
            <w:r>
              <w:rPr>
                <w:sz w:val="15"/>
              </w:rPr>
              <w:t>Double confirm, wrong hash, other session, other tenant, 10 wrong codes then the right one, new session or correction to reset the counter</w:t>
            </w:r>
          </w:p>
        </w:tc>
        <w:tc>
          <w:tcPr>
            <w:tcW w:w="2193" w:type="dxa"/>
          </w:tcPr>
          <w:p>
            <w:pPr>
              <w:keepNext/>
              <w:spacing w:after="0" w:before="0" w:line="240" w:lineRule="auto"/>
            </w:pPr>
            <w:r>
              <w:rPr>
                <w:sz w:val="15"/>
              </w:rPr>
              <w:t>tests/adversarial F5 (15); blind v2 O01 to O04 and R01 to R07; missions T12, T13, T17</w:t>
            </w:r>
          </w:p>
        </w:tc>
        <w:tc>
          <w:tcPr>
            <w:tcW w:w="1894" w:type="dxa"/>
          </w:tcPr>
          <w:p>
            <w:pPr>
              <w:keepNext/>
              <w:spacing w:after="0" w:before="0" w:line="240" w:lineRule="auto"/>
            </w:pPr>
            <w:r>
              <w:rPr>
                <w:sz w:val="15"/>
              </w:rPr>
              <w:t>Money moved at most once; the lockout holds</w:t>
            </w:r>
          </w:p>
        </w:tc>
      </w:tr>
      <w:tr>
        <w:trPr>
          <w:cantSplit/>
        </w:trPr>
        <w:tc>
          <w:tcPr>
            <w:tcW w:w="1495" w:type="dxa"/>
          </w:tcPr>
          <w:p>
            <w:pPr>
              <w:keepNext/>
              <w:spacing w:after="0" w:before="0" w:line="240" w:lineRule="auto"/>
            </w:pPr>
            <w:r>
              <w:rPr>
                <w:sz w:val="15"/>
              </w:rPr>
              <w:t>Compliance controls</w:t>
            </w:r>
          </w:p>
        </w:tc>
        <w:tc>
          <w:tcPr>
            <w:tcW w:w="3888" w:type="dxa"/>
          </w:tcPr>
          <w:p>
            <w:pPr>
              <w:keepNext/>
              <w:spacing w:after="0" w:before="0" w:line="240" w:lineRule="auto"/>
            </w:pPr>
            <w:r>
              <w:rPr>
                <w:sz w:val="15"/>
              </w:rPr>
              <w:t>Structuring (4 x 400, 600 + 550 + 500), sanctions with homoglyphs and spacing variants, invalid IBAN, payee-name collision, FX price manipulation</w:t>
            </w:r>
          </w:p>
        </w:tc>
        <w:tc>
          <w:tcPr>
            <w:tcW w:w="2193" w:type="dxa"/>
          </w:tcPr>
          <w:p>
            <w:pPr>
              <w:keepNext/>
              <w:spacing w:after="0" w:before="0" w:line="240" w:lineRule="auto"/>
            </w:pPr>
            <w:r>
              <w:rPr>
                <w:sz w:val="15"/>
              </w:rPr>
              <w:t>tests/unit/policy, tests/audit; missions T15, T16; blind v2 S01 to S04 and X01 to X08</w:t>
            </w:r>
          </w:p>
        </w:tc>
        <w:tc>
          <w:tcPr>
            <w:tcW w:w="1894" w:type="dxa"/>
          </w:tcPr>
          <w:p>
            <w:pPr>
              <w:keepNext/>
              <w:spacing w:after="0" w:before="0" w:line="240" w:lineRule="auto"/>
            </w:pPr>
            <w:r>
              <w:rPr>
                <w:sz w:val="15"/>
              </w:rPr>
              <w:t>Blind v2: one miss (X08, Cyrillic letter), fixed afterwards</w:t>
            </w:r>
          </w:p>
        </w:tc>
      </w:tr>
      <w:tr>
        <w:trPr>
          <w:cantSplit/>
        </w:trPr>
        <w:tc>
          <w:tcPr>
            <w:tcW w:w="1495" w:type="dxa"/>
          </w:tcPr>
          <w:p>
            <w:pPr>
              <w:spacing w:after="0" w:before="0" w:line="240" w:lineRule="auto"/>
            </w:pPr>
            <w:r>
              <w:rPr>
                <w:sz w:val="15"/>
              </w:rPr>
              <w:t>Failure recovery</w:t>
            </w:r>
          </w:p>
        </w:tc>
        <w:tc>
          <w:tcPr>
            <w:tcW w:w="3888" w:type="dxa"/>
          </w:tcPr>
          <w:p>
            <w:pPr>
              <w:spacing w:after="0" w:before="0" w:line="240" w:lineRule="auto"/>
            </w:pPr>
            <w:r>
              <w:rPr>
                <w:sz w:val="15"/>
              </w:rPr>
              <w:t>Model unreachable, timeout, HTTP 500, invalid JSON, extra field, out-of-range amount, empty list; policy exception; malformed anchor; truncated and rewritten chains</w:t>
            </w:r>
          </w:p>
        </w:tc>
        <w:tc>
          <w:tcPr>
            <w:tcW w:w="2193" w:type="dxa"/>
          </w:tcPr>
          <w:p>
            <w:pPr>
              <w:spacing w:after="0" w:before="0" w:line="240" w:lineRule="auto"/>
            </w:pPr>
            <w:r>
              <w:rPr>
                <w:sz w:val="15"/>
              </w:rPr>
              <w:t>tests/unit/agent (local parser, connectors, hardening), tests/unit/ledger, tests/audit</w:t>
            </w:r>
          </w:p>
        </w:tc>
        <w:tc>
          <w:tcPr>
            <w:tcW w:w="1894" w:type="dxa"/>
          </w:tcPr>
          <w:p>
            <w:pPr>
              <w:spacing w:after="0" w:before="0" w:line="240" w:lineRule="auto"/>
            </w:pPr>
            <w:r>
              <w:rPr>
                <w:sz w:val="15"/>
              </w:rPr>
              <w:t>Every case falls back to the rules parser, denies, or returns invalid</w:t>
            </w:r>
          </w:p>
        </w:tc>
      </w:tr>
    </w:tbl>
    <w:p>
      <w:pPr>
        <w:spacing w:after="120" w:before="0" w:line="40" w:lineRule="exact"/>
      </w:pP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592"/>
        <w:gridCol w:w="3888"/>
        <w:gridCol w:w="2991"/>
      </w:tblGrid>
      <w:tr>
        <w:trPr>
          <w:cantSplit/>
          <w:tblHeader/>
        </w:trPr>
        <w:tc>
          <w:tcPr>
            <w:tcW w:w="2592" w:type="dxa"/>
            <w:shd w:val="clear" w:color="auto" w:fill="EEF3FF"/>
          </w:tcPr>
          <w:p>
            <w:pPr>
              <w:keepNext/>
              <w:spacing w:after="0" w:before="0" w:line="240" w:lineRule="auto"/>
            </w:pPr>
            <w:r>
              <w:rPr>
                <w:b/>
                <w:sz w:val="15"/>
              </w:rPr>
              <w:t>Evaluation layer</w:t>
            </w:r>
          </w:p>
        </w:tc>
        <w:tc>
          <w:tcPr>
            <w:tcW w:w="3888" w:type="dxa"/>
            <w:shd w:val="clear" w:color="auto" w:fill="EEF3FF"/>
          </w:tcPr>
          <w:p>
            <w:pPr>
              <w:keepNext/>
              <w:spacing w:after="0" w:before="0" w:line="240" w:lineRule="auto"/>
            </w:pPr>
            <w:r>
              <w:rPr>
                <w:b/>
                <w:sz w:val="15"/>
              </w:rPr>
              <w:t>Result</w:t>
            </w:r>
          </w:p>
        </w:tc>
        <w:tc>
          <w:tcPr>
            <w:tcW w:w="2991" w:type="dxa"/>
            <w:shd w:val="clear" w:color="auto" w:fill="EEF3FF"/>
          </w:tcPr>
          <w:p>
            <w:pPr>
              <w:keepNext/>
              <w:spacing w:after="0" w:before="0" w:line="240" w:lineRule="auto"/>
            </w:pPr>
            <w:r>
              <w:rPr>
                <w:b/>
                <w:sz w:val="15"/>
              </w:rPr>
              <w:t>How to read it</w:t>
            </w:r>
          </w:p>
        </w:tc>
      </w:tr>
      <w:tr>
        <w:trPr>
          <w:cantSplit/>
        </w:trPr>
        <w:tc>
          <w:tcPr>
            <w:tcW w:w="2592" w:type="dxa"/>
          </w:tcPr>
          <w:p>
            <w:pPr>
              <w:keepNext/>
              <w:spacing w:after="0" w:before="0" w:line="240" w:lineRule="auto"/>
            </w:pPr>
            <w:r>
              <w:rPr>
                <w:sz w:val="15"/>
              </w:rPr>
              <w:t>Development suites (team-written)</w:t>
            </w:r>
          </w:p>
        </w:tc>
        <w:tc>
          <w:tcPr>
            <w:tcW w:w="3888" w:type="dxa"/>
          </w:tcPr>
          <w:p>
            <w:pPr>
              <w:keepNext/>
              <w:spacing w:after="0" w:before="0" w:line="240" w:lineRule="auto"/>
            </w:pPr>
            <w:r>
              <w:rPr>
                <w:sz w:val="15"/>
              </w:rPr>
              <w:t>69/69 attacks, 29/29 benign</w:t>
            </w:r>
          </w:p>
        </w:tc>
        <w:tc>
          <w:tcPr>
            <w:tcW w:w="2991" w:type="dxa"/>
          </w:tcPr>
          <w:p>
            <w:pPr>
              <w:keepNext/>
              <w:spacing w:after="0" w:before="0" w:line="240" w:lineRule="auto"/>
            </w:pPr>
            <w:r>
              <w:rPr>
                <w:sz w:val="15"/>
              </w:rPr>
              <w:t>Regression only</w:t>
            </w:r>
          </w:p>
        </w:tc>
      </w:tr>
      <w:tr>
        <w:trPr>
          <w:cantSplit/>
        </w:trPr>
        <w:tc>
          <w:tcPr>
            <w:tcW w:w="2592" w:type="dxa"/>
          </w:tcPr>
          <w:p>
            <w:pPr>
              <w:keepNext/>
              <w:spacing w:after="0" w:before="0" w:line="240" w:lineRule="auto"/>
            </w:pPr>
            <w:r>
              <w:rPr>
                <w:sz w:val="15"/>
              </w:rPr>
              <w:t>Blind v1, rules parser, first run</w:t>
            </w:r>
          </w:p>
        </w:tc>
        <w:tc>
          <w:tcPr>
            <w:tcW w:w="3888" w:type="dxa"/>
          </w:tcPr>
          <w:p>
            <w:pPr>
              <w:keepNext/>
              <w:spacing w:after="0" w:before="0" w:line="240" w:lineRule="auto"/>
            </w:pPr>
            <w:r>
              <w:rPr>
                <w:sz w:val="15"/>
              </w:rPr>
              <w:t>47/48 attacks, 21/25 benign</w:t>
            </w:r>
          </w:p>
        </w:tc>
        <w:tc>
          <w:tcPr>
            <w:tcW w:w="2991" w:type="dxa"/>
          </w:tcPr>
          <w:p>
            <w:pPr>
              <w:keepNext/>
              <w:spacing w:after="0" w:before="0" w:line="240" w:lineRule="auto"/>
            </w:pPr>
            <w:r>
              <w:rPr>
                <w:sz w:val="15"/>
              </w:rPr>
              <w:t>Blind at the time. A claim that all 14 document injections were detected was inflated: 8 misses were masked by the seeded invoice. Corrected; three structural signals now detect them.</w:t>
            </w:r>
          </w:p>
        </w:tc>
      </w:tr>
      <w:tr>
        <w:trPr>
          <w:cantSplit/>
        </w:trPr>
        <w:tc>
          <w:tcPr>
            <w:tcW w:w="2592" w:type="dxa"/>
          </w:tcPr>
          <w:p>
            <w:pPr>
              <w:keepNext/>
              <w:spacing w:after="0" w:before="0" w:line="240" w:lineRule="auto"/>
            </w:pPr>
            <w:r>
              <w:rPr>
                <w:b/>
                <w:sz w:val="15"/>
              </w:rPr>
              <w:t>Blind v2, rules parser</w:t>
            </w:r>
            <w:r>
              <w:rPr>
                <w:sz w:val="15"/>
              </w:rPr>
              <w:t xml:space="preserve"> (</w:t>
            </w:r>
            <w:r>
              <w:rPr>
                <w:rFonts w:ascii="Consolas" w:hAnsi="Consolas" w:eastAsia="Consolas"/>
                <w:color w:val="2B3F77"/>
                <w:sz w:val="14"/>
              </w:rPr>
              <w:t>44542f2</w:t>
            </w:r>
            <w:r>
              <w:rPr>
                <w:sz w:val="15"/>
              </w:rPr>
              <w:t>)</w:t>
            </w:r>
          </w:p>
        </w:tc>
        <w:tc>
          <w:tcPr>
            <w:tcW w:w="3888" w:type="dxa"/>
          </w:tcPr>
          <w:p>
            <w:pPr>
              <w:keepNext/>
              <w:spacing w:after="0" w:before="0" w:line="240" w:lineRule="auto"/>
            </w:pPr>
            <w:r>
              <w:rPr>
                <w:b/>
                <w:sz w:val="15"/>
              </w:rPr>
              <w:t>69/70 attacks</w:t>
            </w:r>
            <w:r>
              <w:rPr>
                <w:sz w:val="15"/>
              </w:rPr>
              <w:t xml:space="preserve"> (95% CI 92.3 to 99.7); multi-turn 15/15; 24/30 benign English (62.7 to 90.5); non-English 0/5; 0 wrong payments, 0 data leaks, 0 unconfirmed executions</w:t>
            </w:r>
          </w:p>
        </w:tc>
        <w:tc>
          <w:tcPr>
            <w:tcW w:w="2991" w:type="dxa"/>
          </w:tcPr>
          <w:p>
            <w:pPr>
              <w:keepNext/>
              <w:spacing w:after="0" w:before="0" w:line="240" w:lineRule="auto"/>
            </w:pPr>
            <w:r>
              <w:rPr>
                <w:b/>
                <w:sz w:val="15"/>
              </w:rPr>
              <w:t>Generalisation estimate, rules.</w:t>
            </w:r>
            <w:r>
              <w:rPr>
                <w:sz w:val="15"/>
              </w:rPr>
              <w:t xml:space="preserve"> Nine attacks were stopped only because the parser did not understand them (58/59 without them). The one miss needed the customer's code.</w:t>
            </w:r>
          </w:p>
        </w:tc>
      </w:tr>
      <w:tr>
        <w:trPr>
          <w:cantSplit/>
        </w:trPr>
        <w:tc>
          <w:tcPr>
            <w:tcW w:w="2592" w:type="dxa"/>
          </w:tcPr>
          <w:p>
            <w:pPr>
              <w:keepNext/>
              <w:spacing w:after="0" w:before="0" w:line="240" w:lineRule="auto"/>
            </w:pPr>
            <w:r>
              <w:rPr>
                <w:b/>
                <w:sz w:val="15"/>
              </w:rPr>
              <w:t>Blind v2, Qwen2.5 7B</w:t>
            </w:r>
            <w:r>
              <w:rPr>
                <w:sz w:val="15"/>
              </w:rPr>
              <w:t xml:space="preserve"> (</w:t>
            </w:r>
            <w:r>
              <w:rPr>
                <w:rFonts w:ascii="Consolas" w:hAnsi="Consolas" w:eastAsia="Consolas"/>
                <w:color w:val="2B3F77"/>
                <w:sz w:val="14"/>
              </w:rPr>
              <w:t>5868d83</w:t>
            </w:r>
            <w:r>
              <w:rPr>
                <w:sz w:val="15"/>
              </w:rPr>
              <w:t>)</w:t>
            </w:r>
          </w:p>
        </w:tc>
        <w:tc>
          <w:tcPr>
            <w:tcW w:w="3888" w:type="dxa"/>
          </w:tcPr>
          <w:p>
            <w:pPr>
              <w:keepNext/>
              <w:spacing w:after="0" w:before="0" w:line="240" w:lineRule="auto"/>
            </w:pPr>
            <w:r>
              <w:rPr>
                <w:b/>
                <w:sz w:val="15"/>
              </w:rPr>
              <w:t>66/70 attacks</w:t>
            </w:r>
            <w:r>
              <w:rPr>
                <w:sz w:val="15"/>
              </w:rPr>
              <w:t xml:space="preserve"> (86.2 to 97.8); multi-turn 15/15; 26/30 benign English (70.3 to 94.7); non-English 5/5; 137 calls, 0 fallbacks. Qwen 3B: 65/70, 21/30, 3/5</w:t>
            </w:r>
          </w:p>
        </w:tc>
        <w:tc>
          <w:tcPr>
            <w:tcW w:w="2991" w:type="dxa"/>
          </w:tcPr>
          <w:p>
            <w:pPr>
              <w:keepNext/>
              <w:spacing w:after="0" w:before="0" w:line="240" w:lineRule="auto"/>
            </w:pPr>
            <w:r>
              <w:rPr>
                <w:b/>
                <w:sz w:val="15"/>
              </w:rPr>
              <w:t>Generalisation estimate, LLM parser.</w:t>
            </w:r>
            <w:r>
              <w:rPr>
                <w:sz w:val="15"/>
              </w:rPr>
              <w:t xml:space="preserve"> One run. No payment to an unregistered account. One bypass from a field the model changed (X02).</w:t>
            </w:r>
          </w:p>
        </w:tc>
      </w:tr>
      <w:tr>
        <w:trPr>
          <w:cantSplit/>
        </w:trPr>
        <w:tc>
          <w:tcPr>
            <w:tcW w:w="2592" w:type="dxa"/>
          </w:tcPr>
          <w:p>
            <w:pPr>
              <w:spacing w:after="0" w:before="0" w:line="240" w:lineRule="auto"/>
            </w:pPr>
            <w:r>
              <w:rPr>
                <w:sz w:val="15"/>
              </w:rPr>
              <w:t>Regression after the frozen runs</w:t>
            </w:r>
          </w:p>
        </w:tc>
        <w:tc>
          <w:tcPr>
            <w:tcW w:w="3888" w:type="dxa"/>
          </w:tcPr>
          <w:p>
            <w:pPr>
              <w:spacing w:after="0" w:before="0" w:line="240" w:lineRule="auto"/>
            </w:pPr>
            <w:r>
              <w:rPr>
                <w:sz w:val="15"/>
              </w:rPr>
              <w:t>Qwen 7B 103/105 on v2; cascade 103/105; both 69/69 and 29/29 on the development suites; 1230 tests pass</w:t>
            </w:r>
          </w:p>
        </w:tc>
        <w:tc>
          <w:tcPr>
            <w:tcW w:w="2991" w:type="dxa"/>
          </w:tcPr>
          <w:p>
            <w:pPr>
              <w:spacing w:after="0" w:before="0" w:line="240" w:lineRule="auto"/>
            </w:pPr>
            <w:r>
              <w:rPr>
                <w:sz w:val="15"/>
              </w:rPr>
              <w:t>Not generalisation: the system was changed after seeing these cases.</w:t>
            </w:r>
          </w:p>
        </w:tc>
      </w:tr>
    </w:tbl>
    <w:p>
      <w:pPr>
        <w:spacing w:after="120" w:before="0" w:line="40" w:lineRule="exact"/>
      </w:pPr>
    </w:p>
    <w:p>
      <w:pPr>
        <w:keepNext w:val="0"/>
        <w:spacing w:after="60" w:before="0"/>
        <w:ind w:left="317"/>
      </w:pPr>
      <w:r>
        <w:rPr>
          <w:b/>
        </w:rPr>
        <w:t>White-box audits.</w:t>
      </w:r>
      <w:r>
        <w:t xml:space="preserve"> Round 1 (code before </w:t>
      </w:r>
      <w:r>
        <w:rPr>
          <w:rFonts w:ascii="Consolas" w:hAnsi="Consolas" w:eastAsia="Consolas"/>
          <w:color w:val="2B3F77"/>
          <w:sz w:val="19"/>
        </w:rPr>
        <w:t>2ce6035</w:t>
      </w:r>
      <w:r>
        <w:t xml:space="preserve">): 12 findings (3 High, 3 Medium, 6 Low). Round 2 (code at </w:t>
      </w:r>
      <w:r>
        <w:rPr>
          <w:rFonts w:ascii="Consolas" w:hAnsi="Consolas" w:eastAsia="Consolas"/>
          <w:color w:val="2B3F77"/>
          <w:sz w:val="19"/>
        </w:rPr>
        <w:t>22b144e</w:t>
      </w:r>
      <w:r>
        <w:t xml:space="preserve">): 11 findings (2 Medium, 9 Low). Each has a test in </w:t>
      </w:r>
      <w:r>
        <w:rPr>
          <w:rFonts w:ascii="Consolas" w:hAnsi="Consolas" w:eastAsia="Consolas"/>
          <w:color w:val="2B3F77"/>
          <w:sz w:val="19"/>
        </w:rPr>
        <w:t>tests/audit/</w:t>
      </w:r>
      <w:r>
        <w:t xml:space="preserve"> that runs the exploit; 96 tests pass and no xfail is left.</w:t>
      </w:r>
    </w:p>
    <w:tbl>
      <w:tblPr>
        <w:tblW w:w="9470"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338"/>
        <w:gridCol w:w="823"/>
        <w:gridCol w:w="5044"/>
        <w:gridCol w:w="2265"/>
      </w:tblGrid>
      <w:tr>
        <w:trPr>
          <w:cantSplit/>
          <w:tblHeader/>
        </w:trPr>
        <w:tc>
          <w:tcPr>
            <w:tcW w:w="1338" w:type="dxa"/>
            <w:shd w:val="clear" w:color="auto" w:fill="EEF3FF"/>
          </w:tcPr>
          <w:p>
            <w:pPr>
              <w:spacing w:after="0" w:before="0" w:line="240" w:lineRule="auto"/>
            </w:pPr>
            <w:r>
              <w:rPr>
                <w:b/>
                <w:sz w:val="15"/>
              </w:rPr>
              <w:t>ID</w:t>
            </w:r>
          </w:p>
        </w:tc>
        <w:tc>
          <w:tcPr>
            <w:tcW w:w="823" w:type="dxa"/>
            <w:shd w:val="clear" w:color="auto" w:fill="EEF3FF"/>
          </w:tcPr>
          <w:p>
            <w:pPr>
              <w:spacing w:after="0" w:before="0" w:line="240" w:lineRule="auto"/>
            </w:pPr>
            <w:r>
              <w:rPr>
                <w:b/>
                <w:sz w:val="15"/>
              </w:rPr>
              <w:t>Sev.</w:t>
            </w:r>
          </w:p>
        </w:tc>
        <w:tc>
          <w:tcPr>
            <w:tcW w:w="5044" w:type="dxa"/>
            <w:shd w:val="clear" w:color="auto" w:fill="EEF3FF"/>
          </w:tcPr>
          <w:p>
            <w:pPr>
              <w:spacing w:after="0" w:before="0" w:line="240" w:lineRule="auto"/>
            </w:pPr>
            <w:r>
              <w:rPr>
                <w:b/>
                <w:sz w:val="15"/>
              </w:rPr>
              <w:t>Finding</w:t>
            </w:r>
          </w:p>
        </w:tc>
        <w:tc>
          <w:tcPr>
            <w:tcW w:w="2265" w:type="dxa"/>
            <w:shd w:val="clear" w:color="auto" w:fill="EEF3FF"/>
          </w:tcPr>
          <w:p>
            <w:pPr>
              <w:spacing w:after="0" w:before="0" w:line="240" w:lineRule="auto"/>
            </w:pPr>
            <w:r>
              <w:rPr>
                <w:b/>
                <w:sz w:val="15"/>
              </w:rPr>
              <w:t>Status</w:t>
            </w:r>
          </w:p>
        </w:tc>
      </w:tr>
      <w:tr>
        <w:trPr>
          <w:cantSplit/>
        </w:trPr>
        <w:tc>
          <w:tcPr>
            <w:tcW w:w="1338" w:type="dxa"/>
          </w:tcPr>
          <w:p>
            <w:pPr>
              <w:spacing w:after="0" w:before="0" w:line="240" w:lineRule="auto"/>
            </w:pPr>
            <w:r>
              <w:rPr>
                <w:sz w:val="15"/>
              </w:rPr>
              <w:t>AUDIT-1</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poisoned FX quote could charge 2,590 USD for 100 EUR; quotes were reusable</w:t>
            </w:r>
          </w:p>
        </w:tc>
        <w:tc>
          <w:tcPr>
            <w:tcW w:w="2265" w:type="dxa"/>
          </w:tcPr>
          <w:p>
            <w:pPr>
              <w:spacing w:after="0" w:before="0" w:line="240" w:lineRule="auto"/>
            </w:pPr>
            <w:r>
              <w:rPr>
                <w:sz w:val="15"/>
              </w:rPr>
              <w:t xml:space="preserve">Fixed: ledger issues single-use quotes; </w:t>
            </w:r>
            <w:r>
              <w:rPr>
                <w:rFonts w:ascii="Consolas" w:hAnsi="Consolas" w:eastAsia="Consolas"/>
                <w:color w:val="2B3F77"/>
                <w:sz w:val="14"/>
              </w:rPr>
              <w:t>FX_PRICE_CHECK</w:t>
            </w:r>
          </w:p>
        </w:tc>
      </w:tr>
      <w:tr>
        <w:trPr>
          <w:cantSplit/>
        </w:trPr>
        <w:tc>
          <w:tcPr>
            <w:tcW w:w="1338" w:type="dxa"/>
          </w:tcPr>
          <w:p>
            <w:pPr>
              <w:spacing w:after="0" w:before="0" w:line="240" w:lineRule="auto"/>
            </w:pPr>
            <w:r>
              <w:rPr>
                <w:sz w:val="15"/>
              </w:rPr>
              <w:t>AUDIT-2</w:t>
            </w:r>
          </w:p>
        </w:tc>
        <w:tc>
          <w:tcPr>
            <w:tcW w:w="823" w:type="dxa"/>
          </w:tcPr>
          <w:p>
            <w:pPr>
              <w:spacing w:after="0" w:before="0" w:line="240" w:lineRule="auto"/>
            </w:pPr>
            <w:r>
              <w:rPr>
                <w:sz w:val="15"/>
              </w:rPr>
              <w:t>High</w:t>
            </w:r>
          </w:p>
        </w:tc>
        <w:tc>
          <w:tcPr>
            <w:tcW w:w="5044" w:type="dxa"/>
          </w:tcPr>
          <w:p>
            <w:pPr>
              <w:spacing w:after="0" w:before="0" w:line="240" w:lineRule="auto"/>
            </w:pPr>
            <w:r>
              <w:rPr>
                <w:sz w:val="15"/>
              </w:rPr>
              <w:t>A watch-listed IBAN with Arabic-Indic digits got R3, not the sanctions deny; no mod-97 check</w:t>
            </w:r>
          </w:p>
        </w:tc>
        <w:tc>
          <w:tcPr>
            <w:tcW w:w="2265" w:type="dxa"/>
          </w:tcPr>
          <w:p>
            <w:pPr>
              <w:spacing w:after="0" w:before="0" w:line="240" w:lineRule="auto"/>
            </w:pPr>
            <w:r>
              <w:rPr>
                <w:sz w:val="15"/>
              </w:rPr>
              <w:t xml:space="preserve">Fixed: canonical IBAN, </w:t>
            </w:r>
            <w:r>
              <w:rPr>
                <w:rFonts w:ascii="Consolas" w:hAnsi="Consolas" w:eastAsia="Consolas"/>
                <w:color w:val="2B3F77"/>
                <w:sz w:val="14"/>
              </w:rPr>
              <w:t>IBAN_VALID</w:t>
            </w:r>
          </w:p>
        </w:tc>
      </w:tr>
      <w:tr>
        <w:trPr>
          <w:cantSplit/>
        </w:trPr>
        <w:tc>
          <w:tcPr>
            <w:tcW w:w="1338" w:type="dxa"/>
          </w:tcPr>
          <w:p>
            <w:pPr>
              <w:spacing w:after="0" w:before="0" w:line="240" w:lineRule="auto"/>
            </w:pPr>
            <w:r>
              <w:rPr>
                <w:sz w:val="15"/>
              </w:rPr>
              <w:t>AUDIT-3</w:t>
            </w:r>
          </w:p>
        </w:tc>
        <w:tc>
          <w:tcPr>
            <w:tcW w:w="823" w:type="dxa"/>
          </w:tcPr>
          <w:p>
            <w:pPr>
              <w:spacing w:after="0" w:before="0" w:line="240" w:lineRule="auto"/>
            </w:pPr>
            <w:r>
              <w:rPr>
                <w:sz w:val="15"/>
              </w:rPr>
              <w:t>High</w:t>
            </w:r>
          </w:p>
        </w:tc>
        <w:tc>
          <w:tcPr>
            <w:tcW w:w="5044" w:type="dxa"/>
          </w:tcPr>
          <w:p>
            <w:pPr>
              <w:spacing w:after="0" w:before="0" w:line="240" w:lineRule="auto"/>
            </w:pPr>
            <w:r>
              <w:rPr>
                <w:sz w:val="15"/>
              </w:rPr>
              <w:t>The wrong-code lockout reset with each new action, correction or session</w:t>
            </w:r>
          </w:p>
        </w:tc>
        <w:tc>
          <w:tcPr>
            <w:tcW w:w="2265" w:type="dxa"/>
          </w:tcPr>
          <w:p>
            <w:pPr>
              <w:spacing w:after="0" w:before="0" w:line="240" w:lineRule="auto"/>
            </w:pPr>
            <w:r>
              <w:rPr>
                <w:sz w:val="15"/>
              </w:rPr>
              <w:t>Fixed: counted per customer</w:t>
            </w:r>
          </w:p>
        </w:tc>
      </w:tr>
      <w:tr>
        <w:trPr>
          <w:cantSplit/>
        </w:trPr>
        <w:tc>
          <w:tcPr>
            <w:tcW w:w="1338" w:type="dxa"/>
          </w:tcPr>
          <w:p>
            <w:pPr>
              <w:spacing w:after="0" w:before="0" w:line="240" w:lineRule="auto"/>
            </w:pPr>
            <w:r>
              <w:rPr>
                <w:sz w:val="15"/>
              </w:rPr>
              <w:t>AUDIT-4, 5, 6</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Armenian and Cherokee look-alikes passed the name screen; a new payee could shadow "mom"; a payee name rendered as HTML hid every warning</w:t>
            </w:r>
          </w:p>
        </w:tc>
        <w:tc>
          <w:tcPr>
            <w:tcW w:w="2265" w:type="dxa"/>
          </w:tcPr>
          <w:p>
            <w:pPr>
              <w:spacing w:after="0" w:before="0" w:line="240" w:lineRule="auto"/>
            </w:pPr>
            <w:r>
              <w:rPr>
                <w:sz w:val="15"/>
              </w:rPr>
              <w:t xml:space="preserve">Fixed: wider table, fail closed; </w:t>
            </w:r>
            <w:r>
              <w:rPr>
                <w:rFonts w:ascii="Consolas" w:hAnsi="Consolas" w:eastAsia="Consolas"/>
                <w:color w:val="2B3F77"/>
                <w:sz w:val="14"/>
              </w:rPr>
              <w:t>PAYEE_NAME_UNIQUE</w:t>
            </w:r>
            <w:r>
              <w:rPr>
                <w:sz w:val="15"/>
              </w:rPr>
              <w:t>; escaping</w:t>
            </w:r>
          </w:p>
        </w:tc>
      </w:tr>
      <w:tr>
        <w:trPr>
          <w:cantSplit/>
        </w:trPr>
        <w:tc>
          <w:tcPr>
            <w:tcW w:w="1338" w:type="dxa"/>
          </w:tcPr>
          <w:p>
            <w:pPr>
              <w:spacing w:after="0" w:before="0" w:line="240" w:lineRule="auto"/>
            </w:pPr>
            <w:r>
              <w:rPr>
                <w:sz w:val="15"/>
              </w:rPr>
              <w:t>AUDIT-7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Huge amounts raised an exception; </w:t>
            </w:r>
            <w:r>
              <w:rPr>
                <w:rFonts w:ascii="Consolas" w:hAnsi="Consolas" w:eastAsia="Consolas"/>
                <w:color w:val="2B3F77"/>
                <w:sz w:val="14"/>
              </w:rPr>
              <w:t>1.005</w:t>
            </w:r>
            <w:r>
              <w:rPr>
                <w:sz w:val="15"/>
              </w:rPr>
              <w:t xml:space="preserve"> rounded silently; raw messages logged; one global receipt chain; malformed anchor crashed verification</w:t>
            </w:r>
          </w:p>
        </w:tc>
        <w:tc>
          <w:tcPr>
            <w:tcW w:w="2265" w:type="dxa"/>
          </w:tcPr>
          <w:p>
            <w:pPr>
              <w:spacing w:after="0" w:before="0" w:line="240" w:lineRule="auto"/>
            </w:pPr>
            <w:r>
              <w:rPr>
                <w:sz w:val="15"/>
              </w:rPr>
              <w:t>Fixed</w:t>
            </w:r>
          </w:p>
        </w:tc>
      </w:tr>
      <w:tr>
        <w:trPr>
          <w:cantSplit/>
        </w:trPr>
        <w:tc>
          <w:tcPr>
            <w:tcW w:w="1338" w:type="dxa"/>
          </w:tcPr>
          <w:p>
            <w:pPr>
              <w:spacing w:after="0" w:before="0" w:line="240" w:lineRule="auto"/>
            </w:pPr>
            <w:r>
              <w:rPr>
                <w:sz w:val="15"/>
              </w:rPr>
              <w:t>AUDIT-12</w:t>
            </w:r>
          </w:p>
        </w:tc>
        <w:tc>
          <w:tcPr>
            <w:tcW w:w="823" w:type="dxa"/>
          </w:tcPr>
          <w:p>
            <w:pPr>
              <w:spacing w:after="0" w:before="0" w:line="240" w:lineRule="auto"/>
            </w:pPr>
            <w:r>
              <w:rPr>
                <w:sz w:val="15"/>
              </w:rPr>
              <w:t>Low</w:t>
            </w:r>
          </w:p>
        </w:tc>
        <w:tc>
          <w:tcPr>
            <w:tcW w:w="5044" w:type="dxa"/>
          </w:tcPr>
          <w:p>
            <w:pPr>
              <w:spacing w:after="0" w:before="0" w:line="240" w:lineRule="auto"/>
            </w:pPr>
            <w:r>
              <w:rPr>
                <w:sz w:val="15"/>
              </w:rPr>
              <w:t xml:space="preserve">Anchors signed with the public demo key when </w:t>
            </w:r>
            <w:r>
              <w:rPr>
                <w:rFonts w:ascii="Consolas" w:hAnsi="Consolas" w:eastAsia="Consolas"/>
                <w:color w:val="2B3F77"/>
                <w:sz w:val="14"/>
              </w:rPr>
              <w:t>BG_RECEIPT_KEY</w:t>
            </w:r>
            <w:r>
              <w:rPr>
                <w:sz w:val="15"/>
              </w:rPr>
              <w:t xml:space="preserve"> is unset</w:t>
            </w:r>
          </w:p>
        </w:tc>
        <w:tc>
          <w:tcPr>
            <w:tcW w:w="2265" w:type="dxa"/>
          </w:tcPr>
          <w:p>
            <w:pPr>
              <w:spacing w:after="0" w:before="0" w:line="240" w:lineRule="auto"/>
            </w:pPr>
            <w:r>
              <w:rPr>
                <w:sz w:val="15"/>
              </w:rPr>
              <w:t>Mitigated: logged and shown in the UI; still the offline default</w:t>
            </w:r>
          </w:p>
        </w:tc>
      </w:tr>
      <w:tr>
        <w:trPr>
          <w:cantSplit/>
        </w:trPr>
        <w:tc>
          <w:tcPr>
            <w:tcW w:w="1338" w:type="dxa"/>
          </w:tcPr>
          <w:p>
            <w:pPr>
              <w:spacing w:after="0" w:before="0" w:line="240" w:lineRule="auto"/>
            </w:pPr>
            <w:r>
              <w:rPr>
                <w:sz w:val="15"/>
              </w:rPr>
              <w:t>AUDIT2-1, 2</w:t>
            </w:r>
          </w:p>
        </w:tc>
        <w:tc>
          <w:tcPr>
            <w:tcW w:w="823" w:type="dxa"/>
          </w:tcPr>
          <w:p>
            <w:pPr>
              <w:spacing w:after="0" w:before="0" w:line="240" w:lineRule="auto"/>
            </w:pPr>
            <w:r>
              <w:rPr>
                <w:sz w:val="15"/>
              </w:rPr>
              <w:t>Medium</w:t>
            </w:r>
          </w:p>
        </w:tc>
        <w:tc>
          <w:tcPr>
            <w:tcW w:w="5044" w:type="dxa"/>
          </w:tcPr>
          <w:p>
            <w:pPr>
              <w:spacing w:after="0" w:before="0" w:line="240" w:lineRule="auto"/>
            </w:pPr>
            <w:r>
              <w:rPr>
                <w:sz w:val="15"/>
              </w:rPr>
              <w:t>A sanctioned name without spaces passed the screen; a model's free text was shown as the bank's own words and bare URLs became links</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r>
        <w:trPr>
          <w:cantSplit/>
        </w:trPr>
        <w:tc>
          <w:tcPr>
            <w:tcW w:w="1338" w:type="dxa"/>
          </w:tcPr>
          <w:p>
            <w:pPr>
              <w:spacing w:after="0" w:before="0" w:line="240" w:lineRule="auto"/>
            </w:pPr>
            <w:r>
              <w:rPr>
                <w:sz w:val="15"/>
              </w:rPr>
              <w:t>AUDIT2-3 to 11</w:t>
            </w:r>
          </w:p>
        </w:tc>
        <w:tc>
          <w:tcPr>
            <w:tcW w:w="823" w:type="dxa"/>
          </w:tcPr>
          <w:p>
            <w:pPr>
              <w:spacing w:after="0" w:before="0" w:line="240" w:lineRule="auto"/>
            </w:pPr>
            <w:r>
              <w:rPr>
                <w:sz w:val="15"/>
              </w:rPr>
              <w:t>Low</w:t>
            </w:r>
          </w:p>
        </w:tc>
        <w:tc>
          <w:tcPr>
            <w:tcW w:w="5044" w:type="dxa"/>
          </w:tcPr>
          <w:p>
            <w:pPr>
              <w:spacing w:after="0" w:before="0" w:line="240" w:lineRule="auto"/>
            </w:pPr>
            <w:r>
              <w:rPr>
                <w:sz w:val="15"/>
              </w:rPr>
              <w:t>Markdown in chips; ungrounded synonyms, currencies and memo; question turned into a correction; duplicate cards; proxy variable; raw telemetry; quadratic CPU on a long message</w:t>
            </w:r>
          </w:p>
        </w:tc>
        <w:tc>
          <w:tcPr>
            <w:tcW w:w="2265" w:type="dxa"/>
          </w:tcPr>
          <w:p>
            <w:pPr>
              <w:spacing w:after="0" w:before="0" w:line="240" w:lineRule="auto"/>
            </w:pPr>
            <w:r>
              <w:rPr>
                <w:sz w:val="15"/>
              </w:rPr>
              <w:t xml:space="preserve">Fixed in </w:t>
            </w:r>
            <w:r>
              <w:rPr>
                <w:rFonts w:ascii="Consolas" w:hAnsi="Consolas" w:eastAsia="Consolas"/>
                <w:color w:val="2B3F77"/>
                <w:sz w:val="14"/>
              </w:rPr>
              <w:t>c10f0a0</w:t>
            </w:r>
          </w:p>
        </w:tc>
      </w:tr>
    </w:tbl>
    <w:p>
      <w:pPr>
        <w:spacing w:after="120" w:before="0" w:line="40" w:lineRule="exact"/>
      </w:pPr>
    </w:p>
    <w:p>
      <w:pPr>
        <w:pStyle w:val="Heading1"/>
      </w:pPr>
      <w:r>
        <w:t>03 Data and Privacy</w:t>
      </w:r>
    </w:p>
    <w:p>
      <w:pPr>
        <w:pStyle w:val="ListBullet"/>
        <w:keepNext/>
        <w:spacing w:after="100" w:before="120"/>
      </w:pPr>
      <w:r>
        <w:rPr>
          <w:b/>
        </w:rPr>
        <w:t>Data provenance, consent, minimisation, storage and deletion</w:t>
      </w:r>
    </w:p>
    <w:tbl>
      <w:tblPr>
        <w:tblW w:w="9471" w:type="dxa"/>
        <w:tblInd w:w="32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1544"/>
        <w:gridCol w:w="7927"/>
      </w:tblGrid>
      <w:tr>
        <w:trPr>
          <w:cantSplit/>
          <w:tblHeader/>
        </w:trPr>
        <w:tc>
          <w:tcPr>
            <w:tcW w:w="1544" w:type="dxa"/>
            <w:shd w:val="clear" w:color="auto" w:fill="EEF3FF"/>
          </w:tcPr>
          <w:p>
            <w:pPr>
              <w:spacing w:after="0" w:before="0" w:line="240" w:lineRule="auto"/>
            </w:pPr>
            <w:r>
              <w:rPr>
                <w:b/>
                <w:sz w:val="17"/>
              </w:rPr>
              <w:t>Topic</w:t>
            </w:r>
          </w:p>
        </w:tc>
        <w:tc>
          <w:tcPr>
            <w:tcW w:w="7927" w:type="dxa"/>
            <w:shd w:val="clear" w:color="auto" w:fill="EEF3FF"/>
          </w:tcPr>
          <w:p>
            <w:pPr>
              <w:spacing w:after="0" w:before="0" w:line="240" w:lineRule="auto"/>
            </w:pPr>
            <w:r>
              <w:rPr>
                <w:b/>
                <w:sz w:val="17"/>
              </w:rPr>
              <w:t>What is true in this prototype</w:t>
            </w:r>
          </w:p>
        </w:tc>
      </w:tr>
      <w:tr>
        <w:trPr>
          <w:cantSplit/>
        </w:trPr>
        <w:tc>
          <w:tcPr>
            <w:tcW w:w="1544" w:type="dxa"/>
          </w:tcPr>
          <w:p>
            <w:pPr>
              <w:spacing w:after="0" w:before="0" w:line="240" w:lineRule="auto"/>
            </w:pPr>
            <w:r>
              <w:rPr>
                <w:sz w:val="17"/>
              </w:rPr>
              <w:t>Provenance</w:t>
            </w:r>
          </w:p>
        </w:tc>
        <w:tc>
          <w:tcPr>
            <w:tcW w:w="7927" w:type="dxa"/>
          </w:tcPr>
          <w:p>
            <w:pPr>
              <w:spacing w:after="0" w:before="0" w:line="240" w:lineRule="auto"/>
            </w:pPr>
            <w:r>
              <w:rPr>
                <w:sz w:val="17"/>
              </w:rPr>
              <w:t xml:space="preserve">All data is synthetic. The persona (Lina), balances, payees, IBANs, invoices and the sanctions list are invented constants in </w:t>
            </w:r>
            <w:r>
              <w:rPr>
                <w:rFonts w:ascii="Consolas" w:hAnsi="Consolas" w:eastAsia="Consolas"/>
                <w:color w:val="2B3F77"/>
                <w:sz w:val="16"/>
              </w:rPr>
              <w:t>bg/contracts/params.py</w:t>
            </w:r>
            <w:r>
              <w:rPr>
                <w:sz w:val="17"/>
              </w:rPr>
              <w:t>. The IBANs are fictional and pass the mod-97 check. No real person, account or document was used. The Qwen models were run unmodified; nothing was fine-tuned.</w:t>
            </w:r>
          </w:p>
        </w:tc>
      </w:tr>
      <w:tr>
        <w:trPr>
          <w:cantSplit/>
        </w:trPr>
        <w:tc>
          <w:tcPr>
            <w:tcW w:w="1544" w:type="dxa"/>
          </w:tcPr>
          <w:p>
            <w:pPr>
              <w:spacing w:after="0" w:before="0" w:line="240" w:lineRule="auto"/>
            </w:pPr>
            <w:r>
              <w:rPr>
                <w:sz w:val="17"/>
              </w:rPr>
              <w:t>Consent</w:t>
            </w:r>
          </w:p>
        </w:tc>
        <w:tc>
          <w:tcPr>
            <w:tcW w:w="7927" w:type="dxa"/>
          </w:tcPr>
          <w:p>
            <w:pPr>
              <w:spacing w:after="0" w:before="0" w:line="240" w:lineRule="auto"/>
            </w:pPr>
            <w:r>
              <w:rPr>
                <w:sz w:val="17"/>
              </w:rPr>
              <w:t>No real user took part, so no personal data was collected and no consent was needed. A real deployment would need the customer's consent to process her messages, and to send them to a third-party model if a remote model is connected. Choosing "Connect a model" in the UI shows that a remote endpoint receives the messages.</w:t>
            </w:r>
          </w:p>
        </w:tc>
      </w:tr>
      <w:tr>
        <w:trPr>
          <w:cantSplit/>
        </w:trPr>
        <w:tc>
          <w:tcPr>
            <w:tcW w:w="1544" w:type="dxa"/>
          </w:tcPr>
          <w:p>
            <w:pPr>
              <w:spacing w:after="0" w:before="0" w:line="240" w:lineRule="auto"/>
            </w:pPr>
            <w:r>
              <w:rPr>
                <w:sz w:val="17"/>
              </w:rPr>
              <w:t>Minimisation</w:t>
            </w:r>
          </w:p>
        </w:tc>
        <w:tc>
          <w:tcPr>
            <w:tcW w:w="7927" w:type="dxa"/>
          </w:tcPr>
          <w:p>
            <w:pPr>
              <w:spacing w:after="0" w:before="0" w:line="240" w:lineRule="auto"/>
            </w:pPr>
            <w:r>
              <w:rPr>
                <w:sz w:val="17"/>
              </w:rPr>
              <w:t>A model receives only the customer's message, her own payee names and aliases, and the agent's pending question. Never IBANs, balances, documents or other customers' data. The audit log keeps a SHA-256 and the length of each message instead of its text, masks IBANs to their last four characters and drops one-time codes. Model telemetry holds timings, a hash and an error class.</w:t>
            </w:r>
          </w:p>
        </w:tc>
      </w:tr>
      <w:tr>
        <w:trPr>
          <w:cantSplit/>
        </w:trPr>
        <w:tc>
          <w:tcPr>
            <w:tcW w:w="1544" w:type="dxa"/>
          </w:tcPr>
          <w:p>
            <w:pPr>
              <w:spacing w:after="0" w:before="0" w:line="240" w:lineRule="auto"/>
            </w:pPr>
            <w:r>
              <w:rPr>
                <w:sz w:val="17"/>
              </w:rPr>
              <w:t>Storage</w:t>
            </w:r>
          </w:p>
        </w:tc>
        <w:tc>
          <w:tcPr>
            <w:tcW w:w="7927" w:type="dxa"/>
          </w:tcPr>
          <w:p>
            <w:pPr>
              <w:spacing w:after="0" w:before="0" w:line="240" w:lineRule="auto"/>
            </w:pPr>
            <w:r>
              <w:rPr>
                <w:sz w:val="17"/>
              </w:rPr>
              <w:t xml:space="preserve">Sessions, drafts, the wrong-code counter and ledger state are in memory and end with the process. Receipts are in SQLite, in memory by default or in a file if a path is given; each row holds the full action payload as plain text. Mission audit logs in </w:t>
            </w:r>
            <w:r>
              <w:rPr>
                <w:rFonts w:ascii="Consolas" w:hAnsi="Consolas" w:eastAsia="Consolas"/>
                <w:color w:val="2B3F77"/>
                <w:sz w:val="16"/>
              </w:rPr>
              <w:t>deliverables/evidence/</w:t>
            </w:r>
            <w:r>
              <w:rPr>
                <w:sz w:val="17"/>
              </w:rPr>
              <w:t xml:space="preserve"> are masked. A connected model's API key lives only in the browser session or the environment and is never written to disk. There is no encryption at rest and no access control in the sandbox.</w:t>
            </w:r>
          </w:p>
        </w:tc>
      </w:tr>
      <w:tr>
        <w:trPr>
          <w:cantSplit/>
        </w:trPr>
        <w:tc>
          <w:tcPr>
            <w:tcW w:w="1544" w:type="dxa"/>
          </w:tcPr>
          <w:p>
            <w:pPr>
              <w:spacing w:after="0" w:before="0" w:line="240" w:lineRule="auto"/>
            </w:pPr>
            <w:r>
              <w:rPr>
                <w:sz w:val="17"/>
              </w:rPr>
              <w:t>Third parties</w:t>
            </w:r>
          </w:p>
        </w:tc>
        <w:tc>
          <w:tcPr>
            <w:tcW w:w="7927" w:type="dxa"/>
          </w:tcPr>
          <w:p>
            <w:pPr>
              <w:spacing w:after="0" w:before="0" w:line="240" w:lineRule="auto"/>
            </w:pPr>
            <w:r>
              <w:rPr>
                <w:sz w:val="17"/>
              </w:rPr>
              <w:t xml:space="preserve">None by default; no network call is made. A local model is called on </w:t>
            </w:r>
            <w:r>
              <w:rPr>
                <w:rFonts w:ascii="Consolas" w:hAnsi="Consolas" w:eastAsia="Consolas"/>
                <w:color w:val="2B3F77"/>
                <w:sz w:val="16"/>
              </w:rPr>
              <w:t>localhost</w:t>
            </w:r>
            <w:r>
              <w:rPr>
                <w:sz w:val="17"/>
              </w:rPr>
              <w:t>. A connected remote model receives the message and the payee names.</w:t>
            </w:r>
          </w:p>
        </w:tc>
      </w:tr>
      <w:tr>
        <w:trPr>
          <w:cantSplit/>
        </w:trPr>
        <w:tc>
          <w:tcPr>
            <w:tcW w:w="1544" w:type="dxa"/>
          </w:tcPr>
          <w:p>
            <w:pPr>
              <w:spacing w:after="0" w:before="0" w:line="240" w:lineRule="auto"/>
            </w:pPr>
            <w:r>
              <w:rPr>
                <w:sz w:val="17"/>
              </w:rPr>
              <w:t>Deletion</w:t>
            </w:r>
          </w:p>
        </w:tc>
        <w:tc>
          <w:tcPr>
            <w:tcW w:w="7927" w:type="dxa"/>
          </w:tcPr>
          <w:p>
            <w:pPr>
              <w:spacing w:after="0" w:before="0" w:line="240" w:lineRule="auto"/>
            </w:pPr>
            <w:r>
              <w:rPr>
                <w:sz w:val="17"/>
              </w:rPr>
              <w:t>Ending the process or pressing Reset demo discards the sandbox state. The receipt chain cannot be edited without breaking verification, so a real erasure request needs another design (hashes only in the chain, payloads in a separate store under a per-customer key that can be deleted). That is not built.</w:t>
            </w:r>
          </w:p>
        </w:tc>
      </w:tr>
      <w:tr>
        <w:trPr>
          <w:cantSplit/>
        </w:trPr>
        <w:tc>
          <w:tcPr>
            <w:tcW w:w="1544" w:type="dxa"/>
          </w:tcPr>
          <w:p>
            <w:pPr>
              <w:spacing w:after="0" w:before="0" w:line="240" w:lineRule="auto"/>
            </w:pPr>
            <w:r>
              <w:rPr>
                <w:sz w:val="17"/>
              </w:rPr>
              <w:t>Secrets</w:t>
            </w:r>
          </w:p>
        </w:tc>
        <w:tc>
          <w:tcPr>
            <w:tcW w:w="7927" w:type="dxa"/>
          </w:tcPr>
          <w:p>
            <w:pPr>
              <w:spacing w:after="0" w:before="0" w:line="240" w:lineRule="auto"/>
            </w:pPr>
            <w:r>
              <w:rPr>
                <w:sz w:val="17"/>
              </w:rPr>
              <w:t>An audit of the full git history found no API key, token or personal e-mail address. The committed receipt-signing key is a public demo value, flagged while it is in use.</w:t>
            </w:r>
          </w:p>
        </w:tc>
      </w:tr>
    </w:tbl>
    <w:p>
      <w:pPr>
        <w:spacing w:after="120" w:before="0" w:line="40" w:lineRule="exact"/>
      </w:pPr>
    </w:p>
    <w:p>
      <w:pPr>
        <w:keepNext w:val="0"/>
        <w:spacing w:after="100" w:before="0"/>
        <w:ind w:left="317"/>
      </w:pPr>
      <w:r>
        <w:rPr>
          <w:sz w:val="19"/>
        </w:rPr>
        <w:t>No data-protection compliance (GDPR, PIPL or other) is claimed.</w:t>
      </w:r>
    </w:p>
    <w:p>
      <w:pPr>
        <w:pStyle w:val="Heading1"/>
      </w:pPr>
      <w:r>
        <w:t>04 Known Risks</w:t>
      </w:r>
    </w:p>
    <w:p>
      <w:pPr>
        <w:pStyle w:val="ListBullet"/>
        <w:keepNext/>
        <w:spacing w:after="100" w:before="120"/>
      </w:pPr>
      <w:r>
        <w:rPr>
          <w:b/>
        </w:rPr>
        <w:t>Risk, impact, mitigation and planned improvement</w:t>
      </w:r>
    </w:p>
    <w:tbl>
      <w:tblPr>
        <w:tblW w:w="9790" w:type="dxa"/>
        <w:tblBorders>
          <w:top w:val="single" w:sz="4" w:space="0" w:color="D5DBE8"/>
          <w:left w:val="nil"/>
          <w:bottom w:val="single" w:sz="4" w:space="0" w:color="D5DBE8"/>
          <w:right w:val="nil"/>
          <w:insideH w:val="single" w:sz="4" w:space="0" w:color="D5DBE8"/>
          <w:insideV w:val="nil"/>
        </w:tblBorders>
        <w:tblLayout w:type="fixed"/>
        <w:tblCellMar>
          <w:top w:w="45" w:type="dxa"/>
          <w:left w:w="70" w:type="dxa"/>
          <w:bottom w:w="45" w:type="dxa"/>
          <w:right w:w="70" w:type="dxa"/>
        </w:tblCellMar>
        <w:tblLook w:firstColumn="1" w:firstRow="1" w:lastColumn="0" w:lastRow="0" w:noHBand="0" w:noVBand="1" w:val="04A0"/>
      </w:tblPr>
      <w:tblGrid>
        <w:gridCol w:w="2660"/>
        <w:gridCol w:w="2235"/>
        <w:gridCol w:w="2660"/>
        <w:gridCol w:w="2235"/>
      </w:tblGrid>
      <w:tr>
        <w:trPr>
          <w:cantSplit/>
          <w:tblHeader/>
        </w:trPr>
        <w:tc>
          <w:tcPr>
            <w:tcW w:w="2660" w:type="dxa"/>
            <w:shd w:val="clear" w:color="auto" w:fill="EEF3FF"/>
          </w:tcPr>
          <w:p>
            <w:pPr>
              <w:spacing w:after="0" w:before="0" w:line="240" w:lineRule="auto"/>
            </w:pPr>
            <w:r>
              <w:rPr>
                <w:b/>
                <w:sz w:val="15"/>
              </w:rPr>
              <w:t>Risk</w:t>
            </w:r>
          </w:p>
        </w:tc>
        <w:tc>
          <w:tcPr>
            <w:tcW w:w="2235" w:type="dxa"/>
            <w:shd w:val="clear" w:color="auto" w:fill="EEF3FF"/>
          </w:tcPr>
          <w:p>
            <w:pPr>
              <w:spacing w:after="0" w:before="0" w:line="240" w:lineRule="auto"/>
            </w:pPr>
            <w:r>
              <w:rPr>
                <w:b/>
                <w:sz w:val="15"/>
              </w:rPr>
              <w:t>Impact</w:t>
            </w:r>
          </w:p>
        </w:tc>
        <w:tc>
          <w:tcPr>
            <w:tcW w:w="2660" w:type="dxa"/>
            <w:shd w:val="clear" w:color="auto" w:fill="EEF3FF"/>
          </w:tcPr>
          <w:p>
            <w:pPr>
              <w:spacing w:after="0" w:before="0" w:line="240" w:lineRule="auto"/>
            </w:pPr>
            <w:r>
              <w:rPr>
                <w:b/>
                <w:sz w:val="15"/>
              </w:rPr>
              <w:t>Mitigation today</w:t>
            </w:r>
          </w:p>
        </w:tc>
        <w:tc>
          <w:tcPr>
            <w:tcW w:w="2235" w:type="dxa"/>
            <w:shd w:val="clear" w:color="auto" w:fill="EEF3FF"/>
          </w:tcPr>
          <w:p>
            <w:pPr>
              <w:spacing w:after="0" w:before="0" w:line="240" w:lineRule="auto"/>
            </w:pPr>
            <w:r>
              <w:rPr>
                <w:b/>
                <w:sz w:val="15"/>
              </w:rPr>
              <w:t>Planned improvement</w:t>
            </w:r>
          </w:p>
        </w:tc>
      </w:tr>
      <w:tr>
        <w:trPr>
          <w:cantSplit/>
        </w:trPr>
        <w:tc>
          <w:tcPr>
            <w:tcW w:w="2660" w:type="dxa"/>
          </w:tcPr>
          <w:p>
            <w:pPr>
              <w:spacing w:after="0" w:before="0" w:line="240" w:lineRule="auto"/>
            </w:pPr>
            <w:r>
              <w:rPr>
                <w:sz w:val="15"/>
              </w:rPr>
              <w:t>Sandbox only: no real bank, KYC, AML or FX source; one persona, EUR and USD</w:t>
            </w:r>
          </w:p>
        </w:tc>
        <w:tc>
          <w:tcPr>
            <w:tcW w:w="2235" w:type="dxa"/>
          </w:tcPr>
          <w:p>
            <w:pPr>
              <w:spacing w:after="0" w:before="0" w:line="240" w:lineRule="auto"/>
            </w:pPr>
            <w:r>
              <w:rPr>
                <w:sz w:val="15"/>
              </w:rPr>
              <w:t>No claim about production behaviour or compliance</w:t>
            </w:r>
          </w:p>
        </w:tc>
        <w:tc>
          <w:tcPr>
            <w:tcW w:w="2660" w:type="dxa"/>
          </w:tcPr>
          <w:p>
            <w:pPr>
              <w:spacing w:after="0" w:before="0" w:line="240" w:lineRule="auto"/>
            </w:pPr>
            <w:r>
              <w:rPr>
                <w:sz w:val="15"/>
              </w:rPr>
              <w:t>Stated in every document; the UI shows "SANDBOX, no real money"</w:t>
            </w:r>
          </w:p>
        </w:tc>
        <w:tc>
          <w:tcPr>
            <w:tcW w:w="2235" w:type="dxa"/>
          </w:tcPr>
          <w:p>
            <w:pPr>
              <w:spacing w:after="0" w:before="0" w:line="240" w:lineRule="auto"/>
            </w:pPr>
            <w:r>
              <w:rPr>
                <w:sz w:val="15"/>
              </w:rPr>
              <w:t>Integrate a real payment-initiation API and the bank's strong customer authentication</w:t>
            </w:r>
          </w:p>
        </w:tc>
      </w:tr>
      <w:tr>
        <w:trPr>
          <w:cantSplit/>
        </w:trPr>
        <w:tc>
          <w:tcPr>
            <w:tcW w:w="2660" w:type="dxa"/>
          </w:tcPr>
          <w:p>
            <w:pPr>
              <w:spacing w:after="0" w:before="0" w:line="240" w:lineRule="auto"/>
            </w:pPr>
            <w:r>
              <w:rPr>
                <w:sz w:val="15"/>
              </w:rPr>
              <w:t xml:space="preserve">No authentication; fixed one-time code </w:t>
            </w:r>
            <w:r>
              <w:rPr>
                <w:rFonts w:ascii="Consolas" w:hAnsi="Consolas" w:eastAsia="Consolas"/>
                <w:color w:val="2B3F77"/>
                <w:sz w:val="14"/>
              </w:rPr>
              <w:t>246810</w:t>
            </w:r>
            <w:r>
              <w:rPr>
                <w:sz w:val="15"/>
              </w:rPr>
              <w:t>; predictable session ids; frozen clock</w:t>
            </w:r>
          </w:p>
        </w:tc>
        <w:tc>
          <w:tcPr>
            <w:tcW w:w="2235" w:type="dxa"/>
          </w:tcPr>
          <w:p>
            <w:pPr>
              <w:spacing w:after="0" w:before="0" w:line="240" w:lineRule="auto"/>
            </w:pPr>
            <w:r>
              <w:rPr>
                <w:sz w:val="15"/>
              </w:rPr>
              <w:t>Whoever opens a session acts as that user; codes can be guessed in a real setting; time-based rules never run in real time</w:t>
            </w:r>
          </w:p>
        </w:tc>
        <w:tc>
          <w:tcPr>
            <w:tcW w:w="2660" w:type="dxa"/>
          </w:tcPr>
          <w:p>
            <w:pPr>
              <w:spacing w:after="0" w:before="0" w:line="240" w:lineRule="auto"/>
            </w:pPr>
            <w:r>
              <w:rPr>
                <w:sz w:val="15"/>
              </w:rPr>
              <w:t>Per-customer lockout after 3 wrong codes; constant-time comparison</w:t>
            </w:r>
          </w:p>
        </w:tc>
        <w:tc>
          <w:tcPr>
            <w:tcW w:w="2235" w:type="dxa"/>
          </w:tcPr>
          <w:p>
            <w:pPr>
              <w:spacing w:after="0" w:before="0" w:line="240" w:lineRule="auto"/>
            </w:pPr>
            <w:r>
              <w:rPr>
                <w:sz w:val="15"/>
              </w:rPr>
              <w:t>Authenticated sessions with random tokens; a per-transaction code from a real second factor</w:t>
            </w:r>
          </w:p>
        </w:tc>
      </w:tr>
      <w:tr>
        <w:trPr>
          <w:cantSplit/>
        </w:trPr>
        <w:tc>
          <w:tcPr>
            <w:tcW w:w="2660" w:type="dxa"/>
          </w:tcPr>
          <w:p>
            <w:pPr>
              <w:spacing w:after="0" w:before="0" w:line="240" w:lineRule="auto"/>
            </w:pPr>
            <w:r>
              <w:rPr>
                <w:sz w:val="15"/>
              </w:rPr>
              <w:t>The guard misses a new injection phrasing (English and French patterns only)</w:t>
            </w:r>
          </w:p>
        </w:tc>
        <w:tc>
          <w:tcPr>
            <w:tcW w:w="2235" w:type="dxa"/>
          </w:tcPr>
          <w:p>
            <w:pPr>
              <w:spacing w:after="0" w:before="0" w:line="240" w:lineRule="auto"/>
            </w:pPr>
            <w:r>
              <w:rPr>
                <w:sz w:val="15"/>
              </w:rPr>
              <w:t>A missing warning only; authorisation never reads the guard</w:t>
            </w:r>
          </w:p>
        </w:tc>
        <w:tc>
          <w:tcPr>
            <w:tcW w:w="2660" w:type="dxa"/>
          </w:tcPr>
          <w:p>
            <w:pPr>
              <w:spacing w:after="0" w:before="0" w:line="240" w:lineRule="auto"/>
            </w:pPr>
            <w:r>
              <w:rPr>
                <w:sz w:val="15"/>
              </w:rPr>
              <w:t xml:space="preserve">Registry IBANs, </w:t>
            </w:r>
            <w:r>
              <w:rPr>
                <w:rFonts w:ascii="Consolas" w:hAnsi="Consolas" w:eastAsia="Consolas"/>
                <w:color w:val="2B3F77"/>
                <w:sz w:val="14"/>
              </w:rPr>
              <w:t>UNTRUSTED_ORIGIN</w:t>
            </w:r>
            <w:r>
              <w:rPr>
                <w:sz w:val="15"/>
              </w:rPr>
              <w:t>, hash-bound approval; language-independent structural signals</w:t>
            </w:r>
          </w:p>
        </w:tc>
        <w:tc>
          <w:tcPr>
            <w:tcW w:w="2235" w:type="dxa"/>
          </w:tcPr>
          <w:p>
            <w:pPr>
              <w:spacing w:after="0" w:before="0" w:line="240" w:lineRule="auto"/>
            </w:pPr>
            <w:r>
              <w:rPr>
                <w:sz w:val="15"/>
              </w:rPr>
              <w:t>A learned detector as an extra advisory layer, evaluated on a new blind set</w:t>
            </w:r>
          </w:p>
        </w:tc>
      </w:tr>
      <w:tr>
        <w:trPr>
          <w:cantSplit/>
        </w:trPr>
        <w:tc>
          <w:tcPr>
            <w:tcW w:w="2660" w:type="dxa"/>
          </w:tcPr>
          <w:p>
            <w:pPr>
              <w:spacing w:after="0" w:before="0" w:line="240" w:lineRule="auto"/>
            </w:pPr>
            <w:r>
              <w:rPr>
                <w:sz w:val="15"/>
              </w:rPr>
              <w:t>A model changes or invents a field; grounding checks presence, not meaning</w:t>
            </w:r>
          </w:p>
        </w:tc>
        <w:tc>
          <w:tcPr>
            <w:tcW w:w="2235" w:type="dxa"/>
          </w:tcPr>
          <w:p>
            <w:pPr>
              <w:spacing w:after="0" w:before="0" w:line="240" w:lineRule="auto"/>
            </w:pPr>
            <w:r>
              <w:rPr>
                <w:sz w:val="15"/>
              </w:rPr>
              <w:t>A visible card the customer must approve, or a question</w:t>
            </w:r>
          </w:p>
        </w:tc>
        <w:tc>
          <w:tcPr>
            <w:tcW w:w="2660" w:type="dxa"/>
          </w:tcPr>
          <w:p>
            <w:pPr>
              <w:spacing w:after="0" w:before="0" w:line="240" w:lineRule="auto"/>
            </w:pPr>
            <w:r>
              <w:rPr>
                <w:sz w:val="15"/>
              </w:rPr>
              <w:t>Grounding on every parser; sanctions screen on the source text; cards show payee and amount</w:t>
            </w:r>
          </w:p>
        </w:tc>
        <w:tc>
          <w:tcPr>
            <w:tcW w:w="2235" w:type="dxa"/>
          </w:tcPr>
          <w:p>
            <w:pPr>
              <w:spacing w:after="0" w:before="0" w:line="240" w:lineRule="auto"/>
            </w:pPr>
            <w:r>
              <w:rPr>
                <w:sz w:val="15"/>
              </w:rPr>
              <w:t>A blind set written to probe extraction; a check on exceptions and past amounts</w:t>
            </w:r>
          </w:p>
        </w:tc>
      </w:tr>
      <w:tr>
        <w:trPr>
          <w:cantSplit/>
        </w:trPr>
        <w:tc>
          <w:tcPr>
            <w:tcW w:w="2660" w:type="dxa"/>
          </w:tcPr>
          <w:p>
            <w:pPr>
              <w:spacing w:after="0" w:before="0" w:line="240" w:lineRule="auto"/>
            </w:pPr>
            <w:r>
              <w:rPr>
                <w:sz w:val="15"/>
              </w:rPr>
              <w:t>No frontier model measured; Qwen measured once</w:t>
            </w:r>
          </w:p>
        </w:tc>
        <w:tc>
          <w:tcPr>
            <w:tcW w:w="2235" w:type="dxa"/>
          </w:tcPr>
          <w:p>
            <w:pPr>
              <w:spacing w:after="0" w:before="0" w:line="240" w:lineRule="auto"/>
            </w:pPr>
            <w:r>
              <w:rPr>
                <w:sz w:val="15"/>
              </w:rPr>
              <w:t>Unknown accuracy and failure modes of other models</w:t>
            </w:r>
          </w:p>
        </w:tc>
        <w:tc>
          <w:tcPr>
            <w:tcW w:w="2660" w:type="dxa"/>
          </w:tcPr>
          <w:p>
            <w:pPr>
              <w:spacing w:after="0" w:before="0" w:line="240" w:lineRule="auto"/>
            </w:pPr>
            <w:r>
              <w:rPr>
                <w:sz w:val="15"/>
              </w:rPr>
              <w:t>Same checks apply whichever model answers; https and key handling in the connector</w:t>
            </w:r>
          </w:p>
        </w:tc>
        <w:tc>
          <w:tcPr>
            <w:tcW w:w="2235" w:type="dxa"/>
          </w:tcPr>
          <w:p>
            <w:pPr>
              <w:spacing w:after="0" w:before="0" w:line="240" w:lineRule="auto"/>
            </w:pPr>
            <w:r>
              <w:rPr>
                <w:sz w:val="15"/>
              </w:rPr>
              <w:t>Run the blind protocol through the connector with intervals</w:t>
            </w:r>
          </w:p>
        </w:tc>
      </w:tr>
      <w:tr>
        <w:trPr>
          <w:cantSplit/>
        </w:trPr>
        <w:tc>
          <w:tcPr>
            <w:tcW w:w="2660" w:type="dxa"/>
          </w:tcPr>
          <w:p>
            <w:pPr>
              <w:spacing w:after="0" w:before="0" w:line="240" w:lineRule="auto"/>
            </w:pPr>
            <w:r>
              <w:rPr>
                <w:sz w:val="15"/>
              </w:rPr>
              <w:t>Connector, cascade, selector (</w:t>
            </w:r>
            <w:r>
              <w:rPr>
                <w:rFonts w:ascii="Consolas" w:hAnsi="Consolas" w:eastAsia="Consolas"/>
                <w:color w:val="2B3F77"/>
                <w:sz w:val="14"/>
              </w:rPr>
              <w:t>c10f0a0</w:t>
            </w:r>
            <w:r>
              <w:rPr>
                <w:sz w:val="15"/>
              </w:rPr>
              <w:t>), harness and Verification of Payee (</w:t>
            </w:r>
            <w:r>
              <w:rPr>
                <w:rFonts w:ascii="Consolas" w:hAnsi="Consolas" w:eastAsia="Consolas"/>
                <w:color w:val="2B3F77"/>
                <w:sz w:val="14"/>
              </w:rPr>
              <w:t>d1822bf</w:t>
            </w:r>
            <w:r>
              <w:rPr>
                <w:sz w:val="15"/>
              </w:rPr>
              <w:t>) not audited</w:t>
            </w:r>
          </w:p>
        </w:tc>
        <w:tc>
          <w:tcPr>
            <w:tcW w:w="2235" w:type="dxa"/>
          </w:tcPr>
          <w:p>
            <w:pPr>
              <w:spacing w:after="0" w:before="0" w:line="240" w:lineRule="auto"/>
            </w:pPr>
            <w:r>
              <w:rPr>
                <w:sz w:val="15"/>
              </w:rPr>
              <w:t>Possible findings not yet known</w:t>
            </w:r>
          </w:p>
        </w:tc>
        <w:tc>
          <w:tcPr>
            <w:tcW w:w="2660" w:type="dxa"/>
          </w:tcPr>
          <w:p>
            <w:pPr>
              <w:spacing w:after="0" w:before="0" w:line="240" w:lineRule="auto"/>
            </w:pPr>
            <w:r>
              <w:rPr>
                <w:sz w:val="15"/>
              </w:rPr>
              <w:t>Unit tests (32 connector, 46 hardening, 16 selector, 23 harness, 56 Verification of Payee)</w:t>
            </w:r>
          </w:p>
        </w:tc>
        <w:tc>
          <w:tcPr>
            <w:tcW w:w="2235" w:type="dxa"/>
          </w:tcPr>
          <w:p>
            <w:pPr>
              <w:spacing w:after="0" w:before="0" w:line="240" w:lineRule="auto"/>
            </w:pPr>
            <w:r>
              <w:rPr>
                <w:sz w:val="15"/>
              </w:rPr>
              <w:t>A third white-box audit</w:t>
            </w:r>
          </w:p>
        </w:tc>
      </w:tr>
      <w:tr>
        <w:trPr>
          <w:cantSplit/>
        </w:trPr>
        <w:tc>
          <w:tcPr>
            <w:tcW w:w="2660" w:type="dxa"/>
          </w:tcPr>
          <w:p>
            <w:pPr>
              <w:spacing w:after="0" w:before="0" w:line="240" w:lineRule="auto"/>
            </w:pPr>
            <w:r>
              <w:rPr>
                <w:sz w:val="15"/>
              </w:rPr>
              <w:t>A connected remote model receives the customer's messages</w:t>
            </w:r>
          </w:p>
        </w:tc>
        <w:tc>
          <w:tcPr>
            <w:tcW w:w="2235" w:type="dxa"/>
          </w:tcPr>
          <w:p>
            <w:pPr>
              <w:spacing w:after="0" w:before="0" w:line="240" w:lineRule="auto"/>
            </w:pPr>
            <w:r>
              <w:rPr>
                <w:sz w:val="15"/>
              </w:rPr>
              <w:t>Message and payee names leave the machine</w:t>
            </w:r>
          </w:p>
        </w:tc>
        <w:tc>
          <w:tcPr>
            <w:tcW w:w="2660" w:type="dxa"/>
          </w:tcPr>
          <w:p>
            <w:pPr>
              <w:spacing w:after="0" w:before="0" w:line="240" w:lineRule="auto"/>
            </w:pPr>
            <w:r>
              <w:rPr>
                <w:sz w:val="15"/>
              </w:rPr>
              <w:t>Off by default; https only; the UI says so; key is session-only</w:t>
            </w:r>
          </w:p>
        </w:tc>
        <w:tc>
          <w:tcPr>
            <w:tcW w:w="2235" w:type="dxa"/>
          </w:tcPr>
          <w:p>
            <w:pPr>
              <w:spacing w:after="0" w:before="0" w:line="240" w:lineRule="auto"/>
            </w:pPr>
            <w:r>
              <w:rPr>
                <w:sz w:val="15"/>
              </w:rPr>
              <w:t>Per-deployment data-processing terms; a local model for sensitive use</w:t>
            </w:r>
          </w:p>
        </w:tc>
      </w:tr>
      <w:tr>
        <w:trPr>
          <w:cantSplit/>
        </w:trPr>
        <w:tc>
          <w:tcPr>
            <w:tcW w:w="2660" w:type="dxa"/>
          </w:tcPr>
          <w:p>
            <w:pPr>
              <w:spacing w:after="0" w:before="0" w:line="240" w:lineRule="auto"/>
            </w:pPr>
            <w:r>
              <w:rPr>
                <w:sz w:val="15"/>
              </w:rPr>
              <w:t>Receipt chain needs the customer's copy; symmetric HMAC; public demo key</w:t>
            </w:r>
          </w:p>
        </w:tc>
        <w:tc>
          <w:tcPr>
            <w:tcW w:w="2235" w:type="dxa"/>
          </w:tcPr>
          <w:p>
            <w:pPr>
              <w:spacing w:after="0" w:before="0" w:line="240" w:lineRule="auto"/>
            </w:pPr>
            <w:r>
              <w:rPr>
                <w:sz w:val="15"/>
              </w:rPr>
              <w:t>Truncation or rewrite is undetectable without her anchor; the key holder could forge one</w:t>
            </w:r>
          </w:p>
        </w:tc>
        <w:tc>
          <w:tcPr>
            <w:tcW w:w="2660" w:type="dxa"/>
          </w:tcPr>
          <w:p>
            <w:pPr>
              <w:spacing w:after="0" w:before="0" w:line="240" w:lineRule="auto"/>
            </w:pPr>
            <w:r>
              <w:rPr>
                <w:sz w:val="15"/>
              </w:rPr>
              <w:t>Anchor check in the UI; warning while the demo key is in use</w:t>
            </w:r>
          </w:p>
        </w:tc>
        <w:tc>
          <w:tcPr>
            <w:tcW w:w="2235" w:type="dxa"/>
          </w:tcPr>
          <w:p>
            <w:pPr>
              <w:spacing w:after="0" w:before="0" w:line="240" w:lineRule="auto"/>
            </w:pPr>
            <w:r>
              <w:rPr>
                <w:sz w:val="15"/>
              </w:rPr>
              <w:t>Asymmetric signatures, key ids and rotation, external timestamping or on-chain anchoring</w:t>
            </w:r>
          </w:p>
        </w:tc>
      </w:tr>
      <w:tr>
        <w:trPr>
          <w:cantSplit/>
        </w:trPr>
        <w:tc>
          <w:tcPr>
            <w:tcW w:w="2660" w:type="dxa"/>
          </w:tcPr>
          <w:p>
            <w:pPr>
              <w:spacing w:after="0" w:before="0" w:line="240" w:lineRule="auto"/>
            </w:pPr>
            <w:r>
              <w:rPr>
                <w:sz w:val="15"/>
              </w:rPr>
              <w:t>Sanctions screen is a demonstration: fictional list, finite look-alike table</w:t>
            </w:r>
          </w:p>
        </w:tc>
        <w:tc>
          <w:tcPr>
            <w:tcW w:w="2235" w:type="dxa"/>
          </w:tcPr>
          <w:p>
            <w:pPr>
              <w:spacing w:after="0" w:before="0" w:line="240" w:lineRule="auto"/>
            </w:pPr>
            <w:r>
              <w:rPr>
                <w:sz w:val="15"/>
              </w:rPr>
              <w:t>Real matching would miss or over-block</w:t>
            </w:r>
          </w:p>
        </w:tc>
        <w:tc>
          <w:tcPr>
            <w:tcW w:w="2660" w:type="dxa"/>
          </w:tcPr>
          <w:p>
            <w:pPr>
              <w:spacing w:after="0" w:before="0" w:line="240" w:lineRule="auto"/>
            </w:pPr>
            <w:r>
              <w:rPr>
                <w:sz w:val="15"/>
              </w:rPr>
              <w:t>Fails closed on letters it cannot fold; wildcards; spacing variants</w:t>
            </w:r>
          </w:p>
        </w:tc>
        <w:tc>
          <w:tcPr>
            <w:tcW w:w="2235" w:type="dxa"/>
          </w:tcPr>
          <w:p>
            <w:pPr>
              <w:spacing w:after="0" w:before="0" w:line="240" w:lineRule="auto"/>
            </w:pPr>
            <w:r>
              <w:rPr>
                <w:sz w:val="15"/>
              </w:rPr>
              <w:t>A maintained list, full Unicode confusables, transliteration and fuzzy matching</w:t>
            </w:r>
          </w:p>
        </w:tc>
      </w:tr>
      <w:tr>
        <w:trPr>
          <w:cantSplit/>
        </w:trPr>
        <w:tc>
          <w:tcPr>
            <w:tcW w:w="2660" w:type="dxa"/>
          </w:tcPr>
          <w:p>
            <w:pPr>
              <w:spacing w:after="0" w:before="0" w:line="240" w:lineRule="auto"/>
            </w:pPr>
            <w:r>
              <w:rPr>
                <w:sz w:val="15"/>
              </w:rPr>
              <w:t>Structuring rule covers one payee and one 24 h window</w:t>
            </w:r>
          </w:p>
        </w:tc>
        <w:tc>
          <w:tcPr>
            <w:tcW w:w="2235" w:type="dxa"/>
          </w:tcPr>
          <w:p>
            <w:pPr>
              <w:spacing w:after="0" w:before="0" w:line="240" w:lineRule="auto"/>
            </w:pPr>
            <w:r>
              <w:rPr>
                <w:sz w:val="15"/>
              </w:rPr>
              <w:t>Splitting across payees or days is not detected</w:t>
            </w:r>
          </w:p>
        </w:tc>
        <w:tc>
          <w:tcPr>
            <w:tcW w:w="2660" w:type="dxa"/>
          </w:tcPr>
          <w:p>
            <w:pPr>
              <w:spacing w:after="0" w:before="0" w:line="240" w:lineRule="auto"/>
            </w:pPr>
            <w:r>
              <w:rPr>
                <w:sz w:val="15"/>
              </w:rPr>
              <w:t>Step-up and an event on the covered case</w:t>
            </w:r>
          </w:p>
        </w:tc>
        <w:tc>
          <w:tcPr>
            <w:tcW w:w="2235" w:type="dxa"/>
          </w:tcPr>
          <w:p>
            <w:pPr>
              <w:spacing w:after="0" w:before="0" w:line="240" w:lineRule="auto"/>
            </w:pPr>
            <w:r>
              <w:rPr>
                <w:sz w:val="15"/>
              </w:rPr>
              <w:t>Cross-payee, longer-window analytics</w:t>
            </w:r>
          </w:p>
        </w:tc>
      </w:tr>
      <w:tr>
        <w:trPr>
          <w:cantSplit/>
        </w:trPr>
        <w:tc>
          <w:tcPr>
            <w:tcW w:w="2660" w:type="dxa"/>
          </w:tcPr>
          <w:p>
            <w:pPr>
              <w:spacing w:after="0" w:before="0" w:line="240" w:lineRule="auto"/>
            </w:pPr>
            <w:r>
              <w:rPr>
                <w:sz w:val="15"/>
              </w:rPr>
              <w:t>User approves a malicious payee or payment</w:t>
            </w:r>
          </w:p>
        </w:tc>
        <w:tc>
          <w:tcPr>
            <w:tcW w:w="2235" w:type="dxa"/>
          </w:tcPr>
          <w:p>
            <w:pPr>
              <w:spacing w:after="0" w:before="0" w:line="240" w:lineRule="auto"/>
            </w:pPr>
            <w:r>
              <w:rPr>
                <w:sz w:val="15"/>
              </w:rPr>
              <w:t>Money can reach a scammer the user chose</w:t>
            </w:r>
          </w:p>
        </w:tc>
        <w:tc>
          <w:tcPr>
            <w:tcW w:w="2660" w:type="dxa"/>
          </w:tcPr>
          <w:p>
            <w:pPr>
              <w:spacing w:after="0" w:before="0" w:line="240" w:lineRule="auto"/>
            </w:pPr>
            <w:r>
              <w:rPr>
                <w:sz w:val="15"/>
              </w:rPr>
              <w:t>72 h new-payee step-up, sanctions and name-collision checks, explicit card, caps</w:t>
            </w:r>
          </w:p>
        </w:tc>
        <w:tc>
          <w:tcPr>
            <w:tcW w:w="2235" w:type="dxa"/>
          </w:tcPr>
          <w:p>
            <w:pPr>
              <w:spacing w:after="0" w:before="0" w:line="240" w:lineRule="auto"/>
            </w:pPr>
            <w:r>
              <w:rPr>
                <w:sz w:val="15"/>
              </w:rPr>
              <w:t>A cool-off delay; Verification of Payee</w:t>
            </w:r>
          </w:p>
        </w:tc>
      </w:tr>
      <w:tr>
        <w:trPr>
          <w:cantSplit/>
        </w:trPr>
        <w:tc>
          <w:tcPr>
            <w:tcW w:w="2660" w:type="dxa"/>
          </w:tcPr>
          <w:p>
            <w:pPr>
              <w:spacing w:after="0" w:before="0" w:line="240" w:lineRule="auto"/>
            </w:pPr>
            <w:r>
              <w:rPr>
                <w:sz w:val="15"/>
              </w:rPr>
              <w:t>State in memory; no lock between policy and execution; plain-text receipts</w:t>
            </w:r>
          </w:p>
        </w:tc>
        <w:tc>
          <w:tcPr>
            <w:tcW w:w="2235" w:type="dxa"/>
          </w:tcPr>
          <w:p>
            <w:pPr>
              <w:spacing w:after="0" w:before="0" w:line="240" w:lineRule="auto"/>
            </w:pPr>
            <w:r>
              <w:rPr>
                <w:sz w:val="15"/>
              </w:rPr>
              <w:t>Lost on restart; a shared backend would need locks; no erasure</w:t>
            </w:r>
          </w:p>
        </w:tc>
        <w:tc>
          <w:tcPr>
            <w:tcW w:w="2660" w:type="dxa"/>
          </w:tcPr>
          <w:p>
            <w:pPr>
              <w:spacing w:after="0" w:before="0" w:line="240" w:lineRule="auto"/>
            </w:pPr>
            <w:r>
              <w:rPr>
                <w:sz w:val="15"/>
              </w:rPr>
              <w:t>One backend per session; documented</w:t>
            </w:r>
          </w:p>
        </w:tc>
        <w:tc>
          <w:tcPr>
            <w:tcW w:w="2235" w:type="dxa"/>
          </w:tcPr>
          <w:p>
            <w:pPr>
              <w:spacing w:after="0" w:before="0" w:line="240" w:lineRule="auto"/>
            </w:pPr>
            <w:r>
              <w:rPr>
                <w:sz w:val="15"/>
              </w:rPr>
              <w:t>A database with row locks; hashes in the chain and encrypted payloads</w:t>
            </w:r>
          </w:p>
        </w:tc>
      </w:tr>
      <w:tr>
        <w:trPr>
          <w:cantSplit/>
        </w:trPr>
        <w:tc>
          <w:tcPr>
            <w:tcW w:w="2660" w:type="dxa"/>
          </w:tcPr>
          <w:p>
            <w:pPr>
              <w:spacing w:after="0" w:before="0" w:line="240" w:lineRule="auto"/>
            </w:pPr>
            <w:r>
              <w:rPr>
                <w:sz w:val="15"/>
              </w:rPr>
              <w:t>Post-fix results are regression, not blind</w:t>
            </w:r>
          </w:p>
        </w:tc>
        <w:tc>
          <w:tcPr>
            <w:tcW w:w="2235" w:type="dxa"/>
          </w:tcPr>
          <w:p>
            <w:pPr>
              <w:spacing w:after="0" w:before="0" w:line="240" w:lineRule="auto"/>
            </w:pPr>
            <w:r>
              <w:rPr>
                <w:sz w:val="15"/>
              </w:rPr>
              <w:t>No current generalisation estimate</w:t>
            </w:r>
          </w:p>
        </w:tc>
        <w:tc>
          <w:tcPr>
            <w:tcW w:w="2660" w:type="dxa"/>
          </w:tcPr>
          <w:p>
            <w:pPr>
              <w:spacing w:after="0" w:before="0" w:line="240" w:lineRule="auto"/>
            </w:pPr>
            <w:r>
              <w:rPr>
                <w:sz w:val="15"/>
              </w:rPr>
              <w:t>Two frozen runs reported separately</w:t>
            </w:r>
          </w:p>
        </w:tc>
        <w:tc>
          <w:tcPr>
            <w:tcW w:w="2235" w:type="dxa"/>
          </w:tcPr>
          <w:p>
            <w:pPr>
              <w:spacing w:after="0" w:before="0" w:line="240" w:lineRule="auto"/>
            </w:pPr>
            <w:r>
              <w:rPr>
                <w:sz w:val="15"/>
              </w:rPr>
              <w:t>A fresh blind set (v3) after all fixes</w:t>
            </w:r>
          </w:p>
        </w:tc>
      </w:tr>
    </w:tbl>
    <w:p>
      <w:pPr>
        <w:spacing w:after="120" w:before="0" w:line="40" w:lineRule="exact"/>
      </w:pPr>
    </w:p>
    <w:sectPr w:rsidR="00FC693F" w:rsidRPr="0006063C" w:rsidSect="00034616">
      <w:footerReference w:type="default" r:id="rId9"/>
      <w:pgSz w:w="12240" w:h="15840"/>
      <w:pgMar w:top="1037" w:right="1181" w:bottom="1037" w:left="118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color w:val="616C7F"/>
        <w:sz w:val="16"/>
      </w:rPr>
      <w:t>Complete this document according to the competition notice. If a newer template is published, the newer version prevails.</w:t>
    </w:r>
  </w:p>
  <w:p>
    <w:pPr>
      <w:jc w:val="center"/>
    </w:pPr>
    <w:r>
      <w:rPr>
        <w:color w:val="616C7F"/>
        <w:sz w:val="16"/>
      </w:rPr>
      <w:fldChar w:fldCharType="begin"/>
    </w:r>
    <w:r>
      <w:rPr>
        <w:color w:val="616C7F"/>
        <w:sz w:val="16"/>
      </w:rPr>
      <w:instrText xml:space="preserve"> PAGE </w:instrText>
    </w:r>
    <w:r>
      <w:rPr>
        <w:color w:val="616C7F"/>
        <w:sz w:val="16"/>
      </w:rPr>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300" w:lineRule="auto"/>
    </w:pPr>
    <w:rPr>
      <w:rFonts w:ascii="Arial Unicode MS" w:hAnsi="Arial Unicode MS" w:eastAsia="Arial Unicode MS"/>
      <w:color w:val="17213A"/>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outlineLvl w:val="0"/>
    </w:pPr>
    <w:rPr>
      <w:rFonts w:asciiTheme="majorHAnsi" w:eastAsiaTheme="majorEastAsia" w:hAnsiTheme="majorHAnsi" w:cstheme="majorBidi" w:ascii="Arial Unicode MS" w:hAnsi="Arial Unicode MS" w:eastAsia="Arial Unicode MS"/>
      <w:b/>
      <w:bCs/>
      <w:color w:val="315FD8"/>
      <w:sz w:val="30"/>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Arial Unicode MS" w:hAnsi="Arial Unicode MS" w:eastAsia="Arial Unicode MS"/>
      <w:b/>
      <w:bCs/>
      <w:color w:val="315FD8"/>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BorderlessGuard: Security Self-assessment</dc:title>
  <dc:subject>2026 FinTechathon, International AI Track, Topic C</dc:subject>
  <dc:creator>Team Centrale</dc:creator>
  <cp:keywords>BorderlessGuard, FinTechathon 2026, Topic C</cp:keywords>
  <dc:description/>
  <cp:lastModifiedBy>Team Centrale</cp:lastModifiedBy>
  <cp:revision>1</cp:revision>
  <dcterms:created xsi:type="dcterms:W3CDTF">2013-12-23T23:15:00Z</dcterms:created>
  <dcterms:modified xsi:type="dcterms:W3CDTF">2013-12-23T23:15:00Z</dcterms:modified>
  <cp:category/>
</cp:coreProperties>
</file>