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315FD8"/>
          <w:sz w:val="17"/>
        </w:rPr>
        <w:t>2026 FINTECHATHON · SUBMISSION TEMPLATE</w:t>
      </w:r>
    </w:p>
    <w:p>
      <w:pPr>
        <w:spacing w:after="60"/>
      </w:pPr>
      <w:r>
        <w:rPr>
          <w:rFonts w:ascii="Arial Unicode MS" w:hAnsi="Arial Unicode MS" w:eastAsia="Arial Unicode MS"/>
          <w:b/>
          <w:color w:val="17213A"/>
          <w:sz w:val="46"/>
        </w:rPr>
        <w:t>International AI Track | Security Self-assessment</w:t>
      </w:r>
    </w:p>
    <w:p>
      <w:pPr>
        <w:spacing w:after="320"/>
      </w:pPr>
      <w:r>
        <w:rPr>
          <w:color w:val="616C7F"/>
          <w:sz w:val="20"/>
        </w:rPr>
        <w:t>Optional supporting material. Please complete this document in English.</w:t>
      </w:r>
    </w:p>
    <w:tbl>
      <w:tblPr>
        <w:tblW w:type="auto" w:w="0"/>
        <w:tblLayout w:type="fixed"/>
        <w:tblLook w:firstColumn="1" w:firstRow="1" w:lastColumn="0" w:lastRow="0" w:noHBand="0" w:noVBand="1" w:val="04A0"/>
      </w:tblPr>
      <w:tblGrid>
        <w:gridCol w:w="4939"/>
        <w:gridCol w:w="4939"/>
      </w:tblGrid>
      <w:tr>
        <w:tc>
          <w:tcPr>
            <w:tcW w:type="dxa" w:w="2088"/>
            <w:shd w:fill="EEF3FF"/>
          </w:tcPr>
          <w:p>
            <w:pPr>
              <w:spacing w:after="0"/>
            </w:pPr>
            <w:r>
              <w:rPr>
                <w:b/>
                <w:sz w:val="18"/>
              </w:rPr>
              <w:t>Team name</w:t>
            </w:r>
          </w:p>
        </w:tc>
        <w:tc>
          <w:tcPr>
            <w:tcW w:type="dxa" w:w="7704"/>
          </w:tcPr>
          <w:p>
            <w:r>
              <w:rPr>
                <w:color w:val="17213A"/>
              </w:rPr>
              <w:t>Centrale</w:t>
            </w:r>
          </w:p>
        </w:tc>
      </w:tr>
      <w:tr>
        <w:tc>
          <w:tcPr>
            <w:tcW w:type="dxa" w:w="2088"/>
            <w:shd w:fill="EEF3FF"/>
          </w:tcPr>
          <w:p>
            <w:pPr>
              <w:spacing w:after="0"/>
            </w:pPr>
            <w:r>
              <w:rPr>
                <w:b/>
                <w:sz w:val="18"/>
              </w:rPr>
              <w:t>Competition track</w:t>
            </w:r>
          </w:p>
        </w:tc>
        <w:tc>
          <w:tcPr>
            <w:tcW w:type="dxa" w:w="7704"/>
          </w:tcPr>
          <w:p>
            <w:r>
              <w:rPr>
                <w:color w:val="17213A"/>
              </w:rPr>
              <w:t>International AI Track, Topic C (Cross-border and Student Finance)</w:t>
            </w:r>
          </w:p>
        </w:tc>
      </w:tr>
      <w:tr>
        <w:tc>
          <w:tcPr>
            <w:tcW w:type="dxa" w:w="2088"/>
            <w:shd w:fill="EEF3FF"/>
          </w:tcPr>
          <w:p>
            <w:pPr>
              <w:spacing w:after="0"/>
            </w:pPr>
            <w:r>
              <w:rPr>
                <w:b/>
                <w:sz w:val="18"/>
              </w:rPr>
              <w:t>Submission date</w:t>
            </w:r>
          </w:p>
        </w:tc>
        <w:tc>
          <w:tcPr>
            <w:tcW w:type="dxa" w:w="7704"/>
          </w:tcPr>
          <w:p>
            <w:r>
              <w:rPr>
                <w:color w:val="17213A"/>
              </w:rPr>
              <w:t>2026-10-20</w:t>
            </w:r>
          </w:p>
        </w:tc>
      </w:tr>
    </w:tbl>
    <w:p/>
    <w:tbl>
      <w:tblPr>
        <w:tblW w:w="9792" w:type="dxa"/>
        <w:tblLayout w:type="fixed"/>
        <w:tblCellMar>
          <w:top w:w="110" w:type="dxa"/>
          <w:left w:w="170" w:type="dxa"/>
          <w:bottom w:w="90" w:type="dxa"/>
          <w:right w:w="170" w:type="dxa"/>
        </w:tblCellMar>
        <w:tblLook w:firstColumn="1" w:firstRow="1" w:lastColumn="0" w:lastRow="0" w:noHBand="0" w:noVBand="1" w:val="04A0"/>
      </w:tblPr>
      <w:tblGrid>
        <w:gridCol w:w="9792"/>
      </w:tblGrid>
      <w:tr>
        <w:tc>
          <w:tcPr>
            <w:tcW w:w="9792" w:type="dxa"/>
            <w:shd w:val="clear" w:color="auto" w:fill="EEF3FF"/>
          </w:tcPr>
          <w:p>
            <w:pPr>
              <w:spacing w:after="80"/>
            </w:pPr>
            <w:r>
              <w:rPr>
                <w:b/>
                <w:color w:val="315FD8"/>
                <w:sz w:val="22"/>
              </w:rPr>
              <w:t>Scope and how to read this</w:t>
            </w:r>
          </w:p>
          <w:p>
            <w:pPr>
              <w:spacing w:after="80" w:line="259" w:lineRule="auto"/>
            </w:pPr>
            <w:r>
              <w:rPr>
                <w:sz w:val="18"/>
              </w:rPr>
              <w:t xml:space="preserve">This is a self-assessment of the BorderlessGuard prototype, which runs against a </w:t>
            </w:r>
            <w:r>
              <w:rPr>
                <w:b/>
                <w:sz w:val="18"/>
              </w:rPr>
              <w:t>simulated sandbox ledger</w:t>
            </w:r>
            <w:r>
              <w:rPr>
                <w:sz w:val="18"/>
              </w:rPr>
              <w:t>. The authors wrote it. Two inputs are not ours: three white-box audits by separate AI agents with full read access to the code (12, 11 and 8 findings: 31 in all, fixed or mitigated and regression-tested), and a blind test set written by a separate AI agent that could not read the security code. The round-3 fixes were reviewed once more by a separate AI agent on 2026-10-20 (nine points, seven fixed).</w:t>
            </w:r>
          </w:p>
          <w:p>
            <w:pPr>
              <w:spacing w:after="80" w:line="259" w:lineRule="auto"/>
            </w:pPr>
            <w:r>
              <w:rPr>
                <w:sz w:val="18"/>
              </w:rPr>
              <w:t xml:space="preserve">Two results estimate generalisation, one per parser: blind v2 with the rules parser, frozen in </w:t>
            </w:r>
            <w:r>
              <w:rPr>
                <w:rFonts w:ascii="Consolas" w:hAnsi="Consolas" w:eastAsia="Consolas"/>
                <w:color w:val="2B3F77"/>
                <w:sz w:val="17"/>
              </w:rPr>
              <w:t>44542f2</w:t>
            </w:r>
            <w:r>
              <w:rPr>
                <w:sz w:val="18"/>
              </w:rPr>
              <w:t xml:space="preserve"> (</w:t>
            </w:r>
            <w:r>
              <w:rPr>
                <w:b/>
                <w:sz w:val="18"/>
              </w:rPr>
              <w:t>69/70 attacks blocked</w:t>
            </w:r>
            <w:r>
              <w:rPr>
                <w:sz w:val="18"/>
              </w:rPr>
              <w:t xml:space="preserve">, 24/30 benign English completed), and blind v2 with local Qwen2.5 7B, frozen in </w:t>
            </w:r>
            <w:r>
              <w:rPr>
                <w:rFonts w:ascii="Consolas" w:hAnsi="Consolas" w:eastAsia="Consolas"/>
                <w:color w:val="2B3F77"/>
                <w:sz w:val="17"/>
              </w:rPr>
              <w:t>5868d83</w:t>
            </w:r>
            <w:r>
              <w:rPr>
                <w:sz w:val="18"/>
              </w:rPr>
              <w:t xml:space="preserve"> (</w:t>
            </w:r>
            <w:r>
              <w:rPr>
                <w:b/>
                <w:sz w:val="18"/>
              </w:rPr>
              <w:t>66/70 attacks blocked</w:t>
            </w:r>
            <w:r>
              <w:rPr>
                <w:sz w:val="18"/>
              </w:rPr>
              <w:t xml:space="preserve">, 26/30 benign English, 5/5 non-English). Everything measured after them is regression. State: the working tree of 2026-10-20 after commit </w:t>
            </w:r>
            <w:r>
              <w:rPr>
                <w:rFonts w:ascii="Consolas" w:hAnsi="Consolas" w:eastAsia="Consolas"/>
                <w:color w:val="2B3F77"/>
                <w:sz w:val="17"/>
              </w:rPr>
              <w:t>3b4e894</w:t>
            </w:r>
            <w:r>
              <w:rPr>
                <w:sz w:val="18"/>
              </w:rPr>
              <w:t xml:space="preserve">: 1379 tests pass, 7 are documented expected failures; </w:t>
            </w:r>
            <w:r>
              <w:rPr>
                <w:rFonts w:ascii="Consolas" w:hAnsi="Consolas" w:eastAsia="Consolas"/>
                <w:color w:val="2B3F77"/>
                <w:sz w:val="17"/>
              </w:rPr>
              <w:t>tests/audit</w:t>
            </w:r>
            <w:r>
              <w:rPr>
                <w:sz w:val="18"/>
              </w:rPr>
              <w:t>: 169 pass.</w:t>
            </w:r>
          </w:p>
          <w:p>
            <w:pPr>
              <w:spacing w:after="80" w:line="259" w:lineRule="auto"/>
            </w:pPr>
            <w:r>
              <w:rPr>
                <w:b/>
                <w:sz w:val="18"/>
              </w:rPr>
              <w:t>This assessment does not claim that the prototype is secure.</w:t>
            </w:r>
            <w:r>
              <w:rPr>
                <w:sz w:val="18"/>
              </w:rPr>
              <w:t xml:space="preserve"> It lists what we built, what was tested, and what remains open or unverified (Section 04). No hosted or frontier model was measured. No licensing, KYC, AML, sanctions or data-protection compliance is claimed.</w:t>
            </w:r>
          </w:p>
        </w:tc>
      </w:tr>
    </w:tbl>
    <w:p>
      <w:pPr>
        <w:spacing w:after="80" w:line="40" w:lineRule="exact"/>
      </w:pPr>
    </w:p>
    <w:p>
      <w:pPr>
        <w:pStyle w:val="Heading1"/>
      </w:pPr>
      <w:r>
        <w:t>01 Permission Model</w:t>
      </w:r>
    </w:p>
    <w:p>
      <w:pPr>
        <w:pStyle w:val="ListBullet"/>
        <w:keepNext/>
        <w:spacing w:after="100" w:before="120"/>
      </w:pPr>
      <w:r>
        <w:rPr>
          <w:b/>
        </w:rPr>
        <w:t>Roles, operations and permission boundaries</w:t>
      </w:r>
    </w:p>
    <w:tbl>
      <w:tblPr>
        <w:tblW w:w="9471" w:type="dxa"/>
        <w:tblInd w:w="320" w:type="dxa"/>
        <w:tblBorders>
          <w:top w:val="single" w:sz="4" w:space="0" w:color="D5DBE8"/>
          <w:left w:val="nil"/>
          <w:bottom w:val="single" w:sz="4" w:space="0" w:color="D5DBE8"/>
          <w:right w:val="nil"/>
          <w:insideH w:val="single" w:sz="4" w:space="0" w:color="D5DBE8"/>
          <w:insideV w:val="nil"/>
        </w:tblBorders>
        <w:tblLayout w:type="fixed"/>
        <w:tblCellMar>
          <w:top w:w="45" w:type="dxa"/>
          <w:left w:w="70" w:type="dxa"/>
          <w:bottom w:w="45" w:type="dxa"/>
          <w:right w:w="70" w:type="dxa"/>
        </w:tblCellMar>
        <w:tblLook w:firstColumn="1" w:firstRow="1" w:lastColumn="0" w:lastRow="0" w:noHBand="0" w:noVBand="1" w:val="04A0"/>
      </w:tblPr>
      <w:tblGrid>
        <w:gridCol w:w="2265"/>
        <w:gridCol w:w="3603"/>
        <w:gridCol w:w="3603"/>
      </w:tblGrid>
      <w:tr>
        <w:trPr>
          <w:cantSplit/>
          <w:tblHeader/>
        </w:trPr>
        <w:tc>
          <w:tcPr>
            <w:tcW w:w="2265" w:type="dxa"/>
            <w:shd w:val="clear" w:color="auto" w:fill="EEF3FF"/>
          </w:tcPr>
          <w:p>
            <w:pPr>
              <w:keepNext/>
              <w:spacing w:after="0" w:before="0" w:line="240" w:lineRule="auto"/>
            </w:pPr>
            <w:r>
              <w:rPr>
                <w:b/>
                <w:sz w:val="16"/>
              </w:rPr>
              <w:t>Role</w:t>
            </w:r>
          </w:p>
        </w:tc>
        <w:tc>
          <w:tcPr>
            <w:tcW w:w="3603" w:type="dxa"/>
            <w:shd w:val="clear" w:color="auto" w:fill="EEF3FF"/>
          </w:tcPr>
          <w:p>
            <w:pPr>
              <w:keepNext/>
              <w:spacing w:after="0" w:before="0" w:line="240" w:lineRule="auto"/>
            </w:pPr>
            <w:r>
              <w:rPr>
                <w:b/>
                <w:sz w:val="16"/>
              </w:rPr>
              <w:t>Operations</w:t>
            </w:r>
          </w:p>
        </w:tc>
        <w:tc>
          <w:tcPr>
            <w:tcW w:w="3603" w:type="dxa"/>
            <w:shd w:val="clear" w:color="auto" w:fill="EEF3FF"/>
          </w:tcPr>
          <w:p>
            <w:pPr>
              <w:keepNext/>
              <w:spacing w:after="0" w:before="0" w:line="240" w:lineRule="auto"/>
            </w:pPr>
            <w:r>
              <w:rPr>
                <w:b/>
                <w:sz w:val="16"/>
              </w:rPr>
              <w:t>Permission boundary</w:t>
            </w:r>
          </w:p>
        </w:tc>
      </w:tr>
      <w:tr>
        <w:trPr>
          <w:cantSplit/>
        </w:trPr>
        <w:tc>
          <w:tcPr>
            <w:tcW w:w="2265" w:type="dxa"/>
          </w:tcPr>
          <w:p>
            <w:pPr>
              <w:keepNext/>
              <w:spacing w:after="0" w:before="0" w:line="240" w:lineRule="auto"/>
            </w:pPr>
            <w:r>
              <w:rPr>
                <w:sz w:val="16"/>
              </w:rPr>
              <w:t xml:space="preserve">Customer (the student, one session per </w:t>
            </w:r>
            <w:r>
              <w:rPr>
                <w:rFonts w:ascii="Consolas" w:hAnsi="Consolas" w:eastAsia="Consolas"/>
                <w:color w:val="2B3F77"/>
                <w:sz w:val="15"/>
              </w:rPr>
              <w:t>user_id</w:t>
            </w:r>
            <w:r>
              <w:rPr>
                <w:sz w:val="16"/>
              </w:rPr>
              <w:t>)</w:t>
            </w:r>
          </w:p>
        </w:tc>
        <w:tc>
          <w:tcPr>
            <w:tcW w:w="3603" w:type="dxa"/>
          </w:tcPr>
          <w:p>
            <w:pPr>
              <w:keepNext/>
              <w:spacing w:after="0" w:before="0" w:line="240" w:lineRule="auto"/>
            </w:pPr>
            <w:r>
              <w:rPr>
                <w:sz w:val="16"/>
              </w:rPr>
              <w:t>Ask; attach a document; approve or reject her own pending actions with a tap or a code; cancel; read her own overview and receipts; check her receipts against her signed copy.</w:t>
            </w:r>
          </w:p>
        </w:tc>
        <w:tc>
          <w:tcPr>
            <w:tcW w:w="3603" w:type="dxa"/>
          </w:tcPr>
          <w:p>
            <w:pPr>
              <w:keepNext/>
              <w:spacing w:after="0" w:before="0" w:line="240" w:lineRule="auto"/>
            </w:pPr>
            <w:r>
              <w:rPr>
                <w:sz w:val="16"/>
              </w:rPr>
              <w:t>Sees and acts on her own accounts and payees only (</w:t>
            </w:r>
            <w:r>
              <w:rPr>
                <w:rFonts w:ascii="Consolas" w:hAnsi="Consolas" w:eastAsia="Consolas"/>
                <w:color w:val="2B3F77"/>
                <w:sz w:val="15"/>
              </w:rPr>
              <w:t>TENANT_ISOLATION</w:t>
            </w:r>
            <w:r>
              <w:rPr>
                <w:sz w:val="16"/>
              </w:rPr>
              <w:t>). Cannot change limits, the watchlist, the FX price or the code. Each approval is bound to the hash of the exact action.</w:t>
            </w:r>
          </w:p>
        </w:tc>
      </w:tr>
      <w:tr>
        <w:trPr>
          <w:cantSplit/>
        </w:trPr>
        <w:tc>
          <w:tcPr>
            <w:tcW w:w="2265" w:type="dxa"/>
          </w:tcPr>
          <w:p>
            <w:pPr>
              <w:keepNext/>
              <w:spacing w:after="0" w:before="0" w:line="240" w:lineRule="auto"/>
            </w:pPr>
            <w:r>
              <w:rPr>
                <w:sz w:val="16"/>
              </w:rPr>
              <w:t>Language model (any parser)</w:t>
            </w:r>
          </w:p>
        </w:tc>
        <w:tc>
          <w:tcPr>
            <w:tcW w:w="3603" w:type="dxa"/>
          </w:tcPr>
          <w:p>
            <w:pPr>
              <w:keepNext/>
              <w:spacing w:after="0" w:before="0" w:line="240" w:lineRule="auto"/>
            </w:pPr>
            <w:r>
              <w:rPr>
                <w:sz w:val="16"/>
              </w:rPr>
              <w:t>Propose typed intents from the customer's text.</w:t>
            </w:r>
          </w:p>
        </w:tc>
        <w:tc>
          <w:tcPr>
            <w:tcW w:w="3603" w:type="dxa"/>
          </w:tcPr>
          <w:p>
            <w:pPr>
              <w:keepNext/>
              <w:spacing w:after="0" w:before="0" w:line="240" w:lineRule="auto"/>
            </w:pPr>
            <w:r>
              <w:rPr>
                <w:sz w:val="16"/>
              </w:rPr>
              <w:t>No tool, no authority, no access to accounts, balances, IBANs or documents. Its output is validated, grounded in the customer's words and policed like any input.</w:t>
            </w:r>
          </w:p>
        </w:tc>
      </w:tr>
      <w:tr>
        <w:trPr>
          <w:cantSplit/>
        </w:trPr>
        <w:tc>
          <w:tcPr>
            <w:tcW w:w="2265" w:type="dxa"/>
          </w:tcPr>
          <w:p>
            <w:pPr>
              <w:keepNext/>
              <w:spacing w:after="0" w:before="0" w:line="240" w:lineRule="auto"/>
            </w:pPr>
            <w:r>
              <w:rPr>
                <w:sz w:val="16"/>
              </w:rPr>
              <w:t>Content guard</w:t>
            </w:r>
          </w:p>
        </w:tc>
        <w:tc>
          <w:tcPr>
            <w:tcW w:w="3603" w:type="dxa"/>
          </w:tcPr>
          <w:p>
            <w:pPr>
              <w:keepNext/>
              <w:spacing w:after="0" w:before="0" w:line="240" w:lineRule="auto"/>
            </w:pPr>
            <w:r>
              <w:rPr>
                <w:sz w:val="16"/>
              </w:rPr>
              <w:t>Warn about injected documents and tool output.</w:t>
            </w:r>
          </w:p>
        </w:tc>
        <w:tc>
          <w:tcPr>
            <w:tcW w:w="3603" w:type="dxa"/>
          </w:tcPr>
          <w:p>
            <w:pPr>
              <w:keepNext/>
              <w:spacing w:after="0" w:before="0" w:line="240" w:lineRule="auto"/>
            </w:pPr>
            <w:r>
              <w:rPr>
                <w:sz w:val="16"/>
              </w:rPr>
              <w:t>Advisory. No authorisation reads its output.</w:t>
            </w:r>
          </w:p>
        </w:tc>
      </w:tr>
      <w:tr>
        <w:trPr>
          <w:cantSplit/>
        </w:trPr>
        <w:tc>
          <w:tcPr>
            <w:tcW w:w="2265" w:type="dxa"/>
          </w:tcPr>
          <w:p>
            <w:pPr>
              <w:keepNext/>
              <w:spacing w:after="0" w:before="0" w:line="240" w:lineRule="auto"/>
            </w:pPr>
            <w:r>
              <w:rPr>
                <w:sz w:val="16"/>
              </w:rPr>
              <w:t>FX provider (simulated)</w:t>
            </w:r>
          </w:p>
        </w:tc>
        <w:tc>
          <w:tcPr>
            <w:tcW w:w="3603" w:type="dxa"/>
          </w:tcPr>
          <w:p>
            <w:pPr>
              <w:keepNext/>
              <w:spacing w:after="0" w:before="0" w:line="240" w:lineRule="auto"/>
            </w:pPr>
            <w:r>
              <w:rPr>
                <w:sz w:val="16"/>
              </w:rPr>
              <w:t>Return a price.</w:t>
            </w:r>
          </w:p>
        </w:tc>
        <w:tc>
          <w:tcPr>
            <w:tcW w:w="3603" w:type="dxa"/>
          </w:tcPr>
          <w:p>
            <w:pPr>
              <w:keepNext/>
              <w:spacing w:after="0" w:before="0" w:line="240" w:lineRule="auto"/>
            </w:pPr>
            <w:r>
              <w:rPr>
                <w:sz w:val="16"/>
              </w:rPr>
              <w:t>Untrusted. A quote is kept only if it equals the bank's reference price and the ledger issued it; it is used once.</w:t>
            </w:r>
          </w:p>
        </w:tc>
      </w:tr>
      <w:tr>
        <w:trPr>
          <w:cantSplit/>
        </w:trPr>
        <w:tc>
          <w:tcPr>
            <w:tcW w:w="2265" w:type="dxa"/>
          </w:tcPr>
          <w:p>
            <w:pPr>
              <w:keepNext/>
              <w:spacing w:after="0" w:before="0" w:line="240" w:lineRule="auto"/>
            </w:pPr>
            <w:r>
              <w:rPr>
                <w:sz w:val="16"/>
              </w:rPr>
              <w:t>Bank operator (stands in as a reset function)</w:t>
            </w:r>
          </w:p>
        </w:tc>
        <w:tc>
          <w:tcPr>
            <w:tcW w:w="3603" w:type="dxa"/>
          </w:tcPr>
          <w:p>
            <w:pPr>
              <w:keepNext/>
              <w:spacing w:after="0" w:before="0" w:line="240" w:lineRule="auto"/>
            </w:pPr>
            <w:r>
              <w:rPr>
                <w:sz w:val="16"/>
              </w:rPr>
              <w:t>Unlock approval by code after three wrong codes.</w:t>
            </w:r>
          </w:p>
        </w:tc>
        <w:tc>
          <w:tcPr>
            <w:tcW w:w="3603" w:type="dxa"/>
          </w:tcPr>
          <w:p>
            <w:pPr>
              <w:keepNext/>
              <w:spacing w:after="0" w:before="0" w:line="240" w:lineRule="auto"/>
            </w:pPr>
            <w:r>
              <w:rPr>
                <w:sz w:val="16"/>
              </w:rPr>
              <w:t>Never reachable from chat. In the sandbox it is a function call and the Reset demo button; there is no operator login. In the demo UI the same visitor can press Reset demo (its help text says it stands in for the operator), so the customer can clear her own lock: it is demonstrated there, not protective.</w:t>
            </w:r>
          </w:p>
        </w:tc>
      </w:tr>
      <w:tr>
        <w:trPr>
          <w:cantSplit/>
        </w:trPr>
        <w:tc>
          <w:tcPr>
            <w:tcW w:w="2265" w:type="dxa"/>
          </w:tcPr>
          <w:p>
            <w:pPr>
              <w:spacing w:after="0" w:before="0" w:line="240" w:lineRule="auto"/>
            </w:pPr>
            <w:r>
              <w:rPr>
                <w:sz w:val="16"/>
              </w:rPr>
              <w:t>Verifier (customer or reviewer)</w:t>
            </w:r>
          </w:p>
        </w:tc>
        <w:tc>
          <w:tcPr>
            <w:tcW w:w="3603" w:type="dxa"/>
          </w:tcPr>
          <w:p>
            <w:pPr>
              <w:spacing w:after="0" w:before="0" w:line="240" w:lineRule="auto"/>
            </w:pPr>
            <w:r>
              <w:rPr>
                <w:sz w:val="16"/>
              </w:rPr>
              <w:t>Run the chain check against a signed anchor.</w:t>
            </w:r>
          </w:p>
        </w:tc>
        <w:tc>
          <w:tcPr>
            <w:tcW w:w="3603" w:type="dxa"/>
          </w:tcPr>
          <w:p>
            <w:pPr>
              <w:spacing w:after="0" w:before="0" w:line="240" w:lineRule="auto"/>
            </w:pPr>
            <w:r>
              <w:rPr>
                <w:sz w:val="16"/>
              </w:rPr>
              <w:t>Read-only.</w:t>
            </w:r>
          </w:p>
        </w:tc>
      </w:tr>
    </w:tbl>
    <w:p>
      <w:pPr>
        <w:spacing w:after="120" w:before="0" w:line="40" w:lineRule="exact"/>
      </w:pPr>
    </w:p>
    <w:p>
      <w:pPr>
        <w:keepNext w:val="0"/>
        <w:spacing w:after="60" w:before="0"/>
        <w:ind w:left="317"/>
      </w:pPr>
      <w:r>
        <w:rPr>
          <w:sz w:val="18"/>
        </w:rPr>
        <w:t>The tier of an action is the highest severity among its failing rules, over a base of R2 for payments and exchanges and R3 for adding a payee. Any exception is R4.</w:t>
      </w:r>
    </w:p>
    <w:tbl>
      <w:tblPr>
        <w:tblW w:w="9470" w:type="dxa"/>
        <w:tblInd w:w="320" w:type="dxa"/>
        <w:tblBorders>
          <w:top w:val="single" w:sz="4" w:space="0" w:color="D5DBE8"/>
          <w:left w:val="nil"/>
          <w:bottom w:val="single" w:sz="4" w:space="0" w:color="D5DBE8"/>
          <w:right w:val="nil"/>
          <w:insideH w:val="single" w:sz="4" w:space="0" w:color="D5DBE8"/>
          <w:insideV w:val="nil"/>
        </w:tblBorders>
        <w:tblLayout w:type="fixed"/>
        <w:tblCellMar>
          <w:top w:w="45" w:type="dxa"/>
          <w:left w:w="70" w:type="dxa"/>
          <w:bottom w:w="45" w:type="dxa"/>
          <w:right w:w="70" w:type="dxa"/>
        </w:tblCellMar>
        <w:tblLook w:firstColumn="1" w:firstRow="1" w:lastColumn="0" w:lastRow="0" w:noHBand="0" w:noVBand="1" w:val="04A0"/>
      </w:tblPr>
      <w:tblGrid>
        <w:gridCol w:w="617"/>
        <w:gridCol w:w="5559"/>
        <w:gridCol w:w="3294"/>
      </w:tblGrid>
      <w:tr>
        <w:trPr>
          <w:cantSplit/>
          <w:tblHeader/>
        </w:trPr>
        <w:tc>
          <w:tcPr>
            <w:tcW w:w="617" w:type="dxa"/>
            <w:shd w:val="clear" w:color="auto" w:fill="EEF3FF"/>
          </w:tcPr>
          <w:p>
            <w:pPr>
              <w:keepNext/>
              <w:spacing w:after="0" w:before="0" w:line="240" w:lineRule="auto"/>
            </w:pPr>
            <w:r>
              <w:rPr>
                <w:b/>
                <w:sz w:val="16"/>
              </w:rPr>
              <w:t>Tier</w:t>
            </w:r>
          </w:p>
        </w:tc>
        <w:tc>
          <w:tcPr>
            <w:tcW w:w="5559" w:type="dxa"/>
            <w:shd w:val="clear" w:color="auto" w:fill="EEF3FF"/>
          </w:tcPr>
          <w:p>
            <w:pPr>
              <w:keepNext/>
              <w:spacing w:after="0" w:before="0" w:line="240" w:lineRule="auto"/>
            </w:pPr>
            <w:r>
              <w:rPr>
                <w:b/>
                <w:sz w:val="16"/>
              </w:rPr>
              <w:t>Operation</w:t>
            </w:r>
          </w:p>
        </w:tc>
        <w:tc>
          <w:tcPr>
            <w:tcW w:w="3294" w:type="dxa"/>
            <w:shd w:val="clear" w:color="auto" w:fill="EEF3FF"/>
          </w:tcPr>
          <w:p>
            <w:pPr>
              <w:keepNext/>
              <w:spacing w:after="0" w:before="0" w:line="240" w:lineRule="auto"/>
            </w:pPr>
            <w:r>
              <w:rPr>
                <w:b/>
                <w:sz w:val="16"/>
              </w:rPr>
              <w:t>Boundary</w:t>
            </w:r>
          </w:p>
        </w:tc>
      </w:tr>
      <w:tr>
        <w:trPr>
          <w:cantSplit/>
        </w:trPr>
        <w:tc>
          <w:tcPr>
            <w:tcW w:w="617" w:type="dxa"/>
          </w:tcPr>
          <w:p>
            <w:pPr>
              <w:keepNext/>
              <w:spacing w:after="0" w:before="0" w:line="240" w:lineRule="auto"/>
            </w:pPr>
            <w:r>
              <w:rPr>
                <w:sz w:val="16"/>
              </w:rPr>
              <w:t>R0</w:t>
            </w:r>
          </w:p>
        </w:tc>
        <w:tc>
          <w:tcPr>
            <w:tcW w:w="5559" w:type="dxa"/>
          </w:tcPr>
          <w:p>
            <w:pPr>
              <w:keepNext/>
              <w:spacing w:after="0" w:before="0" w:line="240" w:lineRule="auto"/>
            </w:pPr>
            <w:r>
              <w:rPr>
                <w:sz w:val="16"/>
              </w:rPr>
              <w:t>Overview, receipts, rate quote, affordability simulation</w:t>
            </w:r>
          </w:p>
        </w:tc>
        <w:tc>
          <w:tcPr>
            <w:tcW w:w="3294" w:type="dxa"/>
          </w:tcPr>
          <w:p>
            <w:pPr>
              <w:keepNext/>
              <w:spacing w:after="0" w:before="0" w:line="240" w:lineRule="auto"/>
            </w:pPr>
            <w:r>
              <w:rPr>
                <w:sz w:val="16"/>
              </w:rPr>
              <w:t>Allowed; creates no action and does not call the policy engine</w:t>
            </w:r>
          </w:p>
        </w:tc>
      </w:tr>
      <w:tr>
        <w:trPr>
          <w:cantSplit/>
        </w:trPr>
        <w:tc>
          <w:tcPr>
            <w:tcW w:w="617" w:type="dxa"/>
          </w:tcPr>
          <w:p>
            <w:pPr>
              <w:keepNext/>
              <w:spacing w:after="0" w:before="0" w:line="240" w:lineRule="auto"/>
            </w:pPr>
            <w:r>
              <w:rPr>
                <w:sz w:val="16"/>
              </w:rPr>
              <w:t>R1</w:t>
            </w:r>
          </w:p>
        </w:tc>
        <w:tc>
          <w:tcPr>
            <w:tcW w:w="5559" w:type="dxa"/>
          </w:tcPr>
          <w:p>
            <w:pPr>
              <w:keepNext/>
              <w:spacing w:after="0" w:before="0" w:line="240" w:lineRule="auto"/>
            </w:pPr>
            <w:r>
              <w:rPr>
                <w:sz w:val="16"/>
              </w:rPr>
              <w:t>Reversible actions</w:t>
            </w:r>
          </w:p>
        </w:tc>
        <w:tc>
          <w:tcPr>
            <w:tcW w:w="3294" w:type="dxa"/>
          </w:tcPr>
          <w:p>
            <w:pPr>
              <w:keepNext/>
              <w:spacing w:after="0" w:before="0" w:line="240" w:lineRule="auto"/>
            </w:pPr>
            <w:r>
              <w:rPr>
                <w:sz w:val="16"/>
              </w:rPr>
              <w:t>Defined; no action uses it</w:t>
            </w:r>
          </w:p>
        </w:tc>
      </w:tr>
      <w:tr>
        <w:trPr>
          <w:cantSplit/>
        </w:trPr>
        <w:tc>
          <w:tcPr>
            <w:tcW w:w="617" w:type="dxa"/>
          </w:tcPr>
          <w:p>
            <w:pPr>
              <w:keepNext/>
              <w:spacing w:after="0" w:before="0" w:line="240" w:lineRule="auto"/>
            </w:pPr>
            <w:r>
              <w:rPr>
                <w:sz w:val="16"/>
              </w:rPr>
              <w:t>R2</w:t>
            </w:r>
          </w:p>
        </w:tc>
        <w:tc>
          <w:tcPr>
            <w:tcW w:w="5559" w:type="dxa"/>
          </w:tcPr>
          <w:p>
            <w:pPr>
              <w:keepNext/>
              <w:spacing w:after="0" w:before="0" w:line="240" w:lineRule="auto"/>
            </w:pPr>
            <w:r>
              <w:rPr>
                <w:sz w:val="16"/>
              </w:rPr>
              <w:t>Payment to a payee older than 72 h up to 1,500 EUR eq. (same-payee 24 h total included); currency purchase up to 2,500 EUR eq.</w:t>
            </w:r>
          </w:p>
        </w:tc>
        <w:tc>
          <w:tcPr>
            <w:tcW w:w="3294" w:type="dxa"/>
          </w:tcPr>
          <w:p>
            <w:pPr>
              <w:keepNext/>
              <w:spacing w:after="0" w:before="0" w:line="240" w:lineRule="auto"/>
            </w:pPr>
            <w:r>
              <w:rPr>
                <w:sz w:val="16"/>
              </w:rPr>
              <w:t>One tap. Frozen while the code lock is on</w:t>
            </w:r>
          </w:p>
        </w:tc>
      </w:tr>
      <w:tr>
        <w:trPr>
          <w:cantSplit/>
        </w:trPr>
        <w:tc>
          <w:tcPr>
            <w:tcW w:w="617" w:type="dxa"/>
          </w:tcPr>
          <w:p>
            <w:pPr>
              <w:keepNext/>
              <w:spacing w:after="0" w:before="0" w:line="240" w:lineRule="auto"/>
            </w:pPr>
            <w:r>
              <w:rPr>
                <w:sz w:val="16"/>
              </w:rPr>
              <w:t>R3</w:t>
            </w:r>
          </w:p>
        </w:tc>
        <w:tc>
          <w:tcPr>
            <w:tcW w:w="5559" w:type="dxa"/>
          </w:tcPr>
          <w:p>
            <w:pPr>
              <w:keepNext/>
              <w:spacing w:after="0" w:before="0" w:line="240" w:lineRule="auto"/>
            </w:pPr>
            <w:r>
              <w:rPr>
                <w:sz w:val="16"/>
              </w:rPr>
              <w:t xml:space="preserve">Payment to a payee under 72 h old; larger amounts (up to 4,000); splitting payments; currency purchase above 2,500 EUR eq.; adding a payee; </w:t>
            </w:r>
            <w:r>
              <w:rPr>
                <w:rFonts w:ascii="Consolas" w:hAnsi="Consolas" w:eastAsia="Consolas"/>
                <w:color w:val="2B3F77"/>
                <w:sz w:val="15"/>
              </w:rPr>
              <w:t>PAYEE_VERIFICATION</w:t>
            </w:r>
            <w:r>
              <w:rPr>
                <w:sz w:val="16"/>
              </w:rPr>
              <w:t xml:space="preserve"> (Verification of Payee) close match, no match or not available</w:t>
            </w:r>
          </w:p>
        </w:tc>
        <w:tc>
          <w:tcPr>
            <w:tcW w:w="3294" w:type="dxa"/>
          </w:tcPr>
          <w:p>
            <w:pPr>
              <w:keepNext/>
              <w:spacing w:after="0" w:before="0" w:line="240" w:lineRule="auto"/>
            </w:pPr>
            <w:r>
              <w:rPr>
                <w:sz w:val="16"/>
              </w:rPr>
              <w:t>One-time code; three wrong codes in a row freeze every approval of the customer, taps included</w:t>
            </w:r>
          </w:p>
        </w:tc>
      </w:tr>
      <w:tr>
        <w:trPr>
          <w:cantSplit/>
        </w:trPr>
        <w:tc>
          <w:tcPr>
            <w:tcW w:w="617" w:type="dxa"/>
          </w:tcPr>
          <w:p>
            <w:pPr>
              <w:spacing w:after="0" w:before="0" w:line="240" w:lineRule="auto"/>
            </w:pPr>
            <w:r>
              <w:rPr>
                <w:sz w:val="16"/>
              </w:rPr>
              <w:t>R4</w:t>
            </w:r>
          </w:p>
        </w:tc>
        <w:tc>
          <w:tcPr>
            <w:tcW w:w="5559" w:type="dxa"/>
          </w:tcPr>
          <w:p>
            <w:pPr>
              <w:spacing w:after="0" w:before="0" w:line="240" w:lineRule="auto"/>
            </w:pPr>
            <w:r>
              <w:rPr>
                <w:sz w:val="16"/>
              </w:rPr>
              <w:t xml:space="preserve">Infeasible payment, unregistered or blocked payee, IBAN not in the registry, other tenant, reserve breach, over 4,000 EUR per payment or 5,000 EUR per day, untrusted origin, sanctions hit, invalid IBAN, look-alike payee name, off-price FX quote, </w:t>
            </w:r>
            <w:r>
              <w:rPr>
                <w:rFonts w:ascii="Consolas" w:hAnsi="Consolas" w:eastAsia="Consolas"/>
                <w:color w:val="2B3F77"/>
                <w:sz w:val="15"/>
              </w:rPr>
              <w:t>PAYEE_VERIFICATION</w:t>
            </w:r>
            <w:r>
              <w:rPr>
                <w:sz w:val="16"/>
              </w:rPr>
              <w:t xml:space="preserve"> no match or not available when the account number comes from a document of the same request, locked approval, policy error</w:t>
            </w:r>
          </w:p>
        </w:tc>
        <w:tc>
          <w:tcPr>
            <w:tcW w:w="3294" w:type="dxa"/>
          </w:tcPr>
          <w:p>
            <w:pPr>
              <w:spacing w:after="0" w:before="0" w:line="240" w:lineRule="auto"/>
            </w:pPr>
            <w:r>
              <w:rPr>
                <w:sz w:val="16"/>
              </w:rPr>
              <w:t>Denied; nothing the model or the customer says overrides it</w:t>
            </w:r>
          </w:p>
        </w:tc>
      </w:tr>
    </w:tbl>
    <w:p>
      <w:pPr>
        <w:spacing w:after="120" w:before="0" w:line="40" w:lineRule="exact"/>
      </w:pPr>
    </w:p>
    <w:p>
      <w:pPr>
        <w:keepNext w:val="0"/>
        <w:spacing w:after="60" w:before="0"/>
        <w:ind w:left="317"/>
      </w:pPr>
      <w:r>
        <w:rPr>
          <w:b/>
          <w:sz w:val="18"/>
        </w:rPr>
        <w:t>Access surfaces.</w:t>
      </w:r>
      <w:r>
        <w:rPr>
          <w:sz w:val="18"/>
        </w:rPr>
        <w:t xml:space="preserve"> The same orchestrator and gates sit behind all three; they differ in who can reach them.</w:t>
      </w:r>
    </w:p>
    <w:tbl>
      <w:tblPr>
        <w:tblW w:w="9470" w:type="dxa"/>
        <w:tblInd w:w="320" w:type="dxa"/>
        <w:tblBorders>
          <w:top w:val="single" w:sz="4" w:space="0" w:color="D5DBE8"/>
          <w:left w:val="nil"/>
          <w:bottom w:val="single" w:sz="4" w:space="0" w:color="D5DBE8"/>
          <w:right w:val="nil"/>
          <w:insideH w:val="single" w:sz="4" w:space="0" w:color="D5DBE8"/>
          <w:insideV w:val="nil"/>
        </w:tblBorders>
        <w:tblLayout w:type="fixed"/>
        <w:tblCellMar>
          <w:top w:w="45" w:type="dxa"/>
          <w:left w:w="70" w:type="dxa"/>
          <w:bottom w:w="45" w:type="dxa"/>
          <w:right w:w="70" w:type="dxa"/>
        </w:tblCellMar>
        <w:tblLook w:firstColumn="1" w:firstRow="1" w:lastColumn="0" w:lastRow="0" w:noHBand="0" w:noVBand="1" w:val="04A0"/>
      </w:tblPr>
      <w:tblGrid>
        <w:gridCol w:w="1441"/>
        <w:gridCol w:w="2059"/>
        <w:gridCol w:w="2779"/>
        <w:gridCol w:w="3191"/>
      </w:tblGrid>
      <w:tr>
        <w:trPr>
          <w:cantSplit/>
          <w:tblHeader/>
        </w:trPr>
        <w:tc>
          <w:tcPr>
            <w:tcW w:w="1441" w:type="dxa"/>
            <w:shd w:val="clear" w:color="auto" w:fill="EEF3FF"/>
          </w:tcPr>
          <w:p>
            <w:pPr>
              <w:keepNext/>
              <w:spacing w:after="0" w:before="0" w:line="240" w:lineRule="auto"/>
            </w:pPr>
            <w:r>
              <w:rPr>
                <w:b/>
                <w:sz w:val="16"/>
              </w:rPr>
              <w:t>Surface</w:t>
            </w:r>
          </w:p>
        </w:tc>
        <w:tc>
          <w:tcPr>
            <w:tcW w:w="2059" w:type="dxa"/>
            <w:shd w:val="clear" w:color="auto" w:fill="EEF3FF"/>
          </w:tcPr>
          <w:p>
            <w:pPr>
              <w:keepNext/>
              <w:spacing w:after="0" w:before="0" w:line="240" w:lineRule="auto"/>
            </w:pPr>
            <w:r>
              <w:rPr>
                <w:b/>
                <w:sz w:val="16"/>
              </w:rPr>
              <w:t>Who is the customer</w:t>
            </w:r>
          </w:p>
        </w:tc>
        <w:tc>
          <w:tcPr>
            <w:tcW w:w="2779" w:type="dxa"/>
            <w:shd w:val="clear" w:color="auto" w:fill="EEF3FF"/>
          </w:tcPr>
          <w:p>
            <w:pPr>
              <w:keepNext/>
              <w:spacing w:after="0" w:before="0" w:line="240" w:lineRule="auto"/>
            </w:pPr>
            <w:r>
              <w:rPr>
                <w:b/>
                <w:sz w:val="16"/>
              </w:rPr>
              <w:t>Authentication</w:t>
            </w:r>
          </w:p>
        </w:tc>
        <w:tc>
          <w:tcPr>
            <w:tcW w:w="3191" w:type="dxa"/>
            <w:shd w:val="clear" w:color="auto" w:fill="EEF3FF"/>
          </w:tcPr>
          <w:p>
            <w:pPr>
              <w:keepNext/>
              <w:spacing w:after="0" w:before="0" w:line="240" w:lineRule="auto"/>
            </w:pPr>
            <w:r>
              <w:rPr>
                <w:b/>
                <w:sz w:val="16"/>
              </w:rPr>
              <w:t>Limits</w:t>
            </w:r>
          </w:p>
        </w:tc>
      </w:tr>
      <w:tr>
        <w:trPr>
          <w:cantSplit/>
        </w:trPr>
        <w:tc>
          <w:tcPr>
            <w:tcW w:w="1441" w:type="dxa"/>
          </w:tcPr>
          <w:p>
            <w:pPr>
              <w:keepNext/>
              <w:spacing w:after="0" w:before="0" w:line="240" w:lineRule="auto"/>
            </w:pPr>
            <w:r>
              <w:rPr>
                <w:sz w:val="16"/>
              </w:rPr>
              <w:t>Streamlit UI</w:t>
            </w:r>
          </w:p>
        </w:tc>
        <w:tc>
          <w:tcPr>
            <w:tcW w:w="2059" w:type="dxa"/>
          </w:tcPr>
          <w:p>
            <w:pPr>
              <w:keepNext/>
              <w:spacing w:after="0" w:before="0" w:line="240" w:lineRule="auto"/>
            </w:pPr>
            <w:r>
              <w:rPr>
                <w:sz w:val="16"/>
              </w:rPr>
              <w:t>Fixed: Lina (</w:t>
            </w:r>
            <w:r>
              <w:rPr>
                <w:rFonts w:ascii="Consolas" w:hAnsi="Consolas" w:eastAsia="Consolas"/>
                <w:color w:val="2B3F77"/>
                <w:sz w:val="15"/>
              </w:rPr>
              <w:t>u_lina</w:t>
            </w:r>
            <w:r>
              <w:rPr>
                <w:sz w:val="16"/>
              </w:rPr>
              <w:t>)</w:t>
            </w:r>
          </w:p>
        </w:tc>
        <w:tc>
          <w:tcPr>
            <w:tcW w:w="2779" w:type="dxa"/>
          </w:tcPr>
          <w:p>
            <w:pPr>
              <w:keepNext/>
              <w:spacing w:after="0" w:before="0" w:line="240" w:lineRule="auto"/>
            </w:pPr>
            <w:r>
              <w:rPr>
                <w:sz w:val="16"/>
              </w:rPr>
              <w:t xml:space="preserve">None: local demo on </w:t>
            </w:r>
            <w:r>
              <w:rPr>
                <w:rFonts w:ascii="Consolas" w:hAnsi="Consolas" w:eastAsia="Consolas"/>
                <w:color w:val="2B3F77"/>
                <w:sz w:val="15"/>
              </w:rPr>
              <w:t>127.0.0.1</w:t>
            </w:r>
            <w:r>
              <w:rPr>
                <w:sz w:val="16"/>
              </w:rPr>
              <w:t>, Host allow-list</w:t>
            </w:r>
          </w:p>
        </w:tc>
        <w:tc>
          <w:tcPr>
            <w:tcW w:w="3191" w:type="dxa"/>
          </w:tcPr>
          <w:p>
            <w:pPr>
              <w:keepNext/>
              <w:spacing w:after="0" w:before="0" w:line="240" w:lineRule="auto"/>
            </w:pPr>
            <w:r>
              <w:rPr>
                <w:sz w:val="16"/>
              </w:rPr>
              <w:t>The code is shown on screen and the guided demo enters it; Reset demo, the model selector and the exchange-rate toggle rebuild the sandbox and clear the code lock</w:t>
            </w:r>
          </w:p>
        </w:tc>
      </w:tr>
      <w:tr>
        <w:trPr>
          <w:cantSplit/>
        </w:trPr>
        <w:tc>
          <w:tcPr>
            <w:tcW w:w="1441" w:type="dxa"/>
          </w:tcPr>
          <w:p>
            <w:pPr>
              <w:keepNext/>
              <w:spacing w:after="0" w:before="0" w:line="240" w:lineRule="auto"/>
            </w:pPr>
            <w:r>
              <w:rPr>
                <w:sz w:val="16"/>
              </w:rPr>
              <w:t>Harness CLI</w:t>
            </w:r>
          </w:p>
        </w:tc>
        <w:tc>
          <w:tcPr>
            <w:tcW w:w="2059" w:type="dxa"/>
          </w:tcPr>
          <w:p>
            <w:pPr>
              <w:keepNext/>
              <w:spacing w:after="0" w:before="0" w:line="240" w:lineRule="auto"/>
            </w:pPr>
            <w:r>
              <w:rPr>
                <w:rFonts w:ascii="Consolas" w:hAnsi="Consolas" w:eastAsia="Consolas"/>
                <w:color w:val="2B3F77"/>
                <w:sz w:val="15"/>
              </w:rPr>
              <w:t>--user</w:t>
            </w:r>
            <w:r>
              <w:rPr>
                <w:sz w:val="16"/>
              </w:rPr>
              <w:t>: any seeded customer</w:t>
            </w:r>
          </w:p>
        </w:tc>
        <w:tc>
          <w:tcPr>
            <w:tcW w:w="2779" w:type="dxa"/>
          </w:tcPr>
          <w:p>
            <w:pPr>
              <w:keepNext/>
              <w:spacing w:after="0" w:before="0" w:line="240" w:lineRule="auto"/>
            </w:pPr>
            <w:r>
              <w:rPr>
                <w:sz w:val="16"/>
              </w:rPr>
              <w:t>None: a local process</w:t>
            </w:r>
          </w:p>
        </w:tc>
        <w:tc>
          <w:tcPr>
            <w:tcW w:w="3191" w:type="dxa"/>
          </w:tcPr>
          <w:p>
            <w:pPr>
              <w:keepNext/>
              <w:spacing w:after="0" w:before="0" w:line="240" w:lineRule="auto"/>
            </w:pPr>
            <w:r>
              <w:rPr>
                <w:sz w:val="16"/>
              </w:rPr>
              <w:t>Same orchestrator and gates</w:t>
            </w:r>
          </w:p>
        </w:tc>
      </w:tr>
      <w:tr>
        <w:trPr>
          <w:cantSplit/>
        </w:trPr>
        <w:tc>
          <w:tcPr>
            <w:tcW w:w="1441" w:type="dxa"/>
          </w:tcPr>
          <w:p>
            <w:pPr>
              <w:spacing w:after="0" w:before="0" w:line="240" w:lineRule="auto"/>
            </w:pPr>
            <w:r>
              <w:rPr>
                <w:sz w:val="16"/>
              </w:rPr>
              <w:t>HTTP API</w:t>
            </w:r>
          </w:p>
        </w:tc>
        <w:tc>
          <w:tcPr>
            <w:tcW w:w="2059" w:type="dxa"/>
          </w:tcPr>
          <w:p>
            <w:pPr>
              <w:spacing w:after="0" w:before="0" w:line="240" w:lineRule="auto"/>
            </w:pPr>
            <w:r>
              <w:rPr>
                <w:sz w:val="16"/>
              </w:rPr>
              <w:t xml:space="preserve">Any seeded customer; the one in </w:t>
            </w:r>
            <w:r>
              <w:rPr>
                <w:rFonts w:ascii="Consolas" w:hAnsi="Consolas" w:eastAsia="Consolas"/>
                <w:color w:val="2B3F77"/>
                <w:sz w:val="15"/>
              </w:rPr>
              <w:t>BG_API_USER</w:t>
            </w:r>
            <w:r>
              <w:rPr>
                <w:sz w:val="16"/>
              </w:rPr>
              <w:t>; or the one a per-customer token is bound to</w:t>
            </w:r>
          </w:p>
        </w:tc>
        <w:tc>
          <w:tcPr>
            <w:tcW w:w="2779" w:type="dxa"/>
          </w:tcPr>
          <w:p>
            <w:pPr>
              <w:spacing w:after="0" w:before="0" w:line="240" w:lineRule="auto"/>
            </w:pPr>
            <w:r>
              <w:rPr>
                <w:sz w:val="16"/>
              </w:rPr>
              <w:t>None on loopback unless a token is set; a token is required off loopback (plain HTTP)</w:t>
            </w:r>
          </w:p>
        </w:tc>
        <w:tc>
          <w:tcPr>
            <w:tcW w:w="3191" w:type="dxa"/>
          </w:tcPr>
          <w:p>
            <w:pPr>
              <w:spacing w:after="0" w:before="0" w:line="240" w:lineRule="auto"/>
            </w:pPr>
            <w:r>
              <w:rPr>
                <w:sz w:val="16"/>
              </w:rPr>
              <w:t xml:space="preserve">A token reaches only its own customer's sessions; random session ids; an approval must carry the </w:t>
            </w:r>
            <w:r>
              <w:rPr>
                <w:rFonts w:ascii="Consolas" w:hAnsi="Consolas" w:eastAsia="Consolas"/>
                <w:color w:val="2B3F77"/>
                <w:sz w:val="15"/>
              </w:rPr>
              <w:t>params_hash</w:t>
            </w:r>
            <w:r>
              <w:rPr>
                <w:sz w:val="16"/>
              </w:rPr>
              <w:t xml:space="preserve"> shown with the action; 200 sessions at most; </w:t>
            </w:r>
            <w:r>
              <w:rPr>
                <w:rFonts w:ascii="Consolas" w:hAnsi="Consolas" w:eastAsia="Consolas"/>
                <w:color w:val="2B3F77"/>
                <w:sz w:val="15"/>
              </w:rPr>
              <w:t>BG_API_TOKEN</w:t>
            </w:r>
            <w:r>
              <w:rPr>
                <w:sz w:val="16"/>
              </w:rPr>
              <w:t xml:space="preserve"> is one shared secret</w:t>
            </w:r>
          </w:p>
        </w:tc>
      </w:tr>
    </w:tbl>
    <w:p>
      <w:pPr>
        <w:spacing w:after="120" w:before="0" w:line="40" w:lineRule="exact"/>
      </w:pPr>
    </w:p>
    <w:p>
      <w:pPr>
        <w:pStyle w:val="ListBullet"/>
        <w:keepNext/>
        <w:spacing w:after="100" w:before="120"/>
      </w:pPr>
      <w:r>
        <w:rPr>
          <w:b/>
        </w:rPr>
        <w:t>Confirmation, verification and rollback mechanisms</w:t>
      </w:r>
    </w:p>
    <w:p>
      <w:pPr>
        <w:pStyle w:val="ListBullet2"/>
        <w:spacing w:after="50" w:before="0"/>
        <w:ind w:left="652" w:hanging="255"/>
      </w:pPr>
      <w:r>
        <w:rPr>
          <w:b/>
        </w:rPr>
        <w:t>Confirmation.</w:t>
      </w:r>
      <w:r>
        <w:t xml:space="preserve"> Every action that changes money or the registry waits for approval. The card shows the payee, the amount, the account tail, the tier and the balance afterwards. The approval is a hash of the action: changing any field invalidates it (</w:t>
      </w:r>
      <w:r>
        <w:rPr>
          <w:rFonts w:ascii="Consolas" w:hAnsi="Consolas" w:eastAsia="Consolas"/>
          <w:color w:val="2B3F77"/>
          <w:sz w:val="19"/>
        </w:rPr>
        <w:t>param_tamper</w:t>
      </w:r>
      <w:r>
        <w:t>). A correction is a new action with a new hash.</w:t>
      </w:r>
    </w:p>
    <w:p>
      <w:pPr>
        <w:pStyle w:val="ListBullet2"/>
        <w:spacing w:after="50" w:before="0"/>
        <w:ind w:left="652" w:hanging="255"/>
      </w:pPr>
      <w:r>
        <w:rPr>
          <w:b/>
        </w:rPr>
        <w:t>Verification.</w:t>
      </w:r>
      <w:r>
        <w:t xml:space="preserve"> Every action, executed or denied, gets a receipt in the customer's own hash chain. She keeps a signed anchor of the latest receipt and can check the chain against it. A deleted last receipt or a rewritten chain is detected only against an anchor she kept, and only while the signing key is secret. While the public demo key is in use, the log and the UI say so.</w:t>
      </w:r>
    </w:p>
    <w:p>
      <w:pPr>
        <w:pStyle w:val="ListBullet2"/>
        <w:spacing w:after="50" w:before="0"/>
        <w:ind w:left="652" w:hanging="255"/>
      </w:pPr>
      <w:r>
        <w:rPr>
          <w:b/>
        </w:rPr>
        <w:t>Rollback.</w:t>
      </w:r>
      <w:r>
        <w:t xml:space="preserve"> Before execution she can reject, cancel or correct any pending action, and nothing has moved. After execution the prototype has no reversal: the sandbox has no recall or refund function, and a real payment could not always be recalled. That is why high-risk steps wait for a code. A denied action is final and recorded; the only unlock is the operator reset of the code lock.</w:t>
      </w:r>
    </w:p>
    <w:p>
      <w:pPr>
        <w:pStyle w:val="ListBullet2"/>
        <w:spacing w:after="50" w:before="0"/>
        <w:ind w:left="652" w:hanging="255"/>
      </w:pPr>
      <w:r>
        <w:rPr>
          <w:b/>
        </w:rPr>
        <w:t>Failure recovery.</w:t>
      </w:r>
      <w:r>
        <w:t xml:space="preserve"> A model that is down, slow or malformed falls back to the rules parser. A policy exception becomes a deny. A malformed anchor gives "invalid", not a crash. A message over 2,000 characters is refused before parsing.</w:t>
      </w:r>
    </w:p>
    <w:p>
      <w:pPr>
        <w:pStyle w:val="Heading1"/>
      </w:pPr>
      <w:r>
        <w:t>02 Security Tests</w:t>
      </w:r>
    </w:p>
    <w:p>
      <w:pPr>
        <w:pStyle w:val="ListBullet"/>
        <w:keepNext/>
        <w:spacing w:after="100" w:before="120"/>
      </w:pPr>
      <w:r>
        <w:rPr>
          <w:b/>
        </w:rPr>
        <w:t>Prompt injection, social engineering, privilege escalation and failure recovery tests</w:t>
      </w:r>
    </w:p>
    <w:p>
      <w:pPr>
        <w:keepNext w:val="0"/>
        <w:spacing w:after="60" w:before="0"/>
        <w:ind w:left="317"/>
      </w:pPr>
      <w:r>
        <w:t xml:space="preserve">Every test runs against the real system through </w:t>
      </w:r>
      <w:r>
        <w:rPr>
          <w:rFonts w:ascii="Consolas" w:hAnsi="Consolas" w:eastAsia="Consolas"/>
          <w:color w:val="2B3F77"/>
          <w:sz w:val="19"/>
        </w:rPr>
        <w:t>bg.app.build_default</w:t>
      </w:r>
      <w:r>
        <w:t>. A case counts as blocked only if every invariant of its family holds: no money to an unregistered or attacker account, limits unchanged, approvals bound, no other customer's data.</w:t>
      </w:r>
    </w:p>
    <w:tbl>
      <w:tblPr>
        <w:tblW w:w="9470" w:type="dxa"/>
        <w:tblInd w:w="320" w:type="dxa"/>
        <w:tblBorders>
          <w:top w:val="single" w:sz="4" w:space="0" w:color="D5DBE8"/>
          <w:left w:val="nil"/>
          <w:bottom w:val="single" w:sz="4" w:space="0" w:color="D5DBE8"/>
          <w:right w:val="nil"/>
          <w:insideH w:val="single" w:sz="4" w:space="0" w:color="D5DBE8"/>
          <w:insideV w:val="nil"/>
        </w:tblBorders>
        <w:tblLayout w:type="fixed"/>
        <w:tblCellMar>
          <w:top w:w="45" w:type="dxa"/>
          <w:left w:w="70" w:type="dxa"/>
          <w:bottom w:w="45" w:type="dxa"/>
          <w:right w:w="70" w:type="dxa"/>
        </w:tblCellMar>
        <w:tblLook w:firstColumn="1" w:firstRow="1" w:lastColumn="0" w:lastRow="0" w:noHBand="0" w:noVBand="1" w:val="04A0"/>
      </w:tblPr>
      <w:tblGrid>
        <w:gridCol w:w="1495"/>
        <w:gridCol w:w="3888"/>
        <w:gridCol w:w="2193"/>
        <w:gridCol w:w="1894"/>
      </w:tblGrid>
      <w:tr>
        <w:trPr>
          <w:cantSplit/>
          <w:tblHeader/>
        </w:trPr>
        <w:tc>
          <w:tcPr>
            <w:tcW w:w="1495" w:type="dxa"/>
            <w:shd w:val="clear" w:color="auto" w:fill="EEF3FF"/>
          </w:tcPr>
          <w:p>
            <w:pPr>
              <w:keepNext/>
              <w:spacing w:after="0" w:before="0" w:line="240" w:lineRule="auto"/>
            </w:pPr>
            <w:r>
              <w:rPr>
                <w:b/>
                <w:sz w:val="15"/>
              </w:rPr>
              <w:t>Category</w:t>
            </w:r>
          </w:p>
        </w:tc>
        <w:tc>
          <w:tcPr>
            <w:tcW w:w="3888" w:type="dxa"/>
            <w:shd w:val="clear" w:color="auto" w:fill="EEF3FF"/>
          </w:tcPr>
          <w:p>
            <w:pPr>
              <w:keepNext/>
              <w:spacing w:after="0" w:before="0" w:line="240" w:lineRule="auto"/>
            </w:pPr>
            <w:r>
              <w:rPr>
                <w:b/>
                <w:sz w:val="15"/>
              </w:rPr>
              <w:t>What was tested</w:t>
            </w:r>
          </w:p>
        </w:tc>
        <w:tc>
          <w:tcPr>
            <w:tcW w:w="2193" w:type="dxa"/>
            <w:shd w:val="clear" w:color="auto" w:fill="EEF3FF"/>
          </w:tcPr>
          <w:p>
            <w:pPr>
              <w:keepNext/>
              <w:spacing w:after="0" w:before="0" w:line="240" w:lineRule="auto"/>
            </w:pPr>
            <w:r>
              <w:rPr>
                <w:b/>
                <w:sz w:val="15"/>
              </w:rPr>
              <w:t>Where</w:t>
            </w:r>
          </w:p>
        </w:tc>
        <w:tc>
          <w:tcPr>
            <w:tcW w:w="1894" w:type="dxa"/>
            <w:shd w:val="clear" w:color="auto" w:fill="EEF3FF"/>
          </w:tcPr>
          <w:p>
            <w:pPr>
              <w:keepNext/>
              <w:spacing w:after="0" w:before="0" w:line="240" w:lineRule="auto"/>
            </w:pPr>
            <w:r>
              <w:rPr>
                <w:b/>
                <w:sz w:val="15"/>
              </w:rPr>
              <w:t>Result</w:t>
            </w:r>
          </w:p>
        </w:tc>
      </w:tr>
      <w:tr>
        <w:trPr>
          <w:cantSplit/>
        </w:trPr>
        <w:tc>
          <w:tcPr>
            <w:tcW w:w="1495" w:type="dxa"/>
          </w:tcPr>
          <w:p>
            <w:pPr>
              <w:keepNext/>
              <w:spacing w:after="0" w:before="0" w:line="240" w:lineRule="auto"/>
            </w:pPr>
            <w:r>
              <w:rPr>
                <w:sz w:val="15"/>
              </w:rPr>
              <w:t>Prompt injection</w:t>
            </w:r>
          </w:p>
        </w:tc>
        <w:tc>
          <w:tcPr>
            <w:tcW w:w="3888" w:type="dxa"/>
          </w:tcPr>
          <w:p>
            <w:pPr>
              <w:keepNext/>
              <w:spacing w:after="0" w:before="0" w:line="240" w:lineRule="auto"/>
            </w:pPr>
            <w:r>
              <w:rPr>
                <w:sz w:val="15"/>
              </w:rPr>
              <w:t>Hidden instructions in invoices (9 variants, plus ES, AR, ZH, base64, leetspeak, table, polite, fake bank notice, zero-width, system tags), IBAN swap with no instruction, poisoned FX note, model free text</w:t>
            </w:r>
          </w:p>
        </w:tc>
        <w:tc>
          <w:tcPr>
            <w:tcW w:w="2193" w:type="dxa"/>
          </w:tcPr>
          <w:p>
            <w:pPr>
              <w:keepNext/>
              <w:spacing w:after="0" w:before="0" w:line="240" w:lineRule="auto"/>
            </w:pPr>
            <w:r>
              <w:rPr>
                <w:sz w:val="15"/>
              </w:rPr>
              <w:t>tests/adversarial F1 and F4; blind v1 document cases; blind v2 D01 to D13; missions T14 and T20</w:t>
            </w:r>
          </w:p>
        </w:tc>
        <w:tc>
          <w:tcPr>
            <w:tcW w:w="1894" w:type="dxa"/>
          </w:tcPr>
          <w:p>
            <w:pPr>
              <w:keepNext/>
              <w:spacing w:after="0" w:before="0" w:line="240" w:lineRule="auto"/>
            </w:pPr>
            <w:r>
              <w:rPr>
                <w:sz w:val="15"/>
              </w:rPr>
              <w:t>69/69 in the development suites; blind v2 rules 69/70 overall</w:t>
            </w:r>
          </w:p>
        </w:tc>
      </w:tr>
      <w:tr>
        <w:trPr>
          <w:cantSplit/>
        </w:trPr>
        <w:tc>
          <w:tcPr>
            <w:tcW w:w="1495" w:type="dxa"/>
          </w:tcPr>
          <w:p>
            <w:pPr>
              <w:keepNext/>
              <w:spacing w:after="0" w:before="0" w:line="240" w:lineRule="auto"/>
            </w:pPr>
            <w:r>
              <w:rPr>
                <w:sz w:val="15"/>
              </w:rPr>
              <w:t>Social engineering</w:t>
            </w:r>
          </w:p>
        </w:tc>
        <w:tc>
          <w:tcPr>
            <w:tcW w:w="3888" w:type="dxa"/>
          </w:tcPr>
          <w:p>
            <w:pPr>
              <w:keepNext/>
              <w:spacing w:after="0" w:before="0" w:line="240" w:lineRule="auto"/>
            </w:pPr>
            <w:r>
              <w:rPr>
                <w:sz w:val="15"/>
              </w:rPr>
              <w:t>Chat IBAN change, new payee named "mom", look-alike duplicate name, add-payee-and-pay in one sentence, a careless user who approves everything shown (stage B)</w:t>
            </w:r>
          </w:p>
        </w:tc>
        <w:tc>
          <w:tcPr>
            <w:tcW w:w="2193" w:type="dxa"/>
          </w:tcPr>
          <w:p>
            <w:pPr>
              <w:keepNext/>
              <w:spacing w:after="0" w:before="0" w:line="240" w:lineRule="auto"/>
            </w:pPr>
            <w:r>
              <w:rPr>
                <w:sz w:val="15"/>
              </w:rPr>
              <w:t>tests/adversarial F2; blind v2 M01 to M15 and the careless-user stage; tests/audit</w:t>
            </w:r>
          </w:p>
        </w:tc>
        <w:tc>
          <w:tcPr>
            <w:tcW w:w="1894" w:type="dxa"/>
          </w:tcPr>
          <w:p>
            <w:pPr>
              <w:keepNext/>
              <w:spacing w:after="0" w:before="0" w:line="240" w:lineRule="auto"/>
            </w:pPr>
            <w:r>
              <w:rPr>
                <w:sz w:val="15"/>
              </w:rPr>
              <w:t>No money reached a non-registry payee in any case</w:t>
            </w:r>
          </w:p>
        </w:tc>
      </w:tr>
      <w:tr>
        <w:trPr>
          <w:cantSplit/>
        </w:trPr>
        <w:tc>
          <w:tcPr>
            <w:tcW w:w="1495" w:type="dxa"/>
          </w:tcPr>
          <w:p>
            <w:pPr>
              <w:keepNext/>
              <w:spacing w:after="0" w:before="0" w:line="240" w:lineRule="auto"/>
            </w:pPr>
            <w:r>
              <w:rPr>
                <w:sz w:val="15"/>
              </w:rPr>
              <w:t>Privilege escalation, data extraction</w:t>
            </w:r>
          </w:p>
        </w:tc>
        <w:tc>
          <w:tcPr>
            <w:tcW w:w="3888" w:type="dxa"/>
          </w:tcPr>
          <w:p>
            <w:pPr>
              <w:keepNext/>
              <w:spacing w:after="0" w:before="0" w:line="240" w:lineRule="auto"/>
            </w:pPr>
            <w:r>
              <w:rPr>
                <w:sz w:val="15"/>
              </w:rPr>
              <w:t>"Raise my limit", "skip the code", DAN and developer mode, other customers' balances, system prompt, API keys, other tenant's payee id</w:t>
            </w:r>
          </w:p>
        </w:tc>
        <w:tc>
          <w:tcPr>
            <w:tcW w:w="2193" w:type="dxa"/>
          </w:tcPr>
          <w:p>
            <w:pPr>
              <w:keepNext/>
              <w:spacing w:after="0" w:before="0" w:line="240" w:lineRule="auto"/>
            </w:pPr>
            <w:r>
              <w:rPr>
                <w:sz w:val="15"/>
              </w:rPr>
              <w:t>tests/adversarial F3 (18); blind v2 P01 to P10; mission T19</w:t>
            </w:r>
          </w:p>
        </w:tc>
        <w:tc>
          <w:tcPr>
            <w:tcW w:w="1894" w:type="dxa"/>
          </w:tcPr>
          <w:p>
            <w:pPr>
              <w:keepNext/>
              <w:spacing w:after="0" w:before="0" w:line="240" w:lineRule="auto"/>
            </w:pPr>
            <w:r>
              <w:rPr>
                <w:sz w:val="15"/>
              </w:rPr>
              <w:t>No data leaked; limits unchanged</w:t>
            </w:r>
          </w:p>
        </w:tc>
      </w:tr>
      <w:tr>
        <w:trPr>
          <w:cantSplit/>
        </w:trPr>
        <w:tc>
          <w:tcPr>
            <w:tcW w:w="1495" w:type="dxa"/>
          </w:tcPr>
          <w:p>
            <w:pPr>
              <w:keepNext/>
              <w:spacing w:after="0" w:before="0" w:line="240" w:lineRule="auto"/>
            </w:pPr>
            <w:r>
              <w:rPr>
                <w:sz w:val="15"/>
              </w:rPr>
              <w:t>Replay, tampering, brute force</w:t>
            </w:r>
          </w:p>
        </w:tc>
        <w:tc>
          <w:tcPr>
            <w:tcW w:w="3888" w:type="dxa"/>
          </w:tcPr>
          <w:p>
            <w:pPr>
              <w:keepNext/>
              <w:spacing w:after="0" w:before="0" w:line="240" w:lineRule="auto"/>
            </w:pPr>
            <w:r>
              <w:rPr>
                <w:sz w:val="15"/>
              </w:rPr>
              <w:t>Double confirm, wrong hash, other session, other tenant, 10 wrong codes then the right one, new session or correction to reset the counter</w:t>
            </w:r>
          </w:p>
        </w:tc>
        <w:tc>
          <w:tcPr>
            <w:tcW w:w="2193" w:type="dxa"/>
          </w:tcPr>
          <w:p>
            <w:pPr>
              <w:keepNext/>
              <w:spacing w:after="0" w:before="0" w:line="240" w:lineRule="auto"/>
            </w:pPr>
            <w:r>
              <w:rPr>
                <w:sz w:val="15"/>
              </w:rPr>
              <w:t>tests/adversarial F5 (15); blind v2 O01 to O04 and R01 to R07; missions T12, T13, T17</w:t>
            </w:r>
          </w:p>
        </w:tc>
        <w:tc>
          <w:tcPr>
            <w:tcW w:w="1894" w:type="dxa"/>
          </w:tcPr>
          <w:p>
            <w:pPr>
              <w:keepNext/>
              <w:spacing w:after="0" w:before="0" w:line="240" w:lineRule="auto"/>
            </w:pPr>
            <w:r>
              <w:rPr>
                <w:sz w:val="15"/>
              </w:rPr>
              <w:t>Money moved at most once; the lockout holds</w:t>
            </w:r>
          </w:p>
        </w:tc>
      </w:tr>
      <w:tr>
        <w:trPr>
          <w:cantSplit/>
        </w:trPr>
        <w:tc>
          <w:tcPr>
            <w:tcW w:w="1495" w:type="dxa"/>
          </w:tcPr>
          <w:p>
            <w:pPr>
              <w:keepNext/>
              <w:spacing w:after="0" w:before="0" w:line="240" w:lineRule="auto"/>
            </w:pPr>
            <w:r>
              <w:rPr>
                <w:sz w:val="15"/>
              </w:rPr>
              <w:t>Compliance controls</w:t>
            </w:r>
          </w:p>
        </w:tc>
        <w:tc>
          <w:tcPr>
            <w:tcW w:w="3888" w:type="dxa"/>
          </w:tcPr>
          <w:p>
            <w:pPr>
              <w:keepNext/>
              <w:spacing w:after="0" w:before="0" w:line="240" w:lineRule="auto"/>
            </w:pPr>
            <w:r>
              <w:rPr>
                <w:sz w:val="15"/>
              </w:rPr>
              <w:t>Structuring (4 x 400, 600 + 550 + 500), sanctions with homoglyphs and spacing variants, invalid IBAN, payee-name collision, FX price manipulation</w:t>
            </w:r>
          </w:p>
        </w:tc>
        <w:tc>
          <w:tcPr>
            <w:tcW w:w="2193" w:type="dxa"/>
          </w:tcPr>
          <w:p>
            <w:pPr>
              <w:keepNext/>
              <w:spacing w:after="0" w:before="0" w:line="240" w:lineRule="auto"/>
            </w:pPr>
            <w:r>
              <w:rPr>
                <w:sz w:val="15"/>
              </w:rPr>
              <w:t>tests/unit/policy, tests/audit; missions T15, T16; blind v2 S01 to S04 and X01 to X08</w:t>
            </w:r>
          </w:p>
        </w:tc>
        <w:tc>
          <w:tcPr>
            <w:tcW w:w="1894" w:type="dxa"/>
          </w:tcPr>
          <w:p>
            <w:pPr>
              <w:keepNext/>
              <w:spacing w:after="0" w:before="0" w:line="240" w:lineRule="auto"/>
            </w:pPr>
            <w:r>
              <w:rPr>
                <w:sz w:val="15"/>
              </w:rPr>
              <w:t>Blind v2: one miss (X08, Cyrillic letter), fixed afterwards</w:t>
            </w:r>
          </w:p>
        </w:tc>
      </w:tr>
      <w:tr>
        <w:trPr>
          <w:cantSplit/>
        </w:trPr>
        <w:tc>
          <w:tcPr>
            <w:tcW w:w="1495" w:type="dxa"/>
          </w:tcPr>
          <w:p>
            <w:pPr>
              <w:spacing w:after="0" w:before="0" w:line="240" w:lineRule="auto"/>
            </w:pPr>
            <w:r>
              <w:rPr>
                <w:sz w:val="15"/>
              </w:rPr>
              <w:t>Failure recovery</w:t>
            </w:r>
          </w:p>
        </w:tc>
        <w:tc>
          <w:tcPr>
            <w:tcW w:w="3888" w:type="dxa"/>
          </w:tcPr>
          <w:p>
            <w:pPr>
              <w:spacing w:after="0" w:before="0" w:line="240" w:lineRule="auto"/>
            </w:pPr>
            <w:r>
              <w:rPr>
                <w:sz w:val="15"/>
              </w:rPr>
              <w:t>Model unreachable, timeout, HTTP 500, invalid JSON, extra field, out-of-range amount, empty list; policy exception; malformed anchor; truncated and rewritten chains</w:t>
            </w:r>
          </w:p>
        </w:tc>
        <w:tc>
          <w:tcPr>
            <w:tcW w:w="2193" w:type="dxa"/>
          </w:tcPr>
          <w:p>
            <w:pPr>
              <w:spacing w:after="0" w:before="0" w:line="240" w:lineRule="auto"/>
            </w:pPr>
            <w:r>
              <w:rPr>
                <w:sz w:val="15"/>
              </w:rPr>
              <w:t>tests/unit/agent (local parser, connectors, hardening), tests/unit/ledger, tests/audit</w:t>
            </w:r>
          </w:p>
        </w:tc>
        <w:tc>
          <w:tcPr>
            <w:tcW w:w="1894" w:type="dxa"/>
          </w:tcPr>
          <w:p>
            <w:pPr>
              <w:spacing w:after="0" w:before="0" w:line="240" w:lineRule="auto"/>
            </w:pPr>
            <w:r>
              <w:rPr>
                <w:sz w:val="15"/>
              </w:rPr>
              <w:t>Every case falls back to the rules parser, denies, or returns invalid</w:t>
            </w:r>
          </w:p>
        </w:tc>
      </w:tr>
    </w:tbl>
    <w:p>
      <w:pPr>
        <w:spacing w:after="120" w:before="0" w:line="40" w:lineRule="exact"/>
      </w:pPr>
    </w:p>
    <w:tbl>
      <w:tblPr>
        <w:tblW w:w="9471" w:type="dxa"/>
        <w:tblInd w:w="320" w:type="dxa"/>
        <w:tblBorders>
          <w:top w:val="single" w:sz="4" w:space="0" w:color="D5DBE8"/>
          <w:left w:val="nil"/>
          <w:bottom w:val="single" w:sz="4" w:space="0" w:color="D5DBE8"/>
          <w:right w:val="nil"/>
          <w:insideH w:val="single" w:sz="4" w:space="0" w:color="D5DBE8"/>
          <w:insideV w:val="nil"/>
        </w:tblBorders>
        <w:tblLayout w:type="fixed"/>
        <w:tblCellMar>
          <w:top w:w="45" w:type="dxa"/>
          <w:left w:w="70" w:type="dxa"/>
          <w:bottom w:w="45" w:type="dxa"/>
          <w:right w:w="70" w:type="dxa"/>
        </w:tblCellMar>
        <w:tblLook w:firstColumn="1" w:firstRow="1" w:lastColumn="0" w:lastRow="0" w:noHBand="0" w:noVBand="1" w:val="04A0"/>
      </w:tblPr>
      <w:tblGrid>
        <w:gridCol w:w="2592"/>
        <w:gridCol w:w="3888"/>
        <w:gridCol w:w="2991"/>
      </w:tblGrid>
      <w:tr>
        <w:trPr>
          <w:cantSplit/>
          <w:tblHeader/>
        </w:trPr>
        <w:tc>
          <w:tcPr>
            <w:tcW w:w="2592" w:type="dxa"/>
            <w:shd w:val="clear" w:color="auto" w:fill="EEF3FF"/>
          </w:tcPr>
          <w:p>
            <w:pPr>
              <w:keepNext/>
              <w:spacing w:after="0" w:before="0" w:line="240" w:lineRule="auto"/>
            </w:pPr>
            <w:r>
              <w:rPr>
                <w:b/>
                <w:sz w:val="15"/>
              </w:rPr>
              <w:t>Evaluation layer</w:t>
            </w:r>
          </w:p>
        </w:tc>
        <w:tc>
          <w:tcPr>
            <w:tcW w:w="3888" w:type="dxa"/>
            <w:shd w:val="clear" w:color="auto" w:fill="EEF3FF"/>
          </w:tcPr>
          <w:p>
            <w:pPr>
              <w:keepNext/>
              <w:spacing w:after="0" w:before="0" w:line="240" w:lineRule="auto"/>
            </w:pPr>
            <w:r>
              <w:rPr>
                <w:b/>
                <w:sz w:val="15"/>
              </w:rPr>
              <w:t>Result</w:t>
            </w:r>
          </w:p>
        </w:tc>
        <w:tc>
          <w:tcPr>
            <w:tcW w:w="2991" w:type="dxa"/>
            <w:shd w:val="clear" w:color="auto" w:fill="EEF3FF"/>
          </w:tcPr>
          <w:p>
            <w:pPr>
              <w:keepNext/>
              <w:spacing w:after="0" w:before="0" w:line="240" w:lineRule="auto"/>
            </w:pPr>
            <w:r>
              <w:rPr>
                <w:b/>
                <w:sz w:val="15"/>
              </w:rPr>
              <w:t>How to read it</w:t>
            </w:r>
          </w:p>
        </w:tc>
      </w:tr>
      <w:tr>
        <w:trPr>
          <w:cantSplit/>
        </w:trPr>
        <w:tc>
          <w:tcPr>
            <w:tcW w:w="2592" w:type="dxa"/>
          </w:tcPr>
          <w:p>
            <w:pPr>
              <w:keepNext/>
              <w:spacing w:after="0" w:before="0" w:line="240" w:lineRule="auto"/>
            </w:pPr>
            <w:r>
              <w:rPr>
                <w:sz w:val="15"/>
              </w:rPr>
              <w:t>Development suites (team-written)</w:t>
            </w:r>
          </w:p>
        </w:tc>
        <w:tc>
          <w:tcPr>
            <w:tcW w:w="3888" w:type="dxa"/>
          </w:tcPr>
          <w:p>
            <w:pPr>
              <w:keepNext/>
              <w:spacing w:after="0" w:before="0" w:line="240" w:lineRule="auto"/>
            </w:pPr>
            <w:r>
              <w:rPr>
                <w:sz w:val="15"/>
              </w:rPr>
              <w:t>69/69 attacks, 29/29 benign</w:t>
            </w:r>
          </w:p>
        </w:tc>
        <w:tc>
          <w:tcPr>
            <w:tcW w:w="2991" w:type="dxa"/>
          </w:tcPr>
          <w:p>
            <w:pPr>
              <w:keepNext/>
              <w:spacing w:after="0" w:before="0" w:line="240" w:lineRule="auto"/>
            </w:pPr>
            <w:r>
              <w:rPr>
                <w:sz w:val="15"/>
              </w:rPr>
              <w:t>Regression only</w:t>
            </w:r>
          </w:p>
        </w:tc>
      </w:tr>
      <w:tr>
        <w:trPr>
          <w:cantSplit/>
        </w:trPr>
        <w:tc>
          <w:tcPr>
            <w:tcW w:w="2592" w:type="dxa"/>
          </w:tcPr>
          <w:p>
            <w:pPr>
              <w:keepNext/>
              <w:spacing w:after="0" w:before="0" w:line="240" w:lineRule="auto"/>
            </w:pPr>
            <w:r>
              <w:rPr>
                <w:sz w:val="15"/>
              </w:rPr>
              <w:t>Blind v1, rules parser, first run</w:t>
            </w:r>
          </w:p>
        </w:tc>
        <w:tc>
          <w:tcPr>
            <w:tcW w:w="3888" w:type="dxa"/>
          </w:tcPr>
          <w:p>
            <w:pPr>
              <w:keepNext/>
              <w:spacing w:after="0" w:before="0" w:line="240" w:lineRule="auto"/>
            </w:pPr>
            <w:r>
              <w:rPr>
                <w:sz w:val="15"/>
              </w:rPr>
              <w:t>47/48 attacks, 21/25 benign</w:t>
            </w:r>
          </w:p>
        </w:tc>
        <w:tc>
          <w:tcPr>
            <w:tcW w:w="2991" w:type="dxa"/>
          </w:tcPr>
          <w:p>
            <w:pPr>
              <w:keepNext/>
              <w:spacing w:after="0" w:before="0" w:line="240" w:lineRule="auto"/>
            </w:pPr>
            <w:r>
              <w:rPr>
                <w:sz w:val="15"/>
              </w:rPr>
              <w:t>Blind at the time. A claim that all 14 document injections were detected was inflated: 8 misses were masked by the seeded invoice. Corrected; three structural signals now detect them.</w:t>
            </w:r>
          </w:p>
        </w:tc>
      </w:tr>
      <w:tr>
        <w:trPr>
          <w:cantSplit/>
        </w:trPr>
        <w:tc>
          <w:tcPr>
            <w:tcW w:w="2592" w:type="dxa"/>
          </w:tcPr>
          <w:p>
            <w:pPr>
              <w:keepNext/>
              <w:spacing w:after="0" w:before="0" w:line="240" w:lineRule="auto"/>
            </w:pPr>
            <w:r>
              <w:rPr>
                <w:b/>
                <w:sz w:val="15"/>
              </w:rPr>
              <w:t>Blind v2, rules parser</w:t>
            </w:r>
            <w:r>
              <w:rPr>
                <w:sz w:val="15"/>
              </w:rPr>
              <w:t xml:space="preserve"> (</w:t>
            </w:r>
            <w:r>
              <w:rPr>
                <w:rFonts w:ascii="Consolas" w:hAnsi="Consolas" w:eastAsia="Consolas"/>
                <w:color w:val="2B3F77"/>
                <w:sz w:val="14"/>
              </w:rPr>
              <w:t>44542f2</w:t>
            </w:r>
            <w:r>
              <w:rPr>
                <w:sz w:val="15"/>
              </w:rPr>
              <w:t>)</w:t>
            </w:r>
          </w:p>
        </w:tc>
        <w:tc>
          <w:tcPr>
            <w:tcW w:w="3888" w:type="dxa"/>
          </w:tcPr>
          <w:p>
            <w:pPr>
              <w:keepNext/>
              <w:spacing w:after="0" w:before="0" w:line="240" w:lineRule="auto"/>
            </w:pPr>
            <w:r>
              <w:rPr>
                <w:b/>
                <w:sz w:val="15"/>
              </w:rPr>
              <w:t>69/70 attacks</w:t>
            </w:r>
            <w:r>
              <w:rPr>
                <w:sz w:val="15"/>
              </w:rPr>
              <w:t xml:space="preserve"> (95% CI 92.3 to 99.7); multi-turn 15/15; 24/30 benign English (62.7 to 90.5); non-English 0/5; 0 wrong payments, 0 data leaks, 0 unconfirmed executions</w:t>
            </w:r>
          </w:p>
        </w:tc>
        <w:tc>
          <w:tcPr>
            <w:tcW w:w="2991" w:type="dxa"/>
          </w:tcPr>
          <w:p>
            <w:pPr>
              <w:keepNext/>
              <w:spacing w:after="0" w:before="0" w:line="240" w:lineRule="auto"/>
            </w:pPr>
            <w:r>
              <w:rPr>
                <w:b/>
                <w:sz w:val="15"/>
              </w:rPr>
              <w:t>Generalisation estimate, rules.</w:t>
            </w:r>
            <w:r>
              <w:rPr>
                <w:sz w:val="15"/>
              </w:rPr>
              <w:t xml:space="preserve"> Nine attacks were stopped only because the parser did not understand them (58/59 without them). The one miss needed the customer's code.</w:t>
            </w:r>
          </w:p>
        </w:tc>
      </w:tr>
      <w:tr>
        <w:trPr>
          <w:cantSplit/>
        </w:trPr>
        <w:tc>
          <w:tcPr>
            <w:tcW w:w="2592" w:type="dxa"/>
          </w:tcPr>
          <w:p>
            <w:pPr>
              <w:keepNext/>
              <w:spacing w:after="0" w:before="0" w:line="240" w:lineRule="auto"/>
            </w:pPr>
            <w:r>
              <w:rPr>
                <w:b/>
                <w:sz w:val="15"/>
              </w:rPr>
              <w:t>Blind v2, Qwen2.5 7B</w:t>
            </w:r>
            <w:r>
              <w:rPr>
                <w:sz w:val="15"/>
              </w:rPr>
              <w:t xml:space="preserve"> (</w:t>
            </w:r>
            <w:r>
              <w:rPr>
                <w:rFonts w:ascii="Consolas" w:hAnsi="Consolas" w:eastAsia="Consolas"/>
                <w:color w:val="2B3F77"/>
                <w:sz w:val="14"/>
              </w:rPr>
              <w:t>5868d83</w:t>
            </w:r>
            <w:r>
              <w:rPr>
                <w:sz w:val="15"/>
              </w:rPr>
              <w:t>)</w:t>
            </w:r>
          </w:p>
        </w:tc>
        <w:tc>
          <w:tcPr>
            <w:tcW w:w="3888" w:type="dxa"/>
          </w:tcPr>
          <w:p>
            <w:pPr>
              <w:keepNext/>
              <w:spacing w:after="0" w:before="0" w:line="240" w:lineRule="auto"/>
            </w:pPr>
            <w:r>
              <w:rPr>
                <w:b/>
                <w:sz w:val="15"/>
              </w:rPr>
              <w:t>66/70 attacks</w:t>
            </w:r>
            <w:r>
              <w:rPr>
                <w:sz w:val="15"/>
              </w:rPr>
              <w:t xml:space="preserve"> (86.2 to 97.8); multi-turn 15/15; 26/30 benign English (70.3 to 94.7); non-English 5/5; 137 calls, 0 fallbacks. Qwen 3B: 65/70, 21/30, 3/5</w:t>
            </w:r>
          </w:p>
        </w:tc>
        <w:tc>
          <w:tcPr>
            <w:tcW w:w="2991" w:type="dxa"/>
          </w:tcPr>
          <w:p>
            <w:pPr>
              <w:keepNext/>
              <w:spacing w:after="0" w:before="0" w:line="240" w:lineRule="auto"/>
            </w:pPr>
            <w:r>
              <w:rPr>
                <w:b/>
                <w:sz w:val="15"/>
              </w:rPr>
              <w:t>Generalisation estimate, LLM parser.</w:t>
            </w:r>
            <w:r>
              <w:rPr>
                <w:sz w:val="15"/>
              </w:rPr>
              <w:t xml:space="preserve"> One run. No payment to an unregistered account. One bypass from a field the model changed (X02).</w:t>
            </w:r>
          </w:p>
        </w:tc>
      </w:tr>
      <w:tr>
        <w:trPr>
          <w:cantSplit/>
        </w:trPr>
        <w:tc>
          <w:tcPr>
            <w:tcW w:w="2592" w:type="dxa"/>
          </w:tcPr>
          <w:p>
            <w:pPr>
              <w:spacing w:after="0" w:before="0" w:line="240" w:lineRule="auto"/>
            </w:pPr>
            <w:r>
              <w:rPr>
                <w:sz w:val="15"/>
              </w:rPr>
              <w:t>Regression after the frozen runs</w:t>
            </w:r>
          </w:p>
        </w:tc>
        <w:tc>
          <w:tcPr>
            <w:tcW w:w="3888" w:type="dxa"/>
          </w:tcPr>
          <w:p>
            <w:pPr>
              <w:spacing w:after="0" w:before="0" w:line="240" w:lineRule="auto"/>
            </w:pPr>
            <w:r>
              <w:rPr>
                <w:sz w:val="15"/>
              </w:rPr>
              <w:t>Qwen 7B 103/105 on v2; cascade 104/105; both 69/69 and 29/29 on the development suites; 1379 tests pass</w:t>
            </w:r>
          </w:p>
        </w:tc>
        <w:tc>
          <w:tcPr>
            <w:tcW w:w="2991" w:type="dxa"/>
          </w:tcPr>
          <w:p>
            <w:pPr>
              <w:spacing w:after="0" w:before="0" w:line="240" w:lineRule="auto"/>
            </w:pPr>
            <w:r>
              <w:rPr>
                <w:sz w:val="15"/>
              </w:rPr>
              <w:t>Not generalisation: the system was changed after seeing these cases.</w:t>
            </w:r>
          </w:p>
        </w:tc>
      </w:tr>
    </w:tbl>
    <w:p>
      <w:pPr>
        <w:spacing w:after="120" w:before="0" w:line="40" w:lineRule="exact"/>
      </w:pPr>
    </w:p>
    <w:p>
      <w:pPr>
        <w:keepNext w:val="0"/>
        <w:spacing w:after="60" w:before="0"/>
        <w:ind w:left="317"/>
      </w:pPr>
      <w:r>
        <w:rPr>
          <w:b/>
        </w:rPr>
        <w:t>White-box audits.</w:t>
      </w:r>
      <w:r>
        <w:t xml:space="preserve"> Round 1 (code before </w:t>
      </w:r>
      <w:r>
        <w:rPr>
          <w:rFonts w:ascii="Consolas" w:hAnsi="Consolas" w:eastAsia="Consolas"/>
          <w:color w:val="2B3F77"/>
          <w:sz w:val="19"/>
        </w:rPr>
        <w:t>2ce6035</w:t>
      </w:r>
      <w:r>
        <w:t xml:space="preserve">): 12 findings (3 High, 3 Medium, 6 Low). Round 2 (code at </w:t>
      </w:r>
      <w:r>
        <w:rPr>
          <w:rFonts w:ascii="Consolas" w:hAnsi="Consolas" w:eastAsia="Consolas"/>
          <w:color w:val="2B3F77"/>
          <w:sz w:val="19"/>
        </w:rPr>
        <w:t>22b144e</w:t>
      </w:r>
      <w:r>
        <w:t xml:space="preserve">): 11 findings (2 Medium, 9 Low). Round 3 (after </w:t>
      </w:r>
      <w:r>
        <w:rPr>
          <w:rFonts w:ascii="Consolas" w:hAnsi="Consolas" w:eastAsia="Consolas"/>
          <w:color w:val="2B3F77"/>
          <w:sz w:val="19"/>
        </w:rPr>
        <w:t>d1822bf</w:t>
      </w:r>
      <w:r>
        <w:t>, 2026-10-20): 8 findings (1 High, 2 Medium, 5 Low). Each has a test that runs the exploit (</w:t>
      </w:r>
      <w:r>
        <w:rPr>
          <w:rFonts w:ascii="Consolas" w:hAnsi="Consolas" w:eastAsia="Consolas"/>
          <w:color w:val="2B3F77"/>
          <w:sz w:val="19"/>
        </w:rPr>
        <w:t>tests/audit/</w:t>
      </w:r>
      <w:r>
        <w:t xml:space="preserve">, </w:t>
      </w:r>
      <w:r>
        <w:rPr>
          <w:rFonts w:ascii="Consolas" w:hAnsi="Consolas" w:eastAsia="Consolas"/>
          <w:color w:val="2B3F77"/>
          <w:sz w:val="19"/>
        </w:rPr>
        <w:t>tests/harness/</w:t>
      </w:r>
      <w:r>
        <w:t>); 169 audit tests pass and no xfail is left. These are the fixed vulnerabilities; open and unverified points are in Section 04.</w:t>
      </w:r>
    </w:p>
    <w:tbl>
      <w:tblPr>
        <w:tblW w:w="9470" w:type="dxa"/>
        <w:tblInd w:w="320" w:type="dxa"/>
        <w:tblBorders>
          <w:top w:val="single" w:sz="4" w:space="0" w:color="D5DBE8"/>
          <w:left w:val="nil"/>
          <w:bottom w:val="single" w:sz="4" w:space="0" w:color="D5DBE8"/>
          <w:right w:val="nil"/>
          <w:insideH w:val="single" w:sz="4" w:space="0" w:color="D5DBE8"/>
          <w:insideV w:val="nil"/>
        </w:tblBorders>
        <w:tblLayout w:type="fixed"/>
        <w:tblCellMar>
          <w:top w:w="45" w:type="dxa"/>
          <w:left w:w="70" w:type="dxa"/>
          <w:bottom w:w="45" w:type="dxa"/>
          <w:right w:w="70" w:type="dxa"/>
        </w:tblCellMar>
        <w:tblLook w:firstColumn="1" w:firstRow="1" w:lastColumn="0" w:lastRow="0" w:noHBand="0" w:noVBand="1" w:val="04A0"/>
      </w:tblPr>
      <w:tblGrid>
        <w:gridCol w:w="1338"/>
        <w:gridCol w:w="823"/>
        <w:gridCol w:w="5044"/>
        <w:gridCol w:w="2265"/>
      </w:tblGrid>
      <w:tr>
        <w:trPr>
          <w:cantSplit/>
          <w:tblHeader/>
        </w:trPr>
        <w:tc>
          <w:tcPr>
            <w:tcW w:w="1338" w:type="dxa"/>
            <w:shd w:val="clear" w:color="auto" w:fill="EEF3FF"/>
          </w:tcPr>
          <w:p>
            <w:pPr>
              <w:spacing w:after="0" w:before="0" w:line="240" w:lineRule="auto"/>
            </w:pPr>
            <w:r>
              <w:rPr>
                <w:b/>
                <w:sz w:val="15"/>
              </w:rPr>
              <w:t>ID</w:t>
            </w:r>
          </w:p>
        </w:tc>
        <w:tc>
          <w:tcPr>
            <w:tcW w:w="823" w:type="dxa"/>
            <w:shd w:val="clear" w:color="auto" w:fill="EEF3FF"/>
          </w:tcPr>
          <w:p>
            <w:pPr>
              <w:spacing w:after="0" w:before="0" w:line="240" w:lineRule="auto"/>
            </w:pPr>
            <w:r>
              <w:rPr>
                <w:b/>
                <w:sz w:val="15"/>
              </w:rPr>
              <w:t>Sev.</w:t>
            </w:r>
          </w:p>
        </w:tc>
        <w:tc>
          <w:tcPr>
            <w:tcW w:w="5044" w:type="dxa"/>
            <w:shd w:val="clear" w:color="auto" w:fill="EEF3FF"/>
          </w:tcPr>
          <w:p>
            <w:pPr>
              <w:spacing w:after="0" w:before="0" w:line="240" w:lineRule="auto"/>
            </w:pPr>
            <w:r>
              <w:rPr>
                <w:b/>
                <w:sz w:val="15"/>
              </w:rPr>
              <w:t>Finding</w:t>
            </w:r>
          </w:p>
        </w:tc>
        <w:tc>
          <w:tcPr>
            <w:tcW w:w="2265" w:type="dxa"/>
            <w:shd w:val="clear" w:color="auto" w:fill="EEF3FF"/>
          </w:tcPr>
          <w:p>
            <w:pPr>
              <w:spacing w:after="0" w:before="0" w:line="240" w:lineRule="auto"/>
            </w:pPr>
            <w:r>
              <w:rPr>
                <w:b/>
                <w:sz w:val="15"/>
              </w:rPr>
              <w:t>Status</w:t>
            </w:r>
          </w:p>
        </w:tc>
      </w:tr>
      <w:tr>
        <w:trPr>
          <w:cantSplit/>
        </w:trPr>
        <w:tc>
          <w:tcPr>
            <w:tcW w:w="1338" w:type="dxa"/>
          </w:tcPr>
          <w:p>
            <w:pPr>
              <w:spacing w:after="0" w:before="0" w:line="240" w:lineRule="auto"/>
            </w:pPr>
            <w:r>
              <w:rPr>
                <w:sz w:val="15"/>
              </w:rPr>
              <w:t>AUDIT-1</w:t>
            </w:r>
          </w:p>
        </w:tc>
        <w:tc>
          <w:tcPr>
            <w:tcW w:w="823" w:type="dxa"/>
          </w:tcPr>
          <w:p>
            <w:pPr>
              <w:spacing w:after="0" w:before="0" w:line="240" w:lineRule="auto"/>
            </w:pPr>
            <w:r>
              <w:rPr>
                <w:sz w:val="15"/>
              </w:rPr>
              <w:t>High</w:t>
            </w:r>
          </w:p>
        </w:tc>
        <w:tc>
          <w:tcPr>
            <w:tcW w:w="5044" w:type="dxa"/>
          </w:tcPr>
          <w:p>
            <w:pPr>
              <w:spacing w:after="0" w:before="0" w:line="240" w:lineRule="auto"/>
            </w:pPr>
            <w:r>
              <w:rPr>
                <w:sz w:val="15"/>
              </w:rPr>
              <w:t>A poisoned FX quote could charge 2,590 USD for 100 EUR; quotes were reusable</w:t>
            </w:r>
          </w:p>
        </w:tc>
        <w:tc>
          <w:tcPr>
            <w:tcW w:w="2265" w:type="dxa"/>
          </w:tcPr>
          <w:p>
            <w:pPr>
              <w:spacing w:after="0" w:before="0" w:line="240" w:lineRule="auto"/>
            </w:pPr>
            <w:r>
              <w:rPr>
                <w:sz w:val="15"/>
              </w:rPr>
              <w:t xml:space="preserve">Fixed: ledger issues single-use quotes; </w:t>
            </w:r>
            <w:r>
              <w:rPr>
                <w:rFonts w:ascii="Consolas" w:hAnsi="Consolas" w:eastAsia="Consolas"/>
                <w:color w:val="2B3F77"/>
                <w:sz w:val="14"/>
              </w:rPr>
              <w:t>FX_PRICE_CHECK</w:t>
            </w:r>
          </w:p>
        </w:tc>
      </w:tr>
      <w:tr>
        <w:trPr>
          <w:cantSplit/>
        </w:trPr>
        <w:tc>
          <w:tcPr>
            <w:tcW w:w="1338" w:type="dxa"/>
          </w:tcPr>
          <w:p>
            <w:pPr>
              <w:spacing w:after="0" w:before="0" w:line="240" w:lineRule="auto"/>
            </w:pPr>
            <w:r>
              <w:rPr>
                <w:sz w:val="15"/>
              </w:rPr>
              <w:t>AUDIT-2</w:t>
            </w:r>
          </w:p>
        </w:tc>
        <w:tc>
          <w:tcPr>
            <w:tcW w:w="823" w:type="dxa"/>
          </w:tcPr>
          <w:p>
            <w:pPr>
              <w:spacing w:after="0" w:before="0" w:line="240" w:lineRule="auto"/>
            </w:pPr>
            <w:r>
              <w:rPr>
                <w:sz w:val="15"/>
              </w:rPr>
              <w:t>High</w:t>
            </w:r>
          </w:p>
        </w:tc>
        <w:tc>
          <w:tcPr>
            <w:tcW w:w="5044" w:type="dxa"/>
          </w:tcPr>
          <w:p>
            <w:pPr>
              <w:spacing w:after="0" w:before="0" w:line="240" w:lineRule="auto"/>
            </w:pPr>
            <w:r>
              <w:rPr>
                <w:sz w:val="15"/>
              </w:rPr>
              <w:t>A watch-listed IBAN with Arabic-Indic digits got R3, not the sanctions deny; no mod-97 check</w:t>
            </w:r>
          </w:p>
        </w:tc>
        <w:tc>
          <w:tcPr>
            <w:tcW w:w="2265" w:type="dxa"/>
          </w:tcPr>
          <w:p>
            <w:pPr>
              <w:spacing w:after="0" w:before="0" w:line="240" w:lineRule="auto"/>
            </w:pPr>
            <w:r>
              <w:rPr>
                <w:sz w:val="15"/>
              </w:rPr>
              <w:t xml:space="preserve">Fixed: canonical IBAN, </w:t>
            </w:r>
            <w:r>
              <w:rPr>
                <w:rFonts w:ascii="Consolas" w:hAnsi="Consolas" w:eastAsia="Consolas"/>
                <w:color w:val="2B3F77"/>
                <w:sz w:val="14"/>
              </w:rPr>
              <w:t>IBAN_VALID</w:t>
            </w:r>
          </w:p>
        </w:tc>
      </w:tr>
      <w:tr>
        <w:trPr>
          <w:cantSplit/>
        </w:trPr>
        <w:tc>
          <w:tcPr>
            <w:tcW w:w="1338" w:type="dxa"/>
          </w:tcPr>
          <w:p>
            <w:pPr>
              <w:spacing w:after="0" w:before="0" w:line="240" w:lineRule="auto"/>
            </w:pPr>
            <w:r>
              <w:rPr>
                <w:sz w:val="15"/>
              </w:rPr>
              <w:t>AUDIT-3</w:t>
            </w:r>
          </w:p>
        </w:tc>
        <w:tc>
          <w:tcPr>
            <w:tcW w:w="823" w:type="dxa"/>
          </w:tcPr>
          <w:p>
            <w:pPr>
              <w:spacing w:after="0" w:before="0" w:line="240" w:lineRule="auto"/>
            </w:pPr>
            <w:r>
              <w:rPr>
                <w:sz w:val="15"/>
              </w:rPr>
              <w:t>High</w:t>
            </w:r>
          </w:p>
        </w:tc>
        <w:tc>
          <w:tcPr>
            <w:tcW w:w="5044" w:type="dxa"/>
          </w:tcPr>
          <w:p>
            <w:pPr>
              <w:spacing w:after="0" w:before="0" w:line="240" w:lineRule="auto"/>
            </w:pPr>
            <w:r>
              <w:rPr>
                <w:sz w:val="15"/>
              </w:rPr>
              <w:t>The wrong-code lockout reset with each new action, correction or session</w:t>
            </w:r>
          </w:p>
        </w:tc>
        <w:tc>
          <w:tcPr>
            <w:tcW w:w="2265" w:type="dxa"/>
          </w:tcPr>
          <w:p>
            <w:pPr>
              <w:spacing w:after="0" w:before="0" w:line="240" w:lineRule="auto"/>
            </w:pPr>
            <w:r>
              <w:rPr>
                <w:sz w:val="15"/>
              </w:rPr>
              <w:t>Fixed: counted per customer</w:t>
            </w:r>
          </w:p>
        </w:tc>
      </w:tr>
      <w:tr>
        <w:trPr>
          <w:cantSplit/>
        </w:trPr>
        <w:tc>
          <w:tcPr>
            <w:tcW w:w="1338" w:type="dxa"/>
          </w:tcPr>
          <w:p>
            <w:pPr>
              <w:spacing w:after="0" w:before="0" w:line="240" w:lineRule="auto"/>
            </w:pPr>
            <w:r>
              <w:rPr>
                <w:sz w:val="15"/>
              </w:rPr>
              <w:t>AUDIT-4, 5, 6</w:t>
            </w:r>
          </w:p>
        </w:tc>
        <w:tc>
          <w:tcPr>
            <w:tcW w:w="823" w:type="dxa"/>
          </w:tcPr>
          <w:p>
            <w:pPr>
              <w:spacing w:after="0" w:before="0" w:line="240" w:lineRule="auto"/>
            </w:pPr>
            <w:r>
              <w:rPr>
                <w:sz w:val="15"/>
              </w:rPr>
              <w:t>Medium</w:t>
            </w:r>
          </w:p>
        </w:tc>
        <w:tc>
          <w:tcPr>
            <w:tcW w:w="5044" w:type="dxa"/>
          </w:tcPr>
          <w:p>
            <w:pPr>
              <w:spacing w:after="0" w:before="0" w:line="240" w:lineRule="auto"/>
            </w:pPr>
            <w:r>
              <w:rPr>
                <w:sz w:val="15"/>
              </w:rPr>
              <w:t>Armenian and Cherokee look-alikes passed the name screen; a new payee could shadow "mom"; a payee name rendered as HTML hid every warning</w:t>
            </w:r>
          </w:p>
        </w:tc>
        <w:tc>
          <w:tcPr>
            <w:tcW w:w="2265" w:type="dxa"/>
          </w:tcPr>
          <w:p>
            <w:pPr>
              <w:spacing w:after="0" w:before="0" w:line="240" w:lineRule="auto"/>
            </w:pPr>
            <w:r>
              <w:rPr>
                <w:sz w:val="15"/>
              </w:rPr>
              <w:t xml:space="preserve">Fixed: wider table, fail closed; </w:t>
            </w:r>
            <w:r>
              <w:rPr>
                <w:rFonts w:ascii="Consolas" w:hAnsi="Consolas" w:eastAsia="Consolas"/>
                <w:color w:val="2B3F77"/>
                <w:sz w:val="14"/>
              </w:rPr>
              <w:t>PAYEE_NAME_UNIQUE</w:t>
            </w:r>
            <w:r>
              <w:rPr>
                <w:sz w:val="15"/>
              </w:rPr>
              <w:t>; escaping</w:t>
            </w:r>
          </w:p>
        </w:tc>
      </w:tr>
      <w:tr>
        <w:trPr>
          <w:cantSplit/>
        </w:trPr>
        <w:tc>
          <w:tcPr>
            <w:tcW w:w="1338" w:type="dxa"/>
          </w:tcPr>
          <w:p>
            <w:pPr>
              <w:spacing w:after="0" w:before="0" w:line="240" w:lineRule="auto"/>
            </w:pPr>
            <w:r>
              <w:rPr>
                <w:sz w:val="15"/>
              </w:rPr>
              <w:t>AUDIT-7 to 11</w:t>
            </w:r>
          </w:p>
        </w:tc>
        <w:tc>
          <w:tcPr>
            <w:tcW w:w="823" w:type="dxa"/>
          </w:tcPr>
          <w:p>
            <w:pPr>
              <w:spacing w:after="0" w:before="0" w:line="240" w:lineRule="auto"/>
            </w:pPr>
            <w:r>
              <w:rPr>
                <w:sz w:val="15"/>
              </w:rPr>
              <w:t>Low</w:t>
            </w:r>
          </w:p>
        </w:tc>
        <w:tc>
          <w:tcPr>
            <w:tcW w:w="5044" w:type="dxa"/>
          </w:tcPr>
          <w:p>
            <w:pPr>
              <w:spacing w:after="0" w:before="0" w:line="240" w:lineRule="auto"/>
            </w:pPr>
            <w:r>
              <w:rPr>
                <w:sz w:val="15"/>
              </w:rPr>
              <w:t xml:space="preserve">Huge amounts raised an exception; </w:t>
            </w:r>
            <w:r>
              <w:rPr>
                <w:rFonts w:ascii="Consolas" w:hAnsi="Consolas" w:eastAsia="Consolas"/>
                <w:color w:val="2B3F77"/>
                <w:sz w:val="14"/>
              </w:rPr>
              <w:t>1.005</w:t>
            </w:r>
            <w:r>
              <w:rPr>
                <w:sz w:val="15"/>
              </w:rPr>
              <w:t xml:space="preserve"> rounded silently; raw messages logged; one global receipt chain; malformed anchor crashed verification</w:t>
            </w:r>
          </w:p>
        </w:tc>
        <w:tc>
          <w:tcPr>
            <w:tcW w:w="2265" w:type="dxa"/>
          </w:tcPr>
          <w:p>
            <w:pPr>
              <w:spacing w:after="0" w:before="0" w:line="240" w:lineRule="auto"/>
            </w:pPr>
            <w:r>
              <w:rPr>
                <w:sz w:val="15"/>
              </w:rPr>
              <w:t>Fixed</w:t>
            </w:r>
          </w:p>
        </w:tc>
      </w:tr>
      <w:tr>
        <w:trPr>
          <w:cantSplit/>
        </w:trPr>
        <w:tc>
          <w:tcPr>
            <w:tcW w:w="1338" w:type="dxa"/>
          </w:tcPr>
          <w:p>
            <w:pPr>
              <w:spacing w:after="0" w:before="0" w:line="240" w:lineRule="auto"/>
            </w:pPr>
            <w:r>
              <w:rPr>
                <w:sz w:val="15"/>
              </w:rPr>
              <w:t>AUDIT-12</w:t>
            </w:r>
          </w:p>
        </w:tc>
        <w:tc>
          <w:tcPr>
            <w:tcW w:w="823" w:type="dxa"/>
          </w:tcPr>
          <w:p>
            <w:pPr>
              <w:spacing w:after="0" w:before="0" w:line="240" w:lineRule="auto"/>
            </w:pPr>
            <w:r>
              <w:rPr>
                <w:sz w:val="15"/>
              </w:rPr>
              <w:t>Low</w:t>
            </w:r>
          </w:p>
        </w:tc>
        <w:tc>
          <w:tcPr>
            <w:tcW w:w="5044" w:type="dxa"/>
          </w:tcPr>
          <w:p>
            <w:pPr>
              <w:spacing w:after="0" w:before="0" w:line="240" w:lineRule="auto"/>
            </w:pPr>
            <w:r>
              <w:rPr>
                <w:sz w:val="15"/>
              </w:rPr>
              <w:t xml:space="preserve">Anchors signed with the public demo key when </w:t>
            </w:r>
            <w:r>
              <w:rPr>
                <w:rFonts w:ascii="Consolas" w:hAnsi="Consolas" w:eastAsia="Consolas"/>
                <w:color w:val="2B3F77"/>
                <w:sz w:val="14"/>
              </w:rPr>
              <w:t>BG_RECEIPT_KEY</w:t>
            </w:r>
            <w:r>
              <w:rPr>
                <w:sz w:val="15"/>
              </w:rPr>
              <w:t xml:space="preserve"> is unset</w:t>
            </w:r>
          </w:p>
        </w:tc>
        <w:tc>
          <w:tcPr>
            <w:tcW w:w="2265" w:type="dxa"/>
          </w:tcPr>
          <w:p>
            <w:pPr>
              <w:spacing w:after="0" w:before="0" w:line="240" w:lineRule="auto"/>
            </w:pPr>
            <w:r>
              <w:rPr>
                <w:sz w:val="15"/>
              </w:rPr>
              <w:t>Mitigated: logged and shown in the UI; still the offline default</w:t>
            </w:r>
          </w:p>
        </w:tc>
      </w:tr>
      <w:tr>
        <w:trPr>
          <w:cantSplit/>
        </w:trPr>
        <w:tc>
          <w:tcPr>
            <w:tcW w:w="1338" w:type="dxa"/>
          </w:tcPr>
          <w:p>
            <w:pPr>
              <w:spacing w:after="0" w:before="0" w:line="240" w:lineRule="auto"/>
            </w:pPr>
            <w:r>
              <w:rPr>
                <w:sz w:val="15"/>
              </w:rPr>
              <w:t>AUDIT2-1, 2</w:t>
            </w:r>
          </w:p>
        </w:tc>
        <w:tc>
          <w:tcPr>
            <w:tcW w:w="823" w:type="dxa"/>
          </w:tcPr>
          <w:p>
            <w:pPr>
              <w:spacing w:after="0" w:before="0" w:line="240" w:lineRule="auto"/>
            </w:pPr>
            <w:r>
              <w:rPr>
                <w:sz w:val="15"/>
              </w:rPr>
              <w:t>Medium</w:t>
            </w:r>
          </w:p>
        </w:tc>
        <w:tc>
          <w:tcPr>
            <w:tcW w:w="5044" w:type="dxa"/>
          </w:tcPr>
          <w:p>
            <w:pPr>
              <w:spacing w:after="0" w:before="0" w:line="240" w:lineRule="auto"/>
            </w:pPr>
            <w:r>
              <w:rPr>
                <w:sz w:val="15"/>
              </w:rPr>
              <w:t>A sanctioned name without spaces passed the screen; a model's free text was shown as the bank's own words and bare URLs became links</w:t>
            </w:r>
          </w:p>
        </w:tc>
        <w:tc>
          <w:tcPr>
            <w:tcW w:w="2265" w:type="dxa"/>
          </w:tcPr>
          <w:p>
            <w:pPr>
              <w:spacing w:after="0" w:before="0" w:line="240" w:lineRule="auto"/>
            </w:pPr>
            <w:r>
              <w:rPr>
                <w:sz w:val="15"/>
              </w:rPr>
              <w:t xml:space="preserve">Fixed in </w:t>
            </w:r>
            <w:r>
              <w:rPr>
                <w:rFonts w:ascii="Consolas" w:hAnsi="Consolas" w:eastAsia="Consolas"/>
                <w:color w:val="2B3F77"/>
                <w:sz w:val="14"/>
              </w:rPr>
              <w:t>c10f0a0</w:t>
            </w:r>
          </w:p>
        </w:tc>
      </w:tr>
      <w:tr>
        <w:trPr>
          <w:cantSplit/>
        </w:trPr>
        <w:tc>
          <w:tcPr>
            <w:tcW w:w="1338" w:type="dxa"/>
          </w:tcPr>
          <w:p>
            <w:pPr>
              <w:spacing w:after="0" w:before="0" w:line="240" w:lineRule="auto"/>
            </w:pPr>
            <w:r>
              <w:rPr>
                <w:sz w:val="15"/>
              </w:rPr>
              <w:t>AUDIT2-3 to 11</w:t>
            </w:r>
          </w:p>
        </w:tc>
        <w:tc>
          <w:tcPr>
            <w:tcW w:w="823" w:type="dxa"/>
          </w:tcPr>
          <w:p>
            <w:pPr>
              <w:spacing w:after="0" w:before="0" w:line="240" w:lineRule="auto"/>
            </w:pPr>
            <w:r>
              <w:rPr>
                <w:sz w:val="15"/>
              </w:rPr>
              <w:t>Low</w:t>
            </w:r>
          </w:p>
        </w:tc>
        <w:tc>
          <w:tcPr>
            <w:tcW w:w="5044" w:type="dxa"/>
          </w:tcPr>
          <w:p>
            <w:pPr>
              <w:spacing w:after="0" w:before="0" w:line="240" w:lineRule="auto"/>
            </w:pPr>
            <w:r>
              <w:rPr>
                <w:sz w:val="15"/>
              </w:rPr>
              <w:t>Markdown in chips; ungrounded synonyms, currencies and memo; question turned into a correction; duplicate cards; proxy variable; raw telemetry; quadratic CPU on a long message</w:t>
            </w:r>
          </w:p>
        </w:tc>
        <w:tc>
          <w:tcPr>
            <w:tcW w:w="2265" w:type="dxa"/>
          </w:tcPr>
          <w:p>
            <w:pPr>
              <w:spacing w:after="0" w:before="0" w:line="240" w:lineRule="auto"/>
            </w:pPr>
            <w:r>
              <w:rPr>
                <w:sz w:val="15"/>
              </w:rPr>
              <w:t xml:space="preserve">Fixed in </w:t>
            </w:r>
            <w:r>
              <w:rPr>
                <w:rFonts w:ascii="Consolas" w:hAnsi="Consolas" w:eastAsia="Consolas"/>
                <w:color w:val="2B3F77"/>
                <w:sz w:val="14"/>
              </w:rPr>
              <w:t>c10f0a0</w:t>
            </w:r>
          </w:p>
        </w:tc>
      </w:tr>
      <w:tr>
        <w:trPr>
          <w:cantSplit/>
        </w:trPr>
        <w:tc>
          <w:tcPr>
            <w:tcW w:w="1338" w:type="dxa"/>
          </w:tcPr>
          <w:p>
            <w:pPr>
              <w:spacing w:after="0" w:before="0" w:line="240" w:lineRule="auto"/>
            </w:pPr>
            <w:r>
              <w:rPr>
                <w:sz w:val="15"/>
              </w:rPr>
              <w:t>APPSEC-1</w:t>
            </w:r>
          </w:p>
        </w:tc>
        <w:tc>
          <w:tcPr>
            <w:tcW w:w="823" w:type="dxa"/>
          </w:tcPr>
          <w:p>
            <w:pPr>
              <w:spacing w:after="0" w:before="0" w:line="240" w:lineRule="auto"/>
            </w:pPr>
            <w:r>
              <w:rPr>
                <w:sz w:val="15"/>
              </w:rPr>
              <w:t>High</w:t>
            </w:r>
          </w:p>
        </w:tc>
        <w:tc>
          <w:tcPr>
            <w:tcW w:w="5044" w:type="dxa"/>
          </w:tcPr>
          <w:p>
            <w:pPr>
              <w:spacing w:after="0" w:before="0" w:line="240" w:lineRule="auto"/>
            </w:pPr>
            <w:r>
              <w:rPr>
                <w:sz w:val="15"/>
              </w:rPr>
              <w:t xml:space="preserve">With an empty key field in the UI, the operator's </w:t>
            </w:r>
            <w:r>
              <w:rPr>
                <w:rFonts w:ascii="Consolas" w:hAnsi="Consolas" w:eastAsia="Consolas"/>
                <w:color w:val="2B3F77"/>
                <w:sz w:val="14"/>
              </w:rPr>
              <w:t>BG_MODEL_API_KEY</w:t>
            </w:r>
            <w:r>
              <w:rPr>
                <w:sz w:val="15"/>
              </w:rPr>
              <w:t xml:space="preserve"> was sent to the Base URL a visitor typed (reproduced)</w:t>
            </w:r>
          </w:p>
        </w:tc>
        <w:tc>
          <w:tcPr>
            <w:tcW w:w="2265" w:type="dxa"/>
          </w:tcPr>
          <w:p>
            <w:pPr>
              <w:spacing w:after="0" w:before="0" w:line="240" w:lineRule="auto"/>
            </w:pPr>
            <w:r>
              <w:rPr>
                <w:sz w:val="15"/>
              </w:rPr>
              <w:t xml:space="preserve">Fixed: the environment key goes only to the origin named in </w:t>
            </w:r>
            <w:r>
              <w:rPr>
                <w:rFonts w:ascii="Consolas" w:hAnsi="Consolas" w:eastAsia="Consolas"/>
                <w:color w:val="2B3F77"/>
                <w:sz w:val="14"/>
              </w:rPr>
              <w:t>BG_MODEL_BASE_URL</w:t>
            </w:r>
          </w:p>
        </w:tc>
      </w:tr>
      <w:tr>
        <w:trPr>
          <w:cantSplit/>
        </w:trPr>
        <w:tc>
          <w:tcPr>
            <w:tcW w:w="1338" w:type="dxa"/>
          </w:tcPr>
          <w:p>
            <w:pPr>
              <w:spacing w:after="0" w:before="0" w:line="240" w:lineRule="auto"/>
            </w:pPr>
            <w:r>
              <w:rPr>
                <w:sz w:val="15"/>
              </w:rPr>
              <w:t>APPSEC-2, 3</w:t>
            </w:r>
          </w:p>
        </w:tc>
        <w:tc>
          <w:tcPr>
            <w:tcW w:w="823" w:type="dxa"/>
          </w:tcPr>
          <w:p>
            <w:pPr>
              <w:spacing w:after="0" w:before="0" w:line="240" w:lineRule="auto"/>
            </w:pPr>
            <w:r>
              <w:rPr>
                <w:sz w:val="15"/>
              </w:rPr>
              <w:t>Medium</w:t>
            </w:r>
          </w:p>
        </w:tc>
        <w:tc>
          <w:tcPr>
            <w:tcW w:w="5044" w:type="dxa"/>
          </w:tcPr>
          <w:p>
            <w:pPr>
              <w:spacing w:after="0" w:before="0" w:line="240" w:lineRule="auto"/>
            </w:pPr>
            <w:r>
              <w:rPr>
                <w:sz w:val="15"/>
              </w:rPr>
              <w:t xml:space="preserve">"Rules only" silently used </w:t>
            </w:r>
            <w:r>
              <w:rPr>
                <w:rFonts w:ascii="Consolas" w:hAnsi="Consolas" w:eastAsia="Consolas"/>
                <w:color w:val="2B3F77"/>
                <w:sz w:val="14"/>
              </w:rPr>
              <w:t>BG_PARSER</w:t>
            </w:r>
            <w:r>
              <w:rPr>
                <w:sz w:val="15"/>
              </w:rPr>
              <w:t>, so a remote model could sit behind the label; Streamlit listened on every interface and showed tracebacks</w:t>
            </w:r>
          </w:p>
        </w:tc>
        <w:tc>
          <w:tcPr>
            <w:tcW w:w="2265" w:type="dxa"/>
          </w:tcPr>
          <w:p>
            <w:pPr>
              <w:spacing w:after="0" w:before="0" w:line="240" w:lineRule="auto"/>
            </w:pPr>
            <w:r>
              <w:rPr>
                <w:sz w:val="15"/>
              </w:rPr>
              <w:t xml:space="preserve">Fixed: explicit rules parser; </w:t>
            </w:r>
            <w:r>
              <w:rPr>
                <w:rFonts w:ascii="Consolas" w:hAnsi="Consolas" w:eastAsia="Consolas"/>
                <w:color w:val="2B3F77"/>
                <w:sz w:val="14"/>
              </w:rPr>
              <w:t>127.0.0.1</w:t>
            </w:r>
            <w:r>
              <w:rPr>
                <w:sz w:val="15"/>
              </w:rPr>
              <w:t xml:space="preserve">, Host allow-list, no tracebacks; Docker on </w:t>
            </w:r>
            <w:r>
              <w:rPr>
                <w:rFonts w:ascii="Consolas" w:hAnsi="Consolas" w:eastAsia="Consolas"/>
                <w:color w:val="2B3F77"/>
                <w:sz w:val="14"/>
              </w:rPr>
              <w:t>127.0.0.1</w:t>
            </w:r>
          </w:p>
        </w:tc>
      </w:tr>
      <w:tr>
        <w:trPr>
          <w:cantSplit/>
        </w:trPr>
        <w:tc>
          <w:tcPr>
            <w:tcW w:w="1338" w:type="dxa"/>
          </w:tcPr>
          <w:p>
            <w:pPr>
              <w:spacing w:after="0" w:before="0" w:line="240" w:lineRule="auto"/>
            </w:pPr>
            <w:r>
              <w:rPr>
                <w:sz w:val="15"/>
              </w:rPr>
              <w:t>HARD-1 to 3</w:t>
            </w:r>
          </w:p>
        </w:tc>
        <w:tc>
          <w:tcPr>
            <w:tcW w:w="823" w:type="dxa"/>
          </w:tcPr>
          <w:p>
            <w:pPr>
              <w:spacing w:after="0" w:before="0" w:line="240" w:lineRule="auto"/>
            </w:pPr>
            <w:r>
              <w:rPr>
                <w:sz w:val="15"/>
              </w:rPr>
              <w:t>Medium</w:t>
            </w:r>
          </w:p>
        </w:tc>
        <w:tc>
          <w:tcPr>
            <w:tcW w:w="5044" w:type="dxa"/>
          </w:tcPr>
          <w:p>
            <w:pPr>
              <w:spacing w:after="0" w:before="0" w:line="240" w:lineRule="auto"/>
            </w:pPr>
            <w:r>
              <w:rPr>
                <w:sz w:val="15"/>
              </w:rPr>
              <w:t>After three wrong codes an R2 one-tap still executed; the HTTP API had one shared token, guessable session ids and approval by action id; with a model parser the security event of a refusal depended on the model's label (real Qwen 7B: 67/69)</w:t>
            </w:r>
          </w:p>
        </w:tc>
        <w:tc>
          <w:tcPr>
            <w:tcW w:w="2265" w:type="dxa"/>
          </w:tcPr>
          <w:p>
            <w:pPr>
              <w:spacing w:after="0" w:before="0" w:line="240" w:lineRule="auto"/>
            </w:pPr>
            <w:r>
              <w:rPr>
                <w:sz w:val="15"/>
              </w:rPr>
              <w:t xml:space="preserve">Fixed: every approval frozen by the lock; per-customer tokens, random ids, </w:t>
            </w:r>
            <w:r>
              <w:rPr>
                <w:rFonts w:ascii="Consolas" w:hAnsi="Consolas" w:eastAsia="Consolas"/>
                <w:color w:val="2B3F77"/>
                <w:sz w:val="14"/>
              </w:rPr>
              <w:t>params_hash</w:t>
            </w:r>
            <w:r>
              <w:rPr>
                <w:sz w:val="15"/>
              </w:rPr>
              <w:t xml:space="preserve"> required, 200-session cap; the rules classify the refusal too</w:t>
            </w:r>
          </w:p>
        </w:tc>
      </w:tr>
      <w:tr>
        <w:trPr>
          <w:cantSplit/>
        </w:trPr>
        <w:tc>
          <w:tcPr>
            <w:tcW w:w="1338" w:type="dxa"/>
          </w:tcPr>
          <w:p>
            <w:pPr>
              <w:spacing w:after="0" w:before="0" w:line="240" w:lineRule="auto"/>
            </w:pPr>
            <w:r>
              <w:rPr>
                <w:sz w:val="15"/>
              </w:rPr>
              <w:t>REV-1, REV-2</w:t>
            </w:r>
          </w:p>
        </w:tc>
        <w:tc>
          <w:tcPr>
            <w:tcW w:w="823" w:type="dxa"/>
          </w:tcPr>
          <w:p>
            <w:pPr>
              <w:spacing w:after="0" w:before="0" w:line="240" w:lineRule="auto"/>
            </w:pPr>
            <w:r>
              <w:rPr>
                <w:sz w:val="15"/>
              </w:rPr>
              <w:t>Medium</w:t>
            </w:r>
          </w:p>
        </w:tc>
        <w:tc>
          <w:tcPr>
            <w:tcW w:w="5044" w:type="dxa"/>
          </w:tcPr>
          <w:p>
            <w:pPr>
              <w:spacing w:after="0" w:before="0" w:line="240" w:lineRule="auto"/>
            </w:pPr>
            <w:r>
              <w:rPr>
                <w:sz w:val="15"/>
              </w:rPr>
              <w:t>Independent review of the phase-2 changes: a bill named twice by a model was paid twice; the question filter passed look-alike letters; Cancel and Correct cues were too common; a slow error body held a call; one token could use all sessions</w:t>
            </w:r>
          </w:p>
        </w:tc>
        <w:tc>
          <w:tcPr>
            <w:tcW w:w="2265" w:type="dxa"/>
          </w:tcPr>
          <w:p>
            <w:pPr>
              <w:spacing w:after="0" w:before="0" w:line="240" w:lineRule="auto"/>
            </w:pPr>
            <w:r>
              <w:rPr>
                <w:sz w:val="15"/>
              </w:rPr>
              <w:t>Fixed with tests: a bill is paid once (the ledger refuses a second payment for an obligation), stricter filters, time limit, 50 sessions per customer. Left open: DNS rebinding and the document-IBAN heuristic (R-24, R-25)</w:t>
            </w:r>
          </w:p>
        </w:tc>
      </w:tr>
      <w:tr>
        <w:trPr>
          <w:cantSplit/>
        </w:trPr>
        <w:tc>
          <w:tcPr>
            <w:tcW w:w="1338" w:type="dxa"/>
          </w:tcPr>
          <w:p>
            <w:pPr>
              <w:spacing w:after="0" w:before="0" w:line="240" w:lineRule="auto"/>
            </w:pPr>
            <w:r>
              <w:rPr>
                <w:sz w:val="15"/>
              </w:rPr>
              <w:t>APPSEC-4 to 8</w:t>
            </w:r>
          </w:p>
        </w:tc>
        <w:tc>
          <w:tcPr>
            <w:tcW w:w="823" w:type="dxa"/>
          </w:tcPr>
          <w:p>
            <w:pPr>
              <w:spacing w:after="0" w:before="0" w:line="240" w:lineRule="auto"/>
            </w:pPr>
            <w:r>
              <w:rPr>
                <w:sz w:val="15"/>
              </w:rPr>
              <w:t>Low</w:t>
            </w:r>
          </w:p>
        </w:tc>
        <w:tc>
          <w:tcPr>
            <w:tcW w:w="5044" w:type="dxa"/>
          </w:tcPr>
          <w:p>
            <w:pPr>
              <w:spacing w:after="0" w:before="0" w:line="240" w:lineRule="auto"/>
            </w:pPr>
            <w:r>
              <w:rPr>
                <w:sz w:val="15"/>
              </w:rPr>
              <w:t>Unbounded model response and private-network model URL; a document IBAN split by words, and a not-available document IBAN only R3; unauthenticated remote API and loose Host parsing; 200 MB uploads; port sharing on Windows</w:t>
            </w:r>
          </w:p>
        </w:tc>
        <w:tc>
          <w:tcPr>
            <w:tcW w:w="2265" w:type="dxa"/>
          </w:tcPr>
          <w:p>
            <w:pPr>
              <w:spacing w:after="0" w:before="0" w:line="240" w:lineRule="auto"/>
            </w:pPr>
            <w:r>
              <w:rPr>
                <w:sz w:val="15"/>
              </w:rPr>
              <w:t xml:space="preserve">Fixed: 256 KiB cap and public-address check; both IBAN cases R4; token required off loopback, </w:t>
            </w:r>
            <w:r>
              <w:rPr>
                <w:rFonts w:ascii="Consolas" w:hAnsi="Consolas" w:eastAsia="Consolas"/>
                <w:color w:val="2B3F77"/>
                <w:sz w:val="14"/>
              </w:rPr>
              <w:t>BG_API_USER</w:t>
            </w:r>
            <w:r>
              <w:rPr>
                <w:sz w:val="15"/>
              </w:rPr>
              <w:t>; 1 MB upload; exclusive bind</w:t>
            </w:r>
          </w:p>
        </w:tc>
      </w:tr>
    </w:tbl>
    <w:p>
      <w:pPr>
        <w:spacing w:after="120" w:before="0" w:line="40" w:lineRule="exact"/>
      </w:pPr>
    </w:p>
    <w:p>
      <w:pPr>
        <w:pStyle w:val="Heading1"/>
      </w:pPr>
      <w:r>
        <w:t>03 Data and Privacy</w:t>
      </w:r>
    </w:p>
    <w:p>
      <w:pPr>
        <w:pStyle w:val="ListBullet"/>
        <w:keepNext/>
        <w:spacing w:after="100" w:before="120"/>
      </w:pPr>
      <w:r>
        <w:rPr>
          <w:b/>
        </w:rPr>
        <w:t>Data provenance, consent, minimisation, storage and deletion</w:t>
      </w:r>
    </w:p>
    <w:tbl>
      <w:tblPr>
        <w:tblW w:w="9471" w:type="dxa"/>
        <w:tblInd w:w="320" w:type="dxa"/>
        <w:tblBorders>
          <w:top w:val="single" w:sz="4" w:space="0" w:color="D5DBE8"/>
          <w:left w:val="nil"/>
          <w:bottom w:val="single" w:sz="4" w:space="0" w:color="D5DBE8"/>
          <w:right w:val="nil"/>
          <w:insideH w:val="single" w:sz="4" w:space="0" w:color="D5DBE8"/>
          <w:insideV w:val="nil"/>
        </w:tblBorders>
        <w:tblLayout w:type="fixed"/>
        <w:tblCellMar>
          <w:top w:w="45" w:type="dxa"/>
          <w:left w:w="70" w:type="dxa"/>
          <w:bottom w:w="45" w:type="dxa"/>
          <w:right w:w="70" w:type="dxa"/>
        </w:tblCellMar>
        <w:tblLook w:firstColumn="1" w:firstRow="1" w:lastColumn="0" w:lastRow="0" w:noHBand="0" w:noVBand="1" w:val="04A0"/>
      </w:tblPr>
      <w:tblGrid>
        <w:gridCol w:w="1544"/>
        <w:gridCol w:w="7927"/>
      </w:tblGrid>
      <w:tr>
        <w:trPr>
          <w:cantSplit/>
          <w:tblHeader/>
        </w:trPr>
        <w:tc>
          <w:tcPr>
            <w:tcW w:w="1544" w:type="dxa"/>
            <w:shd w:val="clear" w:color="auto" w:fill="EEF3FF"/>
          </w:tcPr>
          <w:p>
            <w:pPr>
              <w:spacing w:after="0" w:before="0" w:line="240" w:lineRule="auto"/>
            </w:pPr>
            <w:r>
              <w:rPr>
                <w:b/>
                <w:sz w:val="17"/>
              </w:rPr>
              <w:t>Topic</w:t>
            </w:r>
          </w:p>
        </w:tc>
        <w:tc>
          <w:tcPr>
            <w:tcW w:w="7927" w:type="dxa"/>
            <w:shd w:val="clear" w:color="auto" w:fill="EEF3FF"/>
          </w:tcPr>
          <w:p>
            <w:pPr>
              <w:spacing w:after="0" w:before="0" w:line="240" w:lineRule="auto"/>
            </w:pPr>
            <w:r>
              <w:rPr>
                <w:b/>
                <w:sz w:val="17"/>
              </w:rPr>
              <w:t>What is true in this prototype</w:t>
            </w:r>
          </w:p>
        </w:tc>
      </w:tr>
      <w:tr>
        <w:trPr>
          <w:cantSplit/>
        </w:trPr>
        <w:tc>
          <w:tcPr>
            <w:tcW w:w="1544" w:type="dxa"/>
          </w:tcPr>
          <w:p>
            <w:pPr>
              <w:spacing w:after="0" w:before="0" w:line="240" w:lineRule="auto"/>
            </w:pPr>
            <w:r>
              <w:rPr>
                <w:sz w:val="17"/>
              </w:rPr>
              <w:t>Provenance</w:t>
            </w:r>
          </w:p>
        </w:tc>
        <w:tc>
          <w:tcPr>
            <w:tcW w:w="7927" w:type="dxa"/>
          </w:tcPr>
          <w:p>
            <w:pPr>
              <w:spacing w:after="0" w:before="0" w:line="240" w:lineRule="auto"/>
            </w:pPr>
            <w:r>
              <w:rPr>
                <w:sz w:val="17"/>
              </w:rPr>
              <w:t xml:space="preserve">All data is synthetic. The persona (Lina), balances, payees, IBANs, invoices and the sanctions list are invented constants in </w:t>
            </w:r>
            <w:r>
              <w:rPr>
                <w:rFonts w:ascii="Consolas" w:hAnsi="Consolas" w:eastAsia="Consolas"/>
                <w:color w:val="2B3F77"/>
                <w:sz w:val="16"/>
              </w:rPr>
              <w:t>bg/contracts/params.py</w:t>
            </w:r>
            <w:r>
              <w:rPr>
                <w:sz w:val="17"/>
              </w:rPr>
              <w:t>. The IBANs are fictional and pass the mod-97 check. No real person, account or document was used. The Qwen models were run unmodified; nothing was fine-tuned.</w:t>
            </w:r>
          </w:p>
        </w:tc>
      </w:tr>
      <w:tr>
        <w:trPr>
          <w:cantSplit/>
        </w:trPr>
        <w:tc>
          <w:tcPr>
            <w:tcW w:w="1544" w:type="dxa"/>
          </w:tcPr>
          <w:p>
            <w:pPr>
              <w:spacing w:after="0" w:before="0" w:line="240" w:lineRule="auto"/>
            </w:pPr>
            <w:r>
              <w:rPr>
                <w:sz w:val="17"/>
              </w:rPr>
              <w:t>Consent</w:t>
            </w:r>
          </w:p>
        </w:tc>
        <w:tc>
          <w:tcPr>
            <w:tcW w:w="7927" w:type="dxa"/>
          </w:tcPr>
          <w:p>
            <w:pPr>
              <w:spacing w:after="0" w:before="0" w:line="240" w:lineRule="auto"/>
            </w:pPr>
            <w:r>
              <w:rPr>
                <w:sz w:val="17"/>
              </w:rPr>
              <w:t>No real user took part, so no personal data was collected and no consent was needed. A real deployment would need the customer's consent to process her messages, and to send them to a third-party model if a remote model is connected. Choosing "Connect a model" in the UI shows that a remote endpoint receives the messages.</w:t>
            </w:r>
          </w:p>
        </w:tc>
      </w:tr>
      <w:tr>
        <w:trPr>
          <w:cantSplit/>
        </w:trPr>
        <w:tc>
          <w:tcPr>
            <w:tcW w:w="1544" w:type="dxa"/>
          </w:tcPr>
          <w:p>
            <w:pPr>
              <w:spacing w:after="0" w:before="0" w:line="240" w:lineRule="auto"/>
            </w:pPr>
            <w:r>
              <w:rPr>
                <w:sz w:val="17"/>
              </w:rPr>
              <w:t>Minimisation</w:t>
            </w:r>
          </w:p>
        </w:tc>
        <w:tc>
          <w:tcPr>
            <w:tcW w:w="7927" w:type="dxa"/>
          </w:tcPr>
          <w:p>
            <w:pPr>
              <w:spacing w:after="0" w:before="0" w:line="240" w:lineRule="auto"/>
            </w:pPr>
            <w:r>
              <w:rPr>
                <w:sz w:val="17"/>
              </w:rPr>
              <w:t>A model receives only the customer's message, her own payee names and aliases, and the agent's pending question. Never a saved IBAN, a balance, a document or another customer's data; an IBAN or code typed in the sentence goes with it (R-22). The audit log keeps a SHA-256 and the length of each message instead of its text, masks IBANs to their last four characters and drops one-time codes. Model telemetry holds timings, a hash and an error class.</w:t>
            </w:r>
          </w:p>
        </w:tc>
      </w:tr>
      <w:tr>
        <w:trPr>
          <w:cantSplit/>
        </w:trPr>
        <w:tc>
          <w:tcPr>
            <w:tcW w:w="1544" w:type="dxa"/>
          </w:tcPr>
          <w:p>
            <w:pPr>
              <w:spacing w:after="0" w:before="0" w:line="240" w:lineRule="auto"/>
            </w:pPr>
            <w:r>
              <w:rPr>
                <w:sz w:val="17"/>
              </w:rPr>
              <w:t>Storage</w:t>
            </w:r>
          </w:p>
        </w:tc>
        <w:tc>
          <w:tcPr>
            <w:tcW w:w="7927" w:type="dxa"/>
          </w:tcPr>
          <w:p>
            <w:pPr>
              <w:spacing w:after="0" w:before="0" w:line="240" w:lineRule="auto"/>
            </w:pPr>
            <w:r>
              <w:rPr>
                <w:sz w:val="17"/>
              </w:rPr>
              <w:t xml:space="preserve">Sessions, drafts, the wrong-code counter and ledger state are in memory and end with the process. Receipts are in SQLite, in memory by default or in a file if a path is given; each row holds the full action payload as plain text. Mission audit logs in </w:t>
            </w:r>
            <w:r>
              <w:rPr>
                <w:rFonts w:ascii="Consolas" w:hAnsi="Consolas" w:eastAsia="Consolas"/>
                <w:color w:val="2B3F77"/>
                <w:sz w:val="16"/>
              </w:rPr>
              <w:t>deliverables/evidence/</w:t>
            </w:r>
            <w:r>
              <w:rPr>
                <w:sz w:val="17"/>
              </w:rPr>
              <w:t xml:space="preserve"> are masked. A connected model's API key lives only in the browser session or the environment and is never written to disk. There is no encryption at rest and no access control in the sandbox.</w:t>
            </w:r>
          </w:p>
        </w:tc>
      </w:tr>
      <w:tr>
        <w:trPr>
          <w:cantSplit/>
        </w:trPr>
        <w:tc>
          <w:tcPr>
            <w:tcW w:w="1544" w:type="dxa"/>
          </w:tcPr>
          <w:p>
            <w:pPr>
              <w:spacing w:after="0" w:before="0" w:line="240" w:lineRule="auto"/>
            </w:pPr>
            <w:r>
              <w:rPr>
                <w:sz w:val="17"/>
              </w:rPr>
              <w:t>Third parties</w:t>
            </w:r>
          </w:p>
        </w:tc>
        <w:tc>
          <w:tcPr>
            <w:tcW w:w="7927" w:type="dxa"/>
          </w:tcPr>
          <w:p>
            <w:pPr>
              <w:spacing w:after="0" w:before="0" w:line="240" w:lineRule="auto"/>
            </w:pPr>
            <w:r>
              <w:rPr>
                <w:sz w:val="17"/>
              </w:rPr>
              <w:t xml:space="preserve">None by default; no network call is made. A local model is called on </w:t>
            </w:r>
            <w:r>
              <w:rPr>
                <w:rFonts w:ascii="Consolas" w:hAnsi="Consolas" w:eastAsia="Consolas"/>
                <w:color w:val="2B3F77"/>
                <w:sz w:val="16"/>
              </w:rPr>
              <w:t>localhost</w:t>
            </w:r>
            <w:r>
              <w:rPr>
                <w:sz w:val="17"/>
              </w:rPr>
              <w:t>. A connected remote model receives the message and the payee names.</w:t>
            </w:r>
          </w:p>
        </w:tc>
      </w:tr>
      <w:tr>
        <w:trPr>
          <w:cantSplit/>
        </w:trPr>
        <w:tc>
          <w:tcPr>
            <w:tcW w:w="1544" w:type="dxa"/>
          </w:tcPr>
          <w:p>
            <w:pPr>
              <w:spacing w:after="0" w:before="0" w:line="240" w:lineRule="auto"/>
            </w:pPr>
            <w:r>
              <w:rPr>
                <w:sz w:val="17"/>
              </w:rPr>
              <w:t>Deletion</w:t>
            </w:r>
          </w:p>
        </w:tc>
        <w:tc>
          <w:tcPr>
            <w:tcW w:w="7927" w:type="dxa"/>
          </w:tcPr>
          <w:p>
            <w:pPr>
              <w:spacing w:after="0" w:before="0" w:line="240" w:lineRule="auto"/>
            </w:pPr>
            <w:r>
              <w:rPr>
                <w:sz w:val="17"/>
              </w:rPr>
              <w:t>Ending the process or pressing Reset demo discards the sandbox state. The receipt chain cannot be edited without breaking verification, so a real erasure request needs another design (hashes only in the chain, payloads in a separate store under a per-customer key that can be deleted). That is not built.</w:t>
            </w:r>
          </w:p>
        </w:tc>
      </w:tr>
      <w:tr>
        <w:trPr>
          <w:cantSplit/>
        </w:trPr>
        <w:tc>
          <w:tcPr>
            <w:tcW w:w="1544" w:type="dxa"/>
          </w:tcPr>
          <w:p>
            <w:pPr>
              <w:spacing w:after="0" w:before="0" w:line="240" w:lineRule="auto"/>
            </w:pPr>
            <w:r>
              <w:rPr>
                <w:sz w:val="17"/>
              </w:rPr>
              <w:t>Secrets</w:t>
            </w:r>
          </w:p>
        </w:tc>
        <w:tc>
          <w:tcPr>
            <w:tcW w:w="7927" w:type="dxa"/>
          </w:tcPr>
          <w:p>
            <w:pPr>
              <w:spacing w:after="0" w:before="0" w:line="240" w:lineRule="auto"/>
            </w:pPr>
            <w:r>
              <w:rPr>
                <w:sz w:val="17"/>
              </w:rPr>
              <w:t>An audit of the full git history found no API key, token or personal e-mail address. The committed receipt-signing key is a public demo value, flagged while it is in use.</w:t>
            </w:r>
          </w:p>
        </w:tc>
      </w:tr>
    </w:tbl>
    <w:p>
      <w:pPr>
        <w:spacing w:after="120" w:before="0" w:line="40" w:lineRule="exact"/>
      </w:pPr>
    </w:p>
    <w:p>
      <w:pPr>
        <w:keepNext w:val="0"/>
        <w:spacing w:after="100" w:before="0"/>
        <w:ind w:left="317"/>
      </w:pPr>
      <w:r>
        <w:rPr>
          <w:sz w:val="19"/>
        </w:rPr>
        <w:t>No data-protection compliance (GDPR, PIPL or other) is claimed.</w:t>
      </w:r>
    </w:p>
    <w:p>
      <w:pPr>
        <w:pStyle w:val="Heading1"/>
      </w:pPr>
      <w:r>
        <w:t>04 Known Risks</w:t>
      </w:r>
    </w:p>
    <w:p>
      <w:pPr>
        <w:pStyle w:val="ListBullet"/>
        <w:keepNext/>
        <w:spacing w:after="100" w:before="120"/>
      </w:pPr>
      <w:r>
        <w:rPr>
          <w:b/>
        </w:rPr>
        <w:t>Risk, impact, mitigation and planned improvement</w:t>
      </w:r>
    </w:p>
    <w:p>
      <w:pPr>
        <w:keepNext w:val="0"/>
        <w:spacing w:after="60" w:before="0"/>
        <w:ind w:left="317"/>
      </w:pPr>
      <w:r>
        <w:rPr>
          <w:sz w:val="18"/>
        </w:rPr>
        <w:t>For each risk: description, potential impact, severity, mitigations in place, remaining action and status. Severity is what the finding would be if the prototype were deployed as it is; the sandbox effect is in brackets where it differs. Fixed vulnerabilities are in the audit tables of Section 02. Nothing here is a claim that the prototype is secure.</w:t>
      </w:r>
    </w:p>
    <w:p>
      <w:pPr>
        <w:keepNext w:val="0"/>
        <w:spacing w:after="40" w:before="0"/>
        <w:ind w:left="317"/>
      </w:pPr>
      <w:r>
        <w:rPr>
          <w:b/>
          <w:sz w:val="18"/>
        </w:rPr>
        <w:t>Residual risks</w:t>
      </w:r>
      <w:r>
        <w:rPr>
          <w:sz w:val="18"/>
        </w:rPr>
        <w:t xml:space="preserve"> (accepted for the sandbox; Mitigated means reduced, not removed)</w:t>
      </w:r>
    </w:p>
    <w:tbl>
      <w:tblPr>
        <w:tblW w:w="9789" w:type="dxa"/>
        <w:tblBorders>
          <w:top w:val="single" w:sz="4" w:space="0" w:color="D5DBE8"/>
          <w:left w:val="nil"/>
          <w:bottom w:val="single" w:sz="4" w:space="0" w:color="D5DBE8"/>
          <w:right w:val="nil"/>
          <w:insideH w:val="single" w:sz="4" w:space="0" w:color="D5DBE8"/>
          <w:insideV w:val="nil"/>
        </w:tblBorders>
        <w:tblLayout w:type="fixed"/>
        <w:tblCellMar>
          <w:top w:w="45" w:type="dxa"/>
          <w:left w:w="70" w:type="dxa"/>
          <w:bottom w:w="45" w:type="dxa"/>
          <w:right w:w="70" w:type="dxa"/>
        </w:tblCellMar>
        <w:tblLook w:firstColumn="1" w:firstRow="1" w:lastColumn="0" w:lastRow="0" w:noHBand="0" w:noVBand="1" w:val="04A0"/>
      </w:tblPr>
      <w:tblGrid>
        <w:gridCol w:w="585"/>
        <w:gridCol w:w="2128"/>
        <w:gridCol w:w="1436"/>
        <w:gridCol w:w="851"/>
        <w:gridCol w:w="2235"/>
        <w:gridCol w:w="1809"/>
        <w:gridCol w:w="745"/>
      </w:tblGrid>
      <w:tr>
        <w:trPr>
          <w:cantSplit/>
          <w:tblHeader/>
        </w:trPr>
        <w:tc>
          <w:tcPr>
            <w:tcW w:w="585" w:type="dxa"/>
            <w:shd w:val="clear" w:color="auto" w:fill="EEF3FF"/>
          </w:tcPr>
          <w:p>
            <w:pPr>
              <w:spacing w:after="0" w:before="0" w:line="240" w:lineRule="auto"/>
            </w:pPr>
            <w:r>
              <w:rPr>
                <w:b/>
                <w:sz w:val="13"/>
              </w:rPr>
              <w:t>ID</w:t>
            </w:r>
          </w:p>
        </w:tc>
        <w:tc>
          <w:tcPr>
            <w:tcW w:w="2128" w:type="dxa"/>
            <w:shd w:val="clear" w:color="auto" w:fill="EEF3FF"/>
          </w:tcPr>
          <w:p>
            <w:pPr>
              <w:spacing w:after="0" w:before="0" w:line="240" w:lineRule="auto"/>
            </w:pPr>
            <w:r>
              <w:rPr>
                <w:b/>
                <w:sz w:val="13"/>
              </w:rPr>
              <w:t>Description</w:t>
            </w:r>
          </w:p>
        </w:tc>
        <w:tc>
          <w:tcPr>
            <w:tcW w:w="1436" w:type="dxa"/>
            <w:shd w:val="clear" w:color="auto" w:fill="EEF3FF"/>
          </w:tcPr>
          <w:p>
            <w:pPr>
              <w:spacing w:after="0" w:before="0" w:line="240" w:lineRule="auto"/>
            </w:pPr>
            <w:r>
              <w:rPr>
                <w:b/>
                <w:sz w:val="13"/>
              </w:rPr>
              <w:t>Potential impact</w:t>
            </w:r>
          </w:p>
        </w:tc>
        <w:tc>
          <w:tcPr>
            <w:tcW w:w="851" w:type="dxa"/>
            <w:shd w:val="clear" w:color="auto" w:fill="EEF3FF"/>
          </w:tcPr>
          <w:p>
            <w:pPr>
              <w:spacing w:after="0" w:before="0" w:line="240" w:lineRule="auto"/>
            </w:pPr>
            <w:r>
              <w:rPr>
                <w:b/>
                <w:sz w:val="13"/>
              </w:rPr>
              <w:t>Severity</w:t>
            </w:r>
          </w:p>
        </w:tc>
        <w:tc>
          <w:tcPr>
            <w:tcW w:w="2235" w:type="dxa"/>
            <w:shd w:val="clear" w:color="auto" w:fill="EEF3FF"/>
          </w:tcPr>
          <w:p>
            <w:pPr>
              <w:spacing w:after="0" w:before="0" w:line="240" w:lineRule="auto"/>
            </w:pPr>
            <w:r>
              <w:rPr>
                <w:b/>
                <w:sz w:val="13"/>
              </w:rPr>
              <w:t>Mitigations in place</w:t>
            </w:r>
          </w:p>
        </w:tc>
        <w:tc>
          <w:tcPr>
            <w:tcW w:w="1809" w:type="dxa"/>
            <w:shd w:val="clear" w:color="auto" w:fill="EEF3FF"/>
          </w:tcPr>
          <w:p>
            <w:pPr>
              <w:spacing w:after="0" w:before="0" w:line="240" w:lineRule="auto"/>
            </w:pPr>
            <w:r>
              <w:rPr>
                <w:b/>
                <w:sz w:val="13"/>
              </w:rPr>
              <w:t>Remaining action</w:t>
            </w:r>
          </w:p>
        </w:tc>
        <w:tc>
          <w:tcPr>
            <w:tcW w:w="745" w:type="dxa"/>
            <w:shd w:val="clear" w:color="auto" w:fill="EEF3FF"/>
          </w:tcPr>
          <w:p>
            <w:pPr>
              <w:spacing w:after="0" w:before="0" w:line="240" w:lineRule="auto"/>
            </w:pPr>
            <w:r>
              <w:rPr>
                <w:b/>
                <w:sz w:val="13"/>
              </w:rPr>
              <w:t>Status</w:t>
            </w:r>
          </w:p>
        </w:tc>
      </w:tr>
      <w:tr>
        <w:trPr>
          <w:cantSplit/>
        </w:trPr>
        <w:tc>
          <w:tcPr>
            <w:tcW w:w="585" w:type="dxa"/>
          </w:tcPr>
          <w:p>
            <w:pPr>
              <w:spacing w:after="0" w:before="0" w:line="240" w:lineRule="auto"/>
            </w:pPr>
            <w:r>
              <w:rPr>
                <w:sz w:val="13"/>
              </w:rPr>
              <w:t>R-01</w:t>
            </w:r>
          </w:p>
        </w:tc>
        <w:tc>
          <w:tcPr>
            <w:tcW w:w="2128" w:type="dxa"/>
          </w:tcPr>
          <w:p>
            <w:pPr>
              <w:spacing w:after="0" w:before="0" w:line="240" w:lineRule="auto"/>
            </w:pPr>
            <w:r>
              <w:rPr>
                <w:sz w:val="13"/>
              </w:rPr>
              <w:t>No real authentication. The UI serves one fixed customer (</w:t>
            </w:r>
            <w:r>
              <w:rPr>
                <w:rFonts w:ascii="Consolas" w:hAnsi="Consolas" w:eastAsia="Consolas"/>
                <w:color w:val="2B3F77"/>
                <w:sz w:val="12"/>
              </w:rPr>
              <w:t>ui/app.py</w:t>
            </w:r>
            <w:r>
              <w:rPr>
                <w:sz w:val="13"/>
              </w:rPr>
              <w:t xml:space="preserve">); </w:t>
            </w:r>
            <w:r>
              <w:rPr>
                <w:rFonts w:ascii="Consolas" w:hAnsi="Consolas" w:eastAsia="Consolas"/>
                <w:color w:val="2B3F77"/>
                <w:sz w:val="12"/>
              </w:rPr>
              <w:t>new_session(user_id)</w:t>
            </w:r>
            <w:r>
              <w:rPr>
                <w:sz w:val="13"/>
              </w:rPr>
              <w:t xml:space="preserve"> trusts its caller; session ids are predictable (</w:t>
            </w:r>
            <w:r>
              <w:rPr>
                <w:rFonts w:ascii="Consolas" w:hAnsi="Consolas" w:eastAsia="Consolas"/>
                <w:color w:val="2B3F77"/>
                <w:sz w:val="12"/>
              </w:rPr>
              <w:t>orchestrator.py</w:t>
            </w:r>
            <w:r>
              <w:rPr>
                <w:sz w:val="13"/>
              </w:rPr>
              <w:t xml:space="preserve">, </w:t>
            </w:r>
            <w:r>
              <w:rPr>
                <w:rFonts w:ascii="Consolas" w:hAnsi="Consolas" w:eastAsia="Consolas"/>
                <w:color w:val="2B3F77"/>
                <w:sz w:val="12"/>
              </w:rPr>
              <w:t>new_session</w:t>
            </w:r>
            <w:r>
              <w:rPr>
                <w:sz w:val="13"/>
              </w:rPr>
              <w:t>)</w:t>
            </w:r>
          </w:p>
        </w:tc>
        <w:tc>
          <w:tcPr>
            <w:tcW w:w="1436" w:type="dxa"/>
          </w:tcPr>
          <w:p>
            <w:pPr>
              <w:spacing w:after="0" w:before="0" w:line="240" w:lineRule="auto"/>
            </w:pPr>
            <w:r>
              <w:rPr>
                <w:sz w:val="13"/>
              </w:rPr>
              <w:t>Whoever reaches a surface acts as any customer; tenant isolation holds only behind an authenticating gateway</w:t>
            </w:r>
          </w:p>
        </w:tc>
        <w:tc>
          <w:tcPr>
            <w:tcW w:w="851" w:type="dxa"/>
          </w:tcPr>
          <w:p>
            <w:pPr>
              <w:spacing w:after="0" w:before="0" w:line="240" w:lineRule="auto"/>
            </w:pPr>
            <w:r>
              <w:rPr>
                <w:sz w:val="13"/>
              </w:rPr>
              <w:t>High (sandbox: Low, local and synthetic)</w:t>
            </w:r>
          </w:p>
        </w:tc>
        <w:tc>
          <w:tcPr>
            <w:tcW w:w="2235" w:type="dxa"/>
          </w:tcPr>
          <w:p>
            <w:pPr>
              <w:spacing w:after="0" w:before="0" w:line="240" w:lineRule="auto"/>
            </w:pPr>
            <w:r>
              <w:rPr>
                <w:sz w:val="13"/>
              </w:rPr>
              <w:t xml:space="preserve">Localhost binding; tenant-scoped reads; </w:t>
            </w:r>
            <w:r>
              <w:rPr>
                <w:rFonts w:ascii="Consolas" w:hAnsi="Consolas" w:eastAsia="Consolas"/>
                <w:color w:val="2B3F77"/>
                <w:sz w:val="12"/>
              </w:rPr>
              <w:t>TENANT_ISOLATION</w:t>
            </w:r>
            <w:r>
              <w:rPr>
                <w:sz w:val="13"/>
              </w:rPr>
              <w:t>; a confirmation works only in the session that holds the action</w:t>
            </w:r>
          </w:p>
        </w:tc>
        <w:tc>
          <w:tcPr>
            <w:tcW w:w="1809" w:type="dxa"/>
          </w:tcPr>
          <w:p>
            <w:pPr>
              <w:spacing w:after="0" w:before="0" w:line="240" w:lineRule="auto"/>
            </w:pPr>
            <w:r>
              <w:rPr>
                <w:sz w:val="13"/>
              </w:rPr>
              <w:t>An authenticated principal and random session tokens bound to it</w:t>
            </w:r>
          </w:p>
        </w:tc>
        <w:tc>
          <w:tcPr>
            <w:tcW w:w="745" w:type="dxa"/>
          </w:tcPr>
          <w:p>
            <w:pPr>
              <w:spacing w:after="0" w:before="0" w:line="240" w:lineRule="auto"/>
            </w:pPr>
            <w:r>
              <w:rPr>
                <w:sz w:val="13"/>
              </w:rPr>
              <w:t>Residual</w:t>
            </w:r>
          </w:p>
        </w:tc>
      </w:tr>
      <w:tr>
        <w:trPr>
          <w:cantSplit/>
        </w:trPr>
        <w:tc>
          <w:tcPr>
            <w:tcW w:w="585" w:type="dxa"/>
          </w:tcPr>
          <w:p>
            <w:pPr>
              <w:spacing w:after="0" w:before="0" w:line="240" w:lineRule="auto"/>
            </w:pPr>
            <w:r>
              <w:rPr>
                <w:sz w:val="13"/>
              </w:rPr>
              <w:t>R-02</w:t>
            </w:r>
          </w:p>
        </w:tc>
        <w:tc>
          <w:tcPr>
            <w:tcW w:w="2128" w:type="dxa"/>
          </w:tcPr>
          <w:p>
            <w:pPr>
              <w:spacing w:after="0" w:before="0" w:line="240" w:lineRule="auto"/>
            </w:pPr>
            <w:r>
              <w:rPr>
                <w:sz w:val="13"/>
              </w:rPr>
              <w:t xml:space="preserve">The one-time code is the constant </w:t>
            </w:r>
            <w:r>
              <w:rPr>
                <w:rFonts w:ascii="Consolas" w:hAnsi="Consolas" w:eastAsia="Consolas"/>
                <w:color w:val="2B3F77"/>
                <w:sz w:val="12"/>
              </w:rPr>
              <w:t>246810</w:t>
            </w:r>
            <w:r>
              <w:rPr>
                <w:sz w:val="13"/>
              </w:rPr>
              <w:t>, shown in the UI; the guided demo enters it for the user</w:t>
            </w:r>
          </w:p>
        </w:tc>
        <w:tc>
          <w:tcPr>
            <w:tcW w:w="1436" w:type="dxa"/>
          </w:tcPr>
          <w:p>
            <w:pPr>
              <w:spacing w:after="0" w:before="0" w:line="240" w:lineRule="auto"/>
            </w:pPr>
            <w:r>
              <w:rPr>
                <w:sz w:val="13"/>
              </w:rPr>
              <w:t>Step-up gives no assurance of who approved</w:t>
            </w:r>
          </w:p>
        </w:tc>
        <w:tc>
          <w:tcPr>
            <w:tcW w:w="851" w:type="dxa"/>
          </w:tcPr>
          <w:p>
            <w:pPr>
              <w:spacing w:after="0" w:before="0" w:line="240" w:lineRule="auto"/>
            </w:pPr>
            <w:r>
              <w:rPr>
                <w:sz w:val="13"/>
              </w:rPr>
              <w:t>High (demo only)</w:t>
            </w:r>
          </w:p>
        </w:tc>
        <w:tc>
          <w:tcPr>
            <w:tcW w:w="2235" w:type="dxa"/>
          </w:tcPr>
          <w:p>
            <w:pPr>
              <w:spacing w:after="0" w:before="0" w:line="240" w:lineRule="auto"/>
            </w:pPr>
            <w:r>
              <w:rPr>
                <w:sz w:val="13"/>
              </w:rPr>
              <w:t>Constant-time comparison; per-customer lockout</w:t>
            </w:r>
          </w:p>
        </w:tc>
        <w:tc>
          <w:tcPr>
            <w:tcW w:w="1809" w:type="dxa"/>
          </w:tcPr>
          <w:p>
            <w:pPr>
              <w:spacing w:after="0" w:before="0" w:line="240" w:lineRule="auto"/>
            </w:pPr>
            <w:r>
              <w:rPr>
                <w:sz w:val="13"/>
              </w:rPr>
              <w:t>A per-transaction code from a real strong-customer-authentication channel, linked to amount and payee</w:t>
            </w:r>
          </w:p>
        </w:tc>
        <w:tc>
          <w:tcPr>
            <w:tcW w:w="745" w:type="dxa"/>
          </w:tcPr>
          <w:p>
            <w:pPr>
              <w:spacing w:after="0" w:before="0" w:line="240" w:lineRule="auto"/>
            </w:pPr>
            <w:r>
              <w:rPr>
                <w:sz w:val="13"/>
              </w:rPr>
              <w:t>Residual</w:t>
            </w:r>
          </w:p>
        </w:tc>
      </w:tr>
      <w:tr>
        <w:trPr>
          <w:cantSplit/>
        </w:trPr>
        <w:tc>
          <w:tcPr>
            <w:tcW w:w="585" w:type="dxa"/>
          </w:tcPr>
          <w:p>
            <w:pPr>
              <w:spacing w:after="0" w:before="0" w:line="240" w:lineRule="auto"/>
            </w:pPr>
            <w:r>
              <w:rPr>
                <w:sz w:val="13"/>
              </w:rPr>
              <w:t>R-03</w:t>
            </w:r>
          </w:p>
        </w:tc>
        <w:tc>
          <w:tcPr>
            <w:tcW w:w="2128" w:type="dxa"/>
          </w:tcPr>
          <w:p>
            <w:pPr>
              <w:spacing w:after="0" w:before="0" w:line="240" w:lineRule="auto"/>
            </w:pPr>
            <w:r>
              <w:rPr>
                <w:sz w:val="13"/>
              </w:rPr>
              <w:t>The code lock lives in memory with the backend: restarting it clears the lock. In the demo UI, Reset demo, the model selector, the exchange-rate toggle and a new browser tab rebuild the backend, so the customer can clear her own lock. The API has no unlock, and any API client can lock a customer out with three wrong codes</w:t>
            </w:r>
          </w:p>
        </w:tc>
        <w:tc>
          <w:tcPr>
            <w:tcW w:w="1436" w:type="dxa"/>
          </w:tcPr>
          <w:p>
            <w:pPr>
              <w:spacing w:after="0" w:before="0" w:line="240" w:lineRule="auto"/>
            </w:pPr>
            <w:r>
              <w:rPr>
                <w:sz w:val="13"/>
              </w:rPr>
              <w:t>Guessing is bounded only within one backend run; the lock can be used for denial of service</w:t>
            </w:r>
          </w:p>
        </w:tc>
        <w:tc>
          <w:tcPr>
            <w:tcW w:w="851" w:type="dxa"/>
          </w:tcPr>
          <w:p>
            <w:pPr>
              <w:spacing w:after="0" w:before="0" w:line="240" w:lineRule="auto"/>
            </w:pPr>
            <w:r>
              <w:rPr>
                <w:sz w:val="13"/>
              </w:rPr>
              <w:t>Medium (sandbox: Low)</w:t>
            </w:r>
          </w:p>
        </w:tc>
        <w:tc>
          <w:tcPr>
            <w:tcW w:w="2235" w:type="dxa"/>
          </w:tcPr>
          <w:p>
            <w:pPr>
              <w:spacing w:after="0" w:before="0" w:line="240" w:lineRule="auto"/>
            </w:pPr>
            <w:r>
              <w:rPr>
                <w:rFonts w:ascii="Consolas" w:hAnsi="Consolas" w:eastAsia="Consolas"/>
                <w:color w:val="2B3F77"/>
                <w:sz w:val="12"/>
              </w:rPr>
              <w:t>StepUpAttempts</w:t>
            </w:r>
            <w:r>
              <w:rPr>
                <w:sz w:val="13"/>
              </w:rPr>
              <w:t xml:space="preserve"> is shared by all sessions of a backend and now freezes every approval (HARD-1); </w:t>
            </w:r>
            <w:r>
              <w:rPr>
                <w:rFonts w:ascii="Consolas" w:hAnsi="Consolas" w:eastAsia="Consolas"/>
                <w:color w:val="2B3F77"/>
                <w:sz w:val="12"/>
              </w:rPr>
              <w:t>STEP_UP_LOCKOUT</w:t>
            </w:r>
            <w:r>
              <w:rPr>
                <w:sz w:val="13"/>
              </w:rPr>
              <w:t xml:space="preserve"> writes a receipt; the Reset demo button says that it stands in for the operator</w:t>
            </w:r>
          </w:p>
        </w:tc>
        <w:tc>
          <w:tcPr>
            <w:tcW w:w="1809" w:type="dxa"/>
          </w:tcPr>
          <w:p>
            <w:pPr>
              <w:spacing w:after="0" w:before="0" w:line="240" w:lineRule="auto"/>
            </w:pPr>
            <w:r>
              <w:rPr>
                <w:sz w:val="13"/>
              </w:rPr>
              <w:t>A persistent lock store; an operator-only unlock behind its own login; monitoring</w:t>
            </w:r>
          </w:p>
        </w:tc>
        <w:tc>
          <w:tcPr>
            <w:tcW w:w="745" w:type="dxa"/>
          </w:tcPr>
          <w:p>
            <w:pPr>
              <w:spacing w:after="0" w:before="0" w:line="240" w:lineRule="auto"/>
            </w:pPr>
            <w:r>
              <w:rPr>
                <w:sz w:val="13"/>
              </w:rPr>
              <w:t>Residual</w:t>
            </w:r>
          </w:p>
        </w:tc>
      </w:tr>
      <w:tr>
        <w:trPr>
          <w:cantSplit/>
        </w:trPr>
        <w:tc>
          <w:tcPr>
            <w:tcW w:w="585" w:type="dxa"/>
          </w:tcPr>
          <w:p>
            <w:pPr>
              <w:spacing w:after="0" w:before="0" w:line="240" w:lineRule="auto"/>
            </w:pPr>
            <w:r>
              <w:rPr>
                <w:sz w:val="13"/>
              </w:rPr>
              <w:t>R-04</w:t>
            </w:r>
          </w:p>
        </w:tc>
        <w:tc>
          <w:tcPr>
            <w:tcW w:w="2128" w:type="dxa"/>
          </w:tcPr>
          <w:p>
            <w:pPr>
              <w:spacing w:after="0" w:before="0" w:line="240" w:lineRule="auto"/>
            </w:pPr>
            <w:r>
              <w:rPr>
                <w:sz w:val="13"/>
              </w:rPr>
              <w:t xml:space="preserve">HTTP API: plain HTTP; with no token on loopback, every local process can call it as any seeded customer; </w:t>
            </w:r>
            <w:r>
              <w:rPr>
                <w:rFonts w:ascii="Consolas" w:hAnsi="Consolas" w:eastAsia="Consolas"/>
                <w:color w:val="2B3F77"/>
                <w:sz w:val="12"/>
              </w:rPr>
              <w:t>BG_API_TOKEN</w:t>
            </w:r>
            <w:r>
              <w:rPr>
                <w:sz w:val="13"/>
              </w:rPr>
              <w:t xml:space="preserve"> is one shared secret for all customers; </w:t>
            </w:r>
            <w:r>
              <w:rPr>
                <w:rFonts w:ascii="Consolas" w:hAnsi="Consolas" w:eastAsia="Consolas"/>
                <w:color w:val="2B3F77"/>
                <w:sz w:val="12"/>
              </w:rPr>
              <w:t>BG_API_TOKENS</w:t>
            </w:r>
            <w:r>
              <w:rPr>
                <w:sz w:val="13"/>
              </w:rPr>
              <w:t xml:space="preserve"> are static secrets in the environment, without rotation; the CLI </w:t>
            </w:r>
            <w:r>
              <w:rPr>
                <w:rFonts w:ascii="Consolas" w:hAnsi="Consolas" w:eastAsia="Consolas"/>
                <w:color w:val="2B3F77"/>
                <w:sz w:val="12"/>
              </w:rPr>
              <w:t>--user</w:t>
            </w:r>
            <w:r>
              <w:rPr>
                <w:sz w:val="13"/>
              </w:rPr>
              <w:t xml:space="preserve"> is unauthenticated; approval proves that the caller holds the action's hash, not that a human approved</w:t>
            </w:r>
          </w:p>
        </w:tc>
        <w:tc>
          <w:tcPr>
            <w:tcW w:w="1436" w:type="dxa"/>
          </w:tcPr>
          <w:p>
            <w:pPr>
              <w:spacing w:after="0" w:before="0" w:line="240" w:lineRule="auto"/>
            </w:pPr>
            <w:r>
              <w:rPr>
                <w:sz w:val="13"/>
              </w:rPr>
              <w:t>A local process, or a token holder, can drive the customers its token covers</w:t>
            </w:r>
          </w:p>
        </w:tc>
        <w:tc>
          <w:tcPr>
            <w:tcW w:w="851" w:type="dxa"/>
          </w:tcPr>
          <w:p>
            <w:pPr>
              <w:spacing w:after="0" w:before="0" w:line="240" w:lineRule="auto"/>
            </w:pPr>
            <w:r>
              <w:rPr>
                <w:sz w:val="13"/>
              </w:rPr>
              <w:t>Medium (sandbox: Low)</w:t>
            </w:r>
          </w:p>
        </w:tc>
        <w:tc>
          <w:tcPr>
            <w:tcW w:w="2235" w:type="dxa"/>
          </w:tcPr>
          <w:p>
            <w:pPr>
              <w:spacing w:after="0" w:before="0" w:line="240" w:lineRule="auto"/>
            </w:pPr>
            <w:r>
              <w:rPr>
                <w:sz w:val="13"/>
              </w:rPr>
              <w:t xml:space="preserve">Loopback by default; strict Host check; a token is required off loopback; per-customer tokens and </w:t>
            </w:r>
            <w:r>
              <w:rPr>
                <w:rFonts w:ascii="Consolas" w:hAnsi="Consolas" w:eastAsia="Consolas"/>
                <w:color w:val="2B3F77"/>
                <w:sz w:val="12"/>
              </w:rPr>
              <w:t>BG_API_USER</w:t>
            </w:r>
            <w:r>
              <w:rPr>
                <w:sz w:val="13"/>
              </w:rPr>
              <w:t>; random session ids; the approval carries the hash shown with the action; 200-session cap; responses carry no code and only masked IBANs</w:t>
            </w:r>
          </w:p>
        </w:tc>
        <w:tc>
          <w:tcPr>
            <w:tcW w:w="1809" w:type="dxa"/>
          </w:tcPr>
          <w:p>
            <w:pPr>
              <w:spacing w:after="0" w:before="0" w:line="240" w:lineRule="auto"/>
            </w:pPr>
            <w:r>
              <w:rPr>
                <w:sz w:val="13"/>
              </w:rPr>
              <w:t>Token rotation, TLS, a real identity provider; a human-approval channel separate from the API client</w:t>
            </w:r>
          </w:p>
        </w:tc>
        <w:tc>
          <w:tcPr>
            <w:tcW w:w="745" w:type="dxa"/>
          </w:tcPr>
          <w:p>
            <w:pPr>
              <w:spacing w:after="0" w:before="0" w:line="240" w:lineRule="auto"/>
            </w:pPr>
            <w:r>
              <w:rPr>
                <w:sz w:val="13"/>
              </w:rPr>
              <w:t>Residual</w:t>
            </w:r>
          </w:p>
        </w:tc>
      </w:tr>
      <w:tr>
        <w:trPr>
          <w:cantSplit/>
        </w:trPr>
        <w:tc>
          <w:tcPr>
            <w:tcW w:w="585" w:type="dxa"/>
          </w:tcPr>
          <w:p>
            <w:pPr>
              <w:spacing w:after="0" w:before="0" w:line="240" w:lineRule="auto"/>
            </w:pPr>
            <w:r>
              <w:rPr>
                <w:sz w:val="13"/>
              </w:rPr>
              <w:t>R-05</w:t>
            </w:r>
          </w:p>
        </w:tc>
        <w:tc>
          <w:tcPr>
            <w:tcW w:w="2128" w:type="dxa"/>
          </w:tcPr>
          <w:p>
            <w:pPr>
              <w:spacing w:after="0" w:before="0" w:line="240" w:lineRule="auto"/>
            </w:pPr>
            <w:r>
              <w:rPr>
                <w:sz w:val="13"/>
              </w:rPr>
              <w:t xml:space="preserve">Receipt anchors are HMAC-SHA256 with the public demo key unless </w:t>
            </w:r>
            <w:r>
              <w:rPr>
                <w:rFonts w:ascii="Consolas" w:hAnsi="Consolas" w:eastAsia="Consolas"/>
                <w:color w:val="2B3F77"/>
                <w:sz w:val="12"/>
              </w:rPr>
              <w:t>BG_RECEIPT_KEY</w:t>
            </w:r>
            <w:r>
              <w:rPr>
                <w:sz w:val="13"/>
              </w:rPr>
              <w:t xml:space="preserve"> is set; HMAC is symmetric</w:t>
            </w:r>
          </w:p>
        </w:tc>
        <w:tc>
          <w:tcPr>
            <w:tcW w:w="1436" w:type="dxa"/>
          </w:tcPr>
          <w:p>
            <w:pPr>
              <w:spacing w:after="0" w:before="0" w:line="240" w:lineRule="auto"/>
            </w:pPr>
            <w:r>
              <w:rPr>
                <w:sz w:val="13"/>
              </w:rPr>
              <w:t>Forged anchors; the key holder can rewrite history</w:t>
            </w:r>
          </w:p>
        </w:tc>
        <w:tc>
          <w:tcPr>
            <w:tcW w:w="851" w:type="dxa"/>
          </w:tcPr>
          <w:p>
            <w:pPr>
              <w:spacing w:after="0" w:before="0" w:line="240" w:lineRule="auto"/>
            </w:pPr>
            <w:r>
              <w:rPr>
                <w:sz w:val="13"/>
              </w:rPr>
              <w:t>Medium (sandbox: Low)</w:t>
            </w:r>
          </w:p>
        </w:tc>
        <w:tc>
          <w:tcPr>
            <w:tcW w:w="2235" w:type="dxa"/>
          </w:tcPr>
          <w:p>
            <w:pPr>
              <w:spacing w:after="0" w:before="0" w:line="240" w:lineRule="auto"/>
            </w:pPr>
            <w:r>
              <w:rPr>
                <w:sz w:val="13"/>
              </w:rPr>
              <w:t>Warning in the log and the UI; per-customer chains; truncation is detectable against the customer's anchor</w:t>
            </w:r>
          </w:p>
        </w:tc>
        <w:tc>
          <w:tcPr>
            <w:tcW w:w="1809" w:type="dxa"/>
          </w:tcPr>
          <w:p>
            <w:pPr>
              <w:spacing w:after="0" w:before="0" w:line="240" w:lineRule="auto"/>
            </w:pPr>
            <w:r>
              <w:rPr>
                <w:sz w:val="13"/>
              </w:rPr>
              <w:t>Asymmetric signatures, key rotation, external timestamping</w:t>
            </w:r>
          </w:p>
        </w:tc>
        <w:tc>
          <w:tcPr>
            <w:tcW w:w="745" w:type="dxa"/>
          </w:tcPr>
          <w:p>
            <w:pPr>
              <w:spacing w:after="0" w:before="0" w:line="240" w:lineRule="auto"/>
            </w:pPr>
            <w:r>
              <w:rPr>
                <w:sz w:val="13"/>
              </w:rPr>
              <w:t>Residual</w:t>
            </w:r>
          </w:p>
        </w:tc>
      </w:tr>
      <w:tr>
        <w:trPr>
          <w:cantSplit/>
        </w:trPr>
        <w:tc>
          <w:tcPr>
            <w:tcW w:w="585" w:type="dxa"/>
          </w:tcPr>
          <w:p>
            <w:pPr>
              <w:spacing w:after="0" w:before="0" w:line="240" w:lineRule="auto"/>
            </w:pPr>
            <w:r>
              <w:rPr>
                <w:sz w:val="13"/>
              </w:rPr>
              <w:t>R-06</w:t>
            </w:r>
          </w:p>
        </w:tc>
        <w:tc>
          <w:tcPr>
            <w:tcW w:w="2128" w:type="dxa"/>
          </w:tcPr>
          <w:p>
            <w:pPr>
              <w:spacing w:after="0" w:before="0" w:line="240" w:lineRule="auto"/>
            </w:pPr>
            <w:r>
              <w:rPr>
                <w:sz w:val="13"/>
              </w:rPr>
              <w:t xml:space="preserve">One enforcement point: </w:t>
            </w:r>
            <w:r>
              <w:rPr>
                <w:rFonts w:ascii="Consolas" w:hAnsi="Consolas" w:eastAsia="Consolas"/>
                <w:color w:val="2B3F77"/>
                <w:sz w:val="12"/>
              </w:rPr>
              <w:t>SandboxLedger.execute</w:t>
            </w:r>
            <w:r>
              <w:rPr>
                <w:sz w:val="13"/>
              </w:rPr>
              <w:t xml:space="preserve"> accepts </w:t>
            </w:r>
            <w:r>
              <w:rPr>
                <w:rFonts w:ascii="Consolas" w:hAnsi="Consolas" w:eastAsia="Consolas"/>
                <w:color w:val="2B3F77"/>
                <w:sz w:val="12"/>
              </w:rPr>
              <w:t>confirmation=None</w:t>
            </w:r>
            <w:r>
              <w:rPr>
                <w:sz w:val="13"/>
              </w:rPr>
              <w:t xml:space="preserve"> and re-checks no authorisation. State is in memory, with no lock between policy and execution</w:t>
            </w:r>
          </w:p>
        </w:tc>
        <w:tc>
          <w:tcPr>
            <w:tcW w:w="1436" w:type="dxa"/>
          </w:tcPr>
          <w:p>
            <w:pPr>
              <w:spacing w:after="0" w:before="0" w:line="240" w:lineRule="auto"/>
            </w:pPr>
            <w:r>
              <w:rPr>
                <w:sz w:val="13"/>
              </w:rPr>
              <w:t>A new caller that bypasses the orchestrator would move money ungated; a shared backend would have a race on limits</w:t>
            </w:r>
          </w:p>
        </w:tc>
        <w:tc>
          <w:tcPr>
            <w:tcW w:w="851" w:type="dxa"/>
          </w:tcPr>
          <w:p>
            <w:pPr>
              <w:spacing w:after="0" w:before="0" w:line="240" w:lineRule="auto"/>
            </w:pPr>
            <w:r>
              <w:rPr>
                <w:sz w:val="13"/>
              </w:rPr>
              <w:t>Medium (sandbox: Low)</w:t>
            </w:r>
          </w:p>
        </w:tc>
        <w:tc>
          <w:tcPr>
            <w:tcW w:w="2235" w:type="dxa"/>
          </w:tcPr>
          <w:p>
            <w:pPr>
              <w:spacing w:after="0" w:before="0" w:line="240" w:lineRule="auto"/>
            </w:pPr>
            <w:r>
              <w:rPr>
                <w:sz w:val="13"/>
              </w:rPr>
              <w:t>The orchestrator is the only caller; one backend per UI session; policy re-evaluated at confirmation</w:t>
            </w:r>
          </w:p>
        </w:tc>
        <w:tc>
          <w:tcPr>
            <w:tcW w:w="1809" w:type="dxa"/>
          </w:tcPr>
          <w:p>
            <w:pPr>
              <w:spacing w:after="0" w:before="0" w:line="240" w:lineRule="auto"/>
            </w:pPr>
            <w:r>
              <w:rPr>
                <w:sz w:val="13"/>
              </w:rPr>
              <w:t>The ledger should require a signed decision; a per-customer lock; a persistent store</w:t>
            </w:r>
          </w:p>
        </w:tc>
        <w:tc>
          <w:tcPr>
            <w:tcW w:w="745" w:type="dxa"/>
          </w:tcPr>
          <w:p>
            <w:pPr>
              <w:spacing w:after="0" w:before="0" w:line="240" w:lineRule="auto"/>
            </w:pPr>
            <w:r>
              <w:rPr>
                <w:sz w:val="13"/>
              </w:rPr>
              <w:t>Residual</w:t>
            </w:r>
          </w:p>
        </w:tc>
      </w:tr>
      <w:tr>
        <w:trPr>
          <w:cantSplit/>
        </w:trPr>
        <w:tc>
          <w:tcPr>
            <w:tcW w:w="585" w:type="dxa"/>
          </w:tcPr>
          <w:p>
            <w:pPr>
              <w:spacing w:after="0" w:before="0" w:line="240" w:lineRule="auto"/>
            </w:pPr>
            <w:r>
              <w:rPr>
                <w:sz w:val="13"/>
              </w:rPr>
              <w:t>R-07</w:t>
            </w:r>
          </w:p>
        </w:tc>
        <w:tc>
          <w:tcPr>
            <w:tcW w:w="2128" w:type="dxa"/>
          </w:tcPr>
          <w:p>
            <w:pPr>
              <w:spacing w:after="0" w:before="0" w:line="240" w:lineRule="auto"/>
            </w:pPr>
            <w:r>
              <w:rPr>
                <w:sz w:val="13"/>
              </w:rPr>
              <w:t>The injection guard knows English and French phrases only</w:t>
            </w:r>
          </w:p>
        </w:tc>
        <w:tc>
          <w:tcPr>
            <w:tcW w:w="1436" w:type="dxa"/>
          </w:tcPr>
          <w:p>
            <w:pPr>
              <w:spacing w:after="0" w:before="0" w:line="240" w:lineRule="auto"/>
            </w:pPr>
            <w:r>
              <w:rPr>
                <w:sz w:val="13"/>
              </w:rPr>
              <w:t>A missing warning</w:t>
            </w:r>
          </w:p>
        </w:tc>
        <w:tc>
          <w:tcPr>
            <w:tcW w:w="851" w:type="dxa"/>
          </w:tcPr>
          <w:p>
            <w:pPr>
              <w:spacing w:after="0" w:before="0" w:line="240" w:lineRule="auto"/>
            </w:pPr>
            <w:r>
              <w:rPr>
                <w:sz w:val="13"/>
              </w:rPr>
              <w:t>Low</w:t>
            </w:r>
          </w:p>
        </w:tc>
        <w:tc>
          <w:tcPr>
            <w:tcW w:w="2235" w:type="dxa"/>
          </w:tcPr>
          <w:p>
            <w:pPr>
              <w:spacing w:after="0" w:before="0" w:line="240" w:lineRule="auto"/>
            </w:pPr>
            <w:r>
              <w:rPr>
                <w:sz w:val="13"/>
              </w:rPr>
              <w:t>Three language-independent structural signals; no authorisation reads the guard</w:t>
            </w:r>
          </w:p>
        </w:tc>
        <w:tc>
          <w:tcPr>
            <w:tcW w:w="1809" w:type="dxa"/>
          </w:tcPr>
          <w:p>
            <w:pPr>
              <w:spacing w:after="0" w:before="0" w:line="240" w:lineRule="auto"/>
            </w:pPr>
            <w:r>
              <w:rPr>
                <w:sz w:val="13"/>
              </w:rPr>
              <w:t>A wider detector, measured blind</w:t>
            </w:r>
          </w:p>
        </w:tc>
        <w:tc>
          <w:tcPr>
            <w:tcW w:w="745" w:type="dxa"/>
          </w:tcPr>
          <w:p>
            <w:pPr>
              <w:spacing w:after="0" w:before="0" w:line="240" w:lineRule="auto"/>
            </w:pPr>
            <w:r>
              <w:rPr>
                <w:sz w:val="13"/>
              </w:rPr>
              <w:t>Residual</w:t>
            </w:r>
          </w:p>
        </w:tc>
      </w:tr>
      <w:tr>
        <w:trPr>
          <w:cantSplit/>
        </w:trPr>
        <w:tc>
          <w:tcPr>
            <w:tcW w:w="585" w:type="dxa"/>
          </w:tcPr>
          <w:p>
            <w:pPr>
              <w:spacing w:after="0" w:before="0" w:line="240" w:lineRule="auto"/>
            </w:pPr>
            <w:r>
              <w:rPr>
                <w:sz w:val="13"/>
              </w:rPr>
              <w:t>R-08</w:t>
            </w:r>
          </w:p>
        </w:tc>
        <w:tc>
          <w:tcPr>
            <w:tcW w:w="2128" w:type="dxa"/>
          </w:tcPr>
          <w:p>
            <w:pPr>
              <w:spacing w:after="0" w:before="0" w:line="240" w:lineRule="auto"/>
            </w:pPr>
            <w:r>
              <w:rPr>
                <w:sz w:val="13"/>
              </w:rPr>
              <w:t>Grounding checks that a value is in the user's text, not what it means</w:t>
            </w:r>
          </w:p>
        </w:tc>
        <w:tc>
          <w:tcPr>
            <w:tcW w:w="1436" w:type="dxa"/>
          </w:tcPr>
          <w:p>
            <w:pPr>
              <w:spacing w:after="0" w:before="0" w:line="240" w:lineRule="auto"/>
            </w:pPr>
            <w:r>
              <w:rPr>
                <w:sz w:val="13"/>
              </w:rPr>
              <w:t>A wrong but visible card, or a question</w:t>
            </w:r>
          </w:p>
        </w:tc>
        <w:tc>
          <w:tcPr>
            <w:tcW w:w="851" w:type="dxa"/>
          </w:tcPr>
          <w:p>
            <w:pPr>
              <w:spacing w:after="0" w:before="0" w:line="240" w:lineRule="auto"/>
            </w:pPr>
            <w:r>
              <w:rPr>
                <w:sz w:val="13"/>
              </w:rPr>
              <w:t>Medium</w:t>
            </w:r>
          </w:p>
        </w:tc>
        <w:tc>
          <w:tcPr>
            <w:tcW w:w="2235" w:type="dxa"/>
          </w:tcPr>
          <w:p>
            <w:pPr>
              <w:spacing w:after="0" w:before="0" w:line="240" w:lineRule="auto"/>
            </w:pPr>
            <w:r>
              <w:rPr>
                <w:sz w:val="13"/>
              </w:rPr>
              <w:t>Grounding on every parser; sanctions screen on the source text; the card shows the details before approval</w:t>
            </w:r>
          </w:p>
        </w:tc>
        <w:tc>
          <w:tcPr>
            <w:tcW w:w="1809" w:type="dxa"/>
          </w:tcPr>
          <w:p>
            <w:pPr>
              <w:spacing w:after="0" w:before="0" w:line="240" w:lineRule="auto"/>
            </w:pPr>
            <w:r>
              <w:rPr>
                <w:sz w:val="13"/>
              </w:rPr>
              <w:t>A blind extraction test set</w:t>
            </w:r>
          </w:p>
        </w:tc>
        <w:tc>
          <w:tcPr>
            <w:tcW w:w="745" w:type="dxa"/>
          </w:tcPr>
          <w:p>
            <w:pPr>
              <w:spacing w:after="0" w:before="0" w:line="240" w:lineRule="auto"/>
            </w:pPr>
            <w:r>
              <w:rPr>
                <w:sz w:val="13"/>
              </w:rPr>
              <w:t>Residual</w:t>
            </w:r>
          </w:p>
        </w:tc>
      </w:tr>
      <w:tr>
        <w:trPr>
          <w:cantSplit/>
        </w:trPr>
        <w:tc>
          <w:tcPr>
            <w:tcW w:w="585" w:type="dxa"/>
          </w:tcPr>
          <w:p>
            <w:pPr>
              <w:spacing w:after="0" w:before="0" w:line="240" w:lineRule="auto"/>
            </w:pPr>
            <w:r>
              <w:rPr>
                <w:sz w:val="13"/>
              </w:rPr>
              <w:t>R-09</w:t>
            </w:r>
          </w:p>
        </w:tc>
        <w:tc>
          <w:tcPr>
            <w:tcW w:w="2128" w:type="dxa"/>
          </w:tcPr>
          <w:p>
            <w:pPr>
              <w:spacing w:after="0" w:before="0" w:line="240" w:lineRule="auto"/>
            </w:pPr>
            <w:r>
              <w:rPr>
                <w:sz w:val="13"/>
              </w:rPr>
              <w:t>No hosted or frontier model measured; Qwen measured once; the rules parser scores 0/5 on non-English</w:t>
            </w:r>
          </w:p>
        </w:tc>
        <w:tc>
          <w:tcPr>
            <w:tcW w:w="1436" w:type="dxa"/>
          </w:tcPr>
          <w:p>
            <w:pPr>
              <w:spacing w:after="0" w:before="0" w:line="240" w:lineRule="auto"/>
            </w:pPr>
            <w:r>
              <w:rPr>
                <w:sz w:val="13"/>
              </w:rPr>
              <w:t>Unknown failure modes with other models</w:t>
            </w:r>
          </w:p>
        </w:tc>
        <w:tc>
          <w:tcPr>
            <w:tcW w:w="851" w:type="dxa"/>
          </w:tcPr>
          <w:p>
            <w:pPr>
              <w:spacing w:after="0" w:before="0" w:line="240" w:lineRule="auto"/>
            </w:pPr>
            <w:r>
              <w:rPr>
                <w:sz w:val="13"/>
              </w:rPr>
              <w:t>Medium</w:t>
            </w:r>
          </w:p>
        </w:tc>
        <w:tc>
          <w:tcPr>
            <w:tcW w:w="2235" w:type="dxa"/>
          </w:tcPr>
          <w:p>
            <w:pPr>
              <w:spacing w:after="0" w:before="0" w:line="240" w:lineRule="auto"/>
            </w:pPr>
            <w:r>
              <w:rPr>
                <w:sz w:val="13"/>
              </w:rPr>
              <w:t>The same gates apply to any model; fallback to the rules</w:t>
            </w:r>
          </w:p>
        </w:tc>
        <w:tc>
          <w:tcPr>
            <w:tcW w:w="1809" w:type="dxa"/>
          </w:tcPr>
          <w:p>
            <w:pPr>
              <w:spacing w:after="0" w:before="0" w:line="240" w:lineRule="auto"/>
            </w:pPr>
            <w:r>
              <w:rPr>
                <w:sz w:val="13"/>
              </w:rPr>
              <w:t>A blind run through the connector</w:t>
            </w:r>
          </w:p>
        </w:tc>
        <w:tc>
          <w:tcPr>
            <w:tcW w:w="745" w:type="dxa"/>
          </w:tcPr>
          <w:p>
            <w:pPr>
              <w:spacing w:after="0" w:before="0" w:line="240" w:lineRule="auto"/>
            </w:pPr>
            <w:r>
              <w:rPr>
                <w:sz w:val="13"/>
              </w:rPr>
              <w:t>Residual</w:t>
            </w:r>
          </w:p>
        </w:tc>
      </w:tr>
      <w:tr>
        <w:trPr>
          <w:cantSplit/>
        </w:trPr>
        <w:tc>
          <w:tcPr>
            <w:tcW w:w="585" w:type="dxa"/>
          </w:tcPr>
          <w:p>
            <w:pPr>
              <w:spacing w:after="0" w:before="0" w:line="240" w:lineRule="auto"/>
            </w:pPr>
            <w:r>
              <w:rPr>
                <w:sz w:val="13"/>
              </w:rPr>
              <w:t>R-10</w:t>
            </w:r>
          </w:p>
        </w:tc>
        <w:tc>
          <w:tcPr>
            <w:tcW w:w="2128" w:type="dxa"/>
          </w:tcPr>
          <w:p>
            <w:pPr>
              <w:spacing w:after="0" w:before="0" w:line="240" w:lineRule="auto"/>
            </w:pPr>
            <w:r>
              <w:rPr>
                <w:sz w:val="13"/>
              </w:rPr>
              <w:t>A connected remote model receives the messages and payee names; loopback URLs typed in the UI are accepted</w:t>
            </w:r>
          </w:p>
        </w:tc>
        <w:tc>
          <w:tcPr>
            <w:tcW w:w="1436" w:type="dxa"/>
          </w:tcPr>
          <w:p>
            <w:pPr>
              <w:spacing w:after="0" w:before="0" w:line="240" w:lineRule="auto"/>
            </w:pPr>
            <w:r>
              <w:rPr>
                <w:sz w:val="13"/>
              </w:rPr>
              <w:t>Data leaves the machine; requests to local services</w:t>
            </w:r>
          </w:p>
        </w:tc>
        <w:tc>
          <w:tcPr>
            <w:tcW w:w="851" w:type="dxa"/>
          </w:tcPr>
          <w:p>
            <w:pPr>
              <w:spacing w:after="0" w:before="0" w:line="240" w:lineRule="auto"/>
            </w:pPr>
            <w:r>
              <w:rPr>
                <w:sz w:val="13"/>
              </w:rPr>
              <w:t>Medium (sandbox: Low)</w:t>
            </w:r>
          </w:p>
        </w:tc>
        <w:tc>
          <w:tcPr>
            <w:tcW w:w="2235" w:type="dxa"/>
          </w:tcPr>
          <w:p>
            <w:pPr>
              <w:spacing w:after="0" w:before="0" w:line="240" w:lineRule="auto"/>
            </w:pPr>
            <w:r>
              <w:rPr>
                <w:sz w:val="13"/>
              </w:rPr>
              <w:t>Off by default; https and public-address check for remote hosts; key kept in the browser session; the UI says what is sent</w:t>
            </w:r>
          </w:p>
        </w:tc>
        <w:tc>
          <w:tcPr>
            <w:tcW w:w="1809" w:type="dxa"/>
          </w:tcPr>
          <w:p>
            <w:pPr>
              <w:spacing w:after="0" w:before="0" w:line="240" w:lineRule="auto"/>
            </w:pPr>
            <w:r>
              <w:rPr>
                <w:sz w:val="13"/>
              </w:rPr>
              <w:t>Data-processing terms; refuse loopback URLs typed in the UI unless the operator allows them</w:t>
            </w:r>
          </w:p>
        </w:tc>
        <w:tc>
          <w:tcPr>
            <w:tcW w:w="745" w:type="dxa"/>
          </w:tcPr>
          <w:p>
            <w:pPr>
              <w:spacing w:after="0" w:before="0" w:line="240" w:lineRule="auto"/>
            </w:pPr>
            <w:r>
              <w:rPr>
                <w:sz w:val="13"/>
              </w:rPr>
              <w:t>Residual</w:t>
            </w:r>
          </w:p>
        </w:tc>
      </w:tr>
      <w:tr>
        <w:trPr>
          <w:cantSplit/>
        </w:trPr>
        <w:tc>
          <w:tcPr>
            <w:tcW w:w="585" w:type="dxa"/>
          </w:tcPr>
          <w:p>
            <w:pPr>
              <w:spacing w:after="0" w:before="0" w:line="240" w:lineRule="auto"/>
            </w:pPr>
            <w:r>
              <w:rPr>
                <w:sz w:val="13"/>
              </w:rPr>
              <w:t>R-11</w:t>
            </w:r>
          </w:p>
        </w:tc>
        <w:tc>
          <w:tcPr>
            <w:tcW w:w="2128" w:type="dxa"/>
          </w:tcPr>
          <w:p>
            <w:pPr>
              <w:spacing w:after="0" w:before="0" w:line="240" w:lineRule="auto"/>
            </w:pPr>
            <w:r>
              <w:rPr>
                <w:sz w:val="13"/>
              </w:rPr>
              <w:t>Sanctions screening is a demonstration: two fictional names, one IBAN, a finite confusables table, no transliteration</w:t>
            </w:r>
          </w:p>
        </w:tc>
        <w:tc>
          <w:tcPr>
            <w:tcW w:w="1436" w:type="dxa"/>
          </w:tcPr>
          <w:p>
            <w:pPr>
              <w:spacing w:after="0" w:before="0" w:line="240" w:lineRule="auto"/>
            </w:pPr>
            <w:r>
              <w:rPr>
                <w:sz w:val="13"/>
              </w:rPr>
              <w:t>Misses and false blocks in real use</w:t>
            </w:r>
          </w:p>
        </w:tc>
        <w:tc>
          <w:tcPr>
            <w:tcW w:w="851" w:type="dxa"/>
          </w:tcPr>
          <w:p>
            <w:pPr>
              <w:spacing w:after="0" w:before="0" w:line="240" w:lineRule="auto"/>
            </w:pPr>
            <w:r>
              <w:rPr>
                <w:sz w:val="13"/>
              </w:rPr>
              <w:t>Medium</w:t>
            </w:r>
          </w:p>
        </w:tc>
        <w:tc>
          <w:tcPr>
            <w:tcW w:w="2235" w:type="dxa"/>
          </w:tcPr>
          <w:p>
            <w:pPr>
              <w:spacing w:after="0" w:before="0" w:line="240" w:lineRule="auto"/>
            </w:pPr>
            <w:r>
              <w:rPr>
                <w:sz w:val="13"/>
              </w:rPr>
              <w:t>Fails closed on letters that cannot be folded; spacing and leet variants</w:t>
            </w:r>
          </w:p>
        </w:tc>
        <w:tc>
          <w:tcPr>
            <w:tcW w:w="1809" w:type="dxa"/>
          </w:tcPr>
          <w:p>
            <w:pPr>
              <w:spacing w:after="0" w:before="0" w:line="240" w:lineRule="auto"/>
            </w:pPr>
            <w:r>
              <w:rPr>
                <w:sz w:val="13"/>
              </w:rPr>
              <w:t>A real list, UTS #39, fuzzy and transliteration matching, a manual-review queue</w:t>
            </w:r>
          </w:p>
        </w:tc>
        <w:tc>
          <w:tcPr>
            <w:tcW w:w="745" w:type="dxa"/>
          </w:tcPr>
          <w:p>
            <w:pPr>
              <w:spacing w:after="0" w:before="0" w:line="240" w:lineRule="auto"/>
            </w:pPr>
            <w:r>
              <w:rPr>
                <w:sz w:val="13"/>
              </w:rPr>
              <w:t>Residual</w:t>
            </w:r>
          </w:p>
        </w:tc>
      </w:tr>
      <w:tr>
        <w:trPr>
          <w:cantSplit/>
        </w:trPr>
        <w:tc>
          <w:tcPr>
            <w:tcW w:w="585" w:type="dxa"/>
          </w:tcPr>
          <w:p>
            <w:pPr>
              <w:spacing w:after="0" w:before="0" w:line="240" w:lineRule="auto"/>
            </w:pPr>
            <w:r>
              <w:rPr>
                <w:sz w:val="13"/>
              </w:rPr>
              <w:t>R-12</w:t>
            </w:r>
          </w:p>
        </w:tc>
        <w:tc>
          <w:tcPr>
            <w:tcW w:w="2128" w:type="dxa"/>
          </w:tcPr>
          <w:p>
            <w:pPr>
              <w:spacing w:after="0" w:before="0" w:line="240" w:lineRule="auto"/>
            </w:pPr>
            <w:r>
              <w:rPr>
                <w:sz w:val="13"/>
              </w:rPr>
              <w:t>Verification of Payee uses a fictional account-holder directory; a typed not-available IBAN is R3 only; a close match passes with the code</w:t>
            </w:r>
          </w:p>
        </w:tc>
        <w:tc>
          <w:tcPr>
            <w:tcW w:w="1436" w:type="dxa"/>
          </w:tcPr>
          <w:p>
            <w:pPr>
              <w:spacing w:after="0" w:before="0" w:line="240" w:lineRule="auto"/>
            </w:pPr>
            <w:r>
              <w:rPr>
                <w:sz w:val="13"/>
              </w:rPr>
              <w:t>A misdirected payee approved with the customer's code</w:t>
            </w:r>
          </w:p>
        </w:tc>
        <w:tc>
          <w:tcPr>
            <w:tcW w:w="851" w:type="dxa"/>
          </w:tcPr>
          <w:p>
            <w:pPr>
              <w:spacing w:after="0" w:before="0" w:line="240" w:lineRule="auto"/>
            </w:pPr>
            <w:r>
              <w:rPr>
                <w:sz w:val="13"/>
              </w:rPr>
              <w:t>Low</w:t>
            </w:r>
          </w:p>
        </w:tc>
        <w:tc>
          <w:tcPr>
            <w:tcW w:w="2235" w:type="dxa"/>
          </w:tcPr>
          <w:p>
            <w:pPr>
              <w:spacing w:after="0" w:before="0" w:line="240" w:lineRule="auto"/>
            </w:pPr>
            <w:r>
              <w:rPr>
                <w:sz w:val="13"/>
              </w:rPr>
              <w:t>R4 when the IBAN comes from a document; otherwise a warning and a code</w:t>
            </w:r>
          </w:p>
        </w:tc>
        <w:tc>
          <w:tcPr>
            <w:tcW w:w="1809" w:type="dxa"/>
          </w:tcPr>
          <w:p>
            <w:pPr>
              <w:spacing w:after="0" w:before="0" w:line="240" w:lineRule="auto"/>
            </w:pPr>
            <w:r>
              <w:rPr>
                <w:sz w:val="13"/>
              </w:rPr>
              <w:t>A real Verification of Payee scheme</w:t>
            </w:r>
          </w:p>
        </w:tc>
        <w:tc>
          <w:tcPr>
            <w:tcW w:w="745" w:type="dxa"/>
          </w:tcPr>
          <w:p>
            <w:pPr>
              <w:spacing w:after="0" w:before="0" w:line="240" w:lineRule="auto"/>
            </w:pPr>
            <w:r>
              <w:rPr>
                <w:sz w:val="13"/>
              </w:rPr>
              <w:t>Residual</w:t>
            </w:r>
          </w:p>
        </w:tc>
      </w:tr>
      <w:tr>
        <w:trPr>
          <w:cantSplit/>
        </w:trPr>
        <w:tc>
          <w:tcPr>
            <w:tcW w:w="585" w:type="dxa"/>
          </w:tcPr>
          <w:p>
            <w:pPr>
              <w:spacing w:after="0" w:before="0" w:line="240" w:lineRule="auto"/>
            </w:pPr>
            <w:r>
              <w:rPr>
                <w:sz w:val="13"/>
              </w:rPr>
              <w:t>R-13</w:t>
            </w:r>
          </w:p>
        </w:tc>
        <w:tc>
          <w:tcPr>
            <w:tcW w:w="2128" w:type="dxa"/>
          </w:tcPr>
          <w:p>
            <w:pPr>
              <w:spacing w:after="0" w:before="0" w:line="240" w:lineRule="auto"/>
            </w:pPr>
            <w:r>
              <w:rPr>
                <w:sz w:val="13"/>
              </w:rPr>
              <w:t>Structuring detection covers one payee and one 24 h window</w:t>
            </w:r>
          </w:p>
        </w:tc>
        <w:tc>
          <w:tcPr>
            <w:tcW w:w="1436" w:type="dxa"/>
          </w:tcPr>
          <w:p>
            <w:pPr>
              <w:spacing w:after="0" w:before="0" w:line="240" w:lineRule="auto"/>
            </w:pPr>
            <w:r>
              <w:rPr>
                <w:sz w:val="13"/>
              </w:rPr>
              <w:t>Splitting across payees or days is not detected</w:t>
            </w:r>
          </w:p>
        </w:tc>
        <w:tc>
          <w:tcPr>
            <w:tcW w:w="851" w:type="dxa"/>
          </w:tcPr>
          <w:p>
            <w:pPr>
              <w:spacing w:after="0" w:before="0" w:line="240" w:lineRule="auto"/>
            </w:pPr>
            <w:r>
              <w:rPr>
                <w:sz w:val="13"/>
              </w:rPr>
              <w:t>Medium</w:t>
            </w:r>
          </w:p>
        </w:tc>
        <w:tc>
          <w:tcPr>
            <w:tcW w:w="2235" w:type="dxa"/>
          </w:tcPr>
          <w:p>
            <w:pPr>
              <w:spacing w:after="0" w:before="0" w:line="240" w:lineRule="auto"/>
            </w:pPr>
            <w:r>
              <w:rPr>
                <w:sz w:val="13"/>
              </w:rPr>
              <w:t>Step-up and an event for the covered case</w:t>
            </w:r>
          </w:p>
        </w:tc>
        <w:tc>
          <w:tcPr>
            <w:tcW w:w="1809" w:type="dxa"/>
          </w:tcPr>
          <w:p>
            <w:pPr>
              <w:spacing w:after="0" w:before="0" w:line="240" w:lineRule="auto"/>
            </w:pPr>
            <w:r>
              <w:rPr>
                <w:sz w:val="13"/>
              </w:rPr>
              <w:t>Cross-payee, multi-day analytics</w:t>
            </w:r>
          </w:p>
        </w:tc>
        <w:tc>
          <w:tcPr>
            <w:tcW w:w="745" w:type="dxa"/>
          </w:tcPr>
          <w:p>
            <w:pPr>
              <w:spacing w:after="0" w:before="0" w:line="240" w:lineRule="auto"/>
            </w:pPr>
            <w:r>
              <w:rPr>
                <w:sz w:val="13"/>
              </w:rPr>
              <w:t>Residual</w:t>
            </w:r>
          </w:p>
        </w:tc>
      </w:tr>
      <w:tr>
        <w:trPr>
          <w:cantSplit/>
        </w:trPr>
        <w:tc>
          <w:tcPr>
            <w:tcW w:w="585" w:type="dxa"/>
          </w:tcPr>
          <w:p>
            <w:pPr>
              <w:spacing w:after="0" w:before="0" w:line="240" w:lineRule="auto"/>
            </w:pPr>
            <w:r>
              <w:rPr>
                <w:sz w:val="13"/>
              </w:rPr>
              <w:t>R-14</w:t>
            </w:r>
          </w:p>
        </w:tc>
        <w:tc>
          <w:tcPr>
            <w:tcW w:w="2128" w:type="dxa"/>
          </w:tcPr>
          <w:p>
            <w:pPr>
              <w:spacing w:after="0" w:before="0" w:line="240" w:lineRule="auto"/>
            </w:pPr>
            <w:r>
              <w:rPr>
                <w:sz w:val="13"/>
              </w:rPr>
              <w:t>The user approves a malicious payee or payment (social engineering)</w:t>
            </w:r>
          </w:p>
        </w:tc>
        <w:tc>
          <w:tcPr>
            <w:tcW w:w="1436" w:type="dxa"/>
          </w:tcPr>
          <w:p>
            <w:pPr>
              <w:spacing w:after="0" w:before="0" w:line="240" w:lineRule="auto"/>
            </w:pPr>
            <w:r>
              <w:rPr>
                <w:sz w:val="13"/>
              </w:rPr>
              <w:t>Loss to a scammer</w:t>
            </w:r>
          </w:p>
        </w:tc>
        <w:tc>
          <w:tcPr>
            <w:tcW w:w="851" w:type="dxa"/>
          </w:tcPr>
          <w:p>
            <w:pPr>
              <w:spacing w:after="0" w:before="0" w:line="240" w:lineRule="auto"/>
            </w:pPr>
            <w:r>
              <w:rPr>
                <w:sz w:val="13"/>
              </w:rPr>
              <w:t>Medium</w:t>
            </w:r>
          </w:p>
        </w:tc>
        <w:tc>
          <w:tcPr>
            <w:tcW w:w="2235" w:type="dxa"/>
          </w:tcPr>
          <w:p>
            <w:pPr>
              <w:spacing w:after="0" w:before="0" w:line="240" w:lineRule="auto"/>
            </w:pPr>
            <w:r>
              <w:rPr>
                <w:sz w:val="13"/>
              </w:rPr>
              <w:t>72 h step-up for new payees, sanctions, Verification of Payee, name-collision check, caps, an explicit card</w:t>
            </w:r>
          </w:p>
        </w:tc>
        <w:tc>
          <w:tcPr>
            <w:tcW w:w="1809" w:type="dxa"/>
          </w:tcPr>
          <w:p>
            <w:pPr>
              <w:spacing w:after="0" w:before="0" w:line="240" w:lineRule="auto"/>
            </w:pPr>
            <w:r>
              <w:rPr>
                <w:sz w:val="13"/>
              </w:rPr>
              <w:t>A cool-off delay (not built)</w:t>
            </w:r>
          </w:p>
        </w:tc>
        <w:tc>
          <w:tcPr>
            <w:tcW w:w="745" w:type="dxa"/>
          </w:tcPr>
          <w:p>
            <w:pPr>
              <w:spacing w:after="0" w:before="0" w:line="240" w:lineRule="auto"/>
            </w:pPr>
            <w:r>
              <w:rPr>
                <w:sz w:val="13"/>
              </w:rPr>
              <w:t>Residual</w:t>
            </w:r>
          </w:p>
        </w:tc>
      </w:tr>
      <w:tr>
        <w:trPr>
          <w:cantSplit/>
        </w:trPr>
        <w:tc>
          <w:tcPr>
            <w:tcW w:w="585" w:type="dxa"/>
          </w:tcPr>
          <w:p>
            <w:pPr>
              <w:spacing w:after="0" w:before="0" w:line="240" w:lineRule="auto"/>
            </w:pPr>
            <w:r>
              <w:rPr>
                <w:sz w:val="13"/>
              </w:rPr>
              <w:t>R-15</w:t>
            </w:r>
          </w:p>
        </w:tc>
        <w:tc>
          <w:tcPr>
            <w:tcW w:w="2128" w:type="dxa"/>
          </w:tcPr>
          <w:p>
            <w:pPr>
              <w:spacing w:after="0" w:before="0" w:line="240" w:lineRule="auto"/>
            </w:pPr>
            <w:r>
              <w:rPr>
                <w:sz w:val="13"/>
              </w:rPr>
              <w:t>Frozen demo clock (</w:t>
            </w:r>
            <w:r>
              <w:rPr>
                <w:rFonts w:ascii="Consolas" w:hAnsi="Consolas" w:eastAsia="Consolas"/>
                <w:color w:val="2B3F77"/>
                <w:sz w:val="12"/>
              </w:rPr>
              <w:t>DEMO_NOW</w:t>
            </w:r>
            <w:r>
              <w:rPr>
                <w:sz w:val="13"/>
              </w:rPr>
              <w:t>)</w:t>
            </w:r>
          </w:p>
        </w:tc>
        <w:tc>
          <w:tcPr>
            <w:tcW w:w="1436" w:type="dxa"/>
          </w:tcPr>
          <w:p>
            <w:pPr>
              <w:spacing w:after="0" w:before="0" w:line="240" w:lineRule="auto"/>
            </w:pPr>
            <w:r>
              <w:rPr>
                <w:sz w:val="13"/>
              </w:rPr>
              <w:t>Quote expiry, the 72 h window and the daily reset are never exercised in real time</w:t>
            </w:r>
          </w:p>
        </w:tc>
        <w:tc>
          <w:tcPr>
            <w:tcW w:w="851" w:type="dxa"/>
          </w:tcPr>
          <w:p>
            <w:pPr>
              <w:spacing w:after="0" w:before="0" w:line="240" w:lineRule="auto"/>
            </w:pPr>
            <w:r>
              <w:rPr>
                <w:sz w:val="13"/>
              </w:rPr>
              <w:t>Low</w:t>
            </w:r>
          </w:p>
        </w:tc>
        <w:tc>
          <w:tcPr>
            <w:tcW w:w="2235" w:type="dxa"/>
          </w:tcPr>
          <w:p>
            <w:pPr>
              <w:spacing w:after="0" w:before="0" w:line="240" w:lineRule="auto"/>
            </w:pPr>
            <w:r>
              <w:rPr>
                <w:sz w:val="13"/>
              </w:rPr>
              <w:t>Unit tests with chosen clocks</w:t>
            </w:r>
          </w:p>
        </w:tc>
        <w:tc>
          <w:tcPr>
            <w:tcW w:w="1809" w:type="dxa"/>
          </w:tcPr>
          <w:p>
            <w:pPr>
              <w:spacing w:after="0" w:before="0" w:line="240" w:lineRule="auto"/>
            </w:pPr>
            <w:r>
              <w:rPr>
                <w:sz w:val="13"/>
              </w:rPr>
              <w:t>A real clock</w:t>
            </w:r>
          </w:p>
        </w:tc>
        <w:tc>
          <w:tcPr>
            <w:tcW w:w="745" w:type="dxa"/>
          </w:tcPr>
          <w:p>
            <w:pPr>
              <w:spacing w:after="0" w:before="0" w:line="240" w:lineRule="auto"/>
            </w:pPr>
            <w:r>
              <w:rPr>
                <w:sz w:val="13"/>
              </w:rPr>
              <w:t>Residual</w:t>
            </w:r>
          </w:p>
        </w:tc>
      </w:tr>
      <w:tr>
        <w:trPr>
          <w:cantSplit/>
        </w:trPr>
        <w:tc>
          <w:tcPr>
            <w:tcW w:w="585" w:type="dxa"/>
          </w:tcPr>
          <w:p>
            <w:pPr>
              <w:spacing w:after="0" w:before="0" w:line="240" w:lineRule="auto"/>
            </w:pPr>
            <w:r>
              <w:rPr>
                <w:sz w:val="13"/>
              </w:rPr>
              <w:t>R-16</w:t>
            </w:r>
          </w:p>
        </w:tc>
        <w:tc>
          <w:tcPr>
            <w:tcW w:w="2128" w:type="dxa"/>
          </w:tcPr>
          <w:p>
            <w:pPr>
              <w:spacing w:after="0" w:before="0" w:line="240" w:lineRule="auto"/>
            </w:pPr>
            <w:r>
              <w:rPr>
                <w:sz w:val="13"/>
              </w:rPr>
              <w:t>Receipt payloads are plain text; no encryption at rest; no erasure</w:t>
            </w:r>
          </w:p>
        </w:tc>
        <w:tc>
          <w:tcPr>
            <w:tcW w:w="1436" w:type="dxa"/>
          </w:tcPr>
          <w:p>
            <w:pPr>
              <w:spacing w:after="0" w:before="0" w:line="240" w:lineRule="auto"/>
            </w:pPr>
            <w:r>
              <w:rPr>
                <w:sz w:val="13"/>
              </w:rPr>
              <w:t>Privacy, in a real deployment</w:t>
            </w:r>
          </w:p>
        </w:tc>
        <w:tc>
          <w:tcPr>
            <w:tcW w:w="851" w:type="dxa"/>
          </w:tcPr>
          <w:p>
            <w:pPr>
              <w:spacing w:after="0" w:before="0" w:line="240" w:lineRule="auto"/>
            </w:pPr>
            <w:r>
              <w:rPr>
                <w:sz w:val="13"/>
              </w:rPr>
              <w:t>Low (synthetic data)</w:t>
            </w:r>
          </w:p>
        </w:tc>
        <w:tc>
          <w:tcPr>
            <w:tcW w:w="2235" w:type="dxa"/>
          </w:tcPr>
          <w:p>
            <w:pPr>
              <w:spacing w:after="0" w:before="0" w:line="240" w:lineRule="auto"/>
            </w:pPr>
            <w:r>
              <w:rPr>
                <w:sz w:val="13"/>
              </w:rPr>
              <w:t>In memory by default; the audit log is masked</w:t>
            </w:r>
          </w:p>
        </w:tc>
        <w:tc>
          <w:tcPr>
            <w:tcW w:w="1809" w:type="dxa"/>
          </w:tcPr>
          <w:p>
            <w:pPr>
              <w:spacing w:after="0" w:before="0" w:line="240" w:lineRule="auto"/>
            </w:pPr>
            <w:r>
              <w:rPr>
                <w:sz w:val="13"/>
              </w:rPr>
              <w:t>A hash-only chain with encrypted, erasable payloads</w:t>
            </w:r>
          </w:p>
        </w:tc>
        <w:tc>
          <w:tcPr>
            <w:tcW w:w="745" w:type="dxa"/>
          </w:tcPr>
          <w:p>
            <w:pPr>
              <w:spacing w:after="0" w:before="0" w:line="240" w:lineRule="auto"/>
            </w:pPr>
            <w:r>
              <w:rPr>
                <w:sz w:val="13"/>
              </w:rPr>
              <w:t>Residual</w:t>
            </w:r>
          </w:p>
        </w:tc>
      </w:tr>
      <w:tr>
        <w:trPr>
          <w:cantSplit/>
        </w:trPr>
        <w:tc>
          <w:tcPr>
            <w:tcW w:w="585" w:type="dxa"/>
          </w:tcPr>
          <w:p>
            <w:pPr>
              <w:spacing w:after="0" w:before="0" w:line="240" w:lineRule="auto"/>
            </w:pPr>
            <w:r>
              <w:rPr>
                <w:sz w:val="13"/>
              </w:rPr>
              <w:t>R-17</w:t>
            </w:r>
          </w:p>
        </w:tc>
        <w:tc>
          <w:tcPr>
            <w:tcW w:w="2128" w:type="dxa"/>
          </w:tcPr>
          <w:p>
            <w:pPr>
              <w:spacing w:after="0" w:before="0" w:line="240" w:lineRule="auto"/>
            </w:pPr>
            <w:r>
              <w:rPr>
                <w:sz w:val="13"/>
              </w:rPr>
              <w:t>Results after the frozen runs are regression results, not blind</w:t>
            </w:r>
          </w:p>
        </w:tc>
        <w:tc>
          <w:tcPr>
            <w:tcW w:w="1436" w:type="dxa"/>
          </w:tcPr>
          <w:p>
            <w:pPr>
              <w:spacing w:after="0" w:before="0" w:line="240" w:lineRule="auto"/>
            </w:pPr>
            <w:r>
              <w:rPr>
                <w:sz w:val="13"/>
              </w:rPr>
              <w:t>No current generalisation estimate</w:t>
            </w:r>
          </w:p>
        </w:tc>
        <w:tc>
          <w:tcPr>
            <w:tcW w:w="851" w:type="dxa"/>
          </w:tcPr>
          <w:p>
            <w:pPr>
              <w:spacing w:after="0" w:before="0" w:line="240" w:lineRule="auto"/>
            </w:pPr>
            <w:r>
              <w:rPr>
                <w:sz w:val="13"/>
              </w:rPr>
              <w:t>n/a</w:t>
            </w:r>
          </w:p>
        </w:tc>
        <w:tc>
          <w:tcPr>
            <w:tcW w:w="2235" w:type="dxa"/>
          </w:tcPr>
          <w:p>
            <w:pPr>
              <w:spacing w:after="0" w:before="0" w:line="240" w:lineRule="auto"/>
            </w:pPr>
            <w:r>
              <w:rPr>
                <w:sz w:val="13"/>
              </w:rPr>
              <w:t>The frozen blind runs are reported separately</w:t>
            </w:r>
          </w:p>
        </w:tc>
        <w:tc>
          <w:tcPr>
            <w:tcW w:w="1809" w:type="dxa"/>
          </w:tcPr>
          <w:p>
            <w:pPr>
              <w:spacing w:after="0" w:before="0" w:line="240" w:lineRule="auto"/>
            </w:pPr>
            <w:r>
              <w:rPr>
                <w:sz w:val="13"/>
              </w:rPr>
              <w:t>A new blind set</w:t>
            </w:r>
          </w:p>
        </w:tc>
        <w:tc>
          <w:tcPr>
            <w:tcW w:w="745" w:type="dxa"/>
          </w:tcPr>
          <w:p>
            <w:pPr>
              <w:spacing w:after="0" w:before="0" w:line="240" w:lineRule="auto"/>
            </w:pPr>
            <w:r>
              <w:rPr>
                <w:sz w:val="13"/>
              </w:rPr>
              <w:t>Residual</w:t>
            </w:r>
          </w:p>
        </w:tc>
      </w:tr>
      <w:tr>
        <w:trPr>
          <w:cantSplit/>
        </w:trPr>
        <w:tc>
          <w:tcPr>
            <w:tcW w:w="585" w:type="dxa"/>
          </w:tcPr>
          <w:p>
            <w:pPr>
              <w:spacing w:after="0" w:before="0" w:line="240" w:lineRule="auto"/>
            </w:pPr>
            <w:r>
              <w:rPr>
                <w:sz w:val="13"/>
              </w:rPr>
              <w:t>R-18</w:t>
            </w:r>
          </w:p>
        </w:tc>
        <w:tc>
          <w:tcPr>
            <w:tcW w:w="2128" w:type="dxa"/>
          </w:tcPr>
          <w:p>
            <w:pPr>
              <w:spacing w:after="0" w:before="0" w:line="240" w:lineRule="auto"/>
            </w:pPr>
            <w:r>
              <w:rPr>
                <w:sz w:val="13"/>
              </w:rPr>
              <w:t>No rate limiting on the UI or the API; sessions never expire; replays of one approval inside a session each add a signed receipt</w:t>
            </w:r>
          </w:p>
        </w:tc>
        <w:tc>
          <w:tcPr>
            <w:tcW w:w="1436" w:type="dxa"/>
          </w:tcPr>
          <w:p>
            <w:pPr>
              <w:spacing w:after="0" w:before="0" w:line="240" w:lineRule="auto"/>
            </w:pPr>
            <w:r>
              <w:rPr>
                <w:sz w:val="13"/>
              </w:rPr>
              <w:t>Denial of service</w:t>
            </w:r>
          </w:p>
        </w:tc>
        <w:tc>
          <w:tcPr>
            <w:tcW w:w="851" w:type="dxa"/>
          </w:tcPr>
          <w:p>
            <w:pPr>
              <w:spacing w:after="0" w:before="0" w:line="240" w:lineRule="auto"/>
            </w:pPr>
            <w:r>
              <w:rPr>
                <w:sz w:val="13"/>
              </w:rPr>
              <w:t>Low</w:t>
            </w:r>
          </w:p>
        </w:tc>
        <w:tc>
          <w:tcPr>
            <w:tcW w:w="2235" w:type="dxa"/>
          </w:tcPr>
          <w:p>
            <w:pPr>
              <w:spacing w:after="0" w:before="0" w:line="240" w:lineRule="auto"/>
            </w:pPr>
            <w:r>
              <w:rPr>
                <w:sz w:val="13"/>
              </w:rPr>
              <w:t>2,000-character limit; 64 KiB API body; 1 MB upload; 50 sessions per customer and 200 per server</w:t>
            </w:r>
          </w:p>
        </w:tc>
        <w:tc>
          <w:tcPr>
            <w:tcW w:w="1809" w:type="dxa"/>
          </w:tcPr>
          <w:p>
            <w:pPr>
              <w:spacing w:after="0" w:before="0" w:line="240" w:lineRule="auto"/>
            </w:pPr>
            <w:r>
              <w:rPr>
                <w:sz w:val="13"/>
              </w:rPr>
              <w:t>Rate limits</w:t>
            </w:r>
          </w:p>
        </w:tc>
        <w:tc>
          <w:tcPr>
            <w:tcW w:w="745" w:type="dxa"/>
          </w:tcPr>
          <w:p>
            <w:pPr>
              <w:spacing w:after="0" w:before="0" w:line="240" w:lineRule="auto"/>
            </w:pPr>
            <w:r>
              <w:rPr>
                <w:sz w:val="13"/>
              </w:rPr>
              <w:t>Residual</w:t>
            </w:r>
          </w:p>
        </w:tc>
      </w:tr>
      <w:tr>
        <w:trPr>
          <w:cantSplit/>
        </w:trPr>
        <w:tc>
          <w:tcPr>
            <w:tcW w:w="585" w:type="dxa"/>
          </w:tcPr>
          <w:p>
            <w:pPr>
              <w:spacing w:after="0" w:before="0" w:line="240" w:lineRule="auto"/>
            </w:pPr>
            <w:r>
              <w:rPr>
                <w:sz w:val="13"/>
              </w:rPr>
              <w:t>R-19</w:t>
            </w:r>
          </w:p>
        </w:tc>
        <w:tc>
          <w:tcPr>
            <w:tcW w:w="2128" w:type="dxa"/>
          </w:tcPr>
          <w:p>
            <w:pPr>
              <w:spacing w:after="0" w:before="0" w:line="240" w:lineRule="auto"/>
            </w:pPr>
            <w:r>
              <w:rPr>
                <w:sz w:val="13"/>
              </w:rPr>
              <w:t>Supply chain</w:t>
            </w:r>
          </w:p>
        </w:tc>
        <w:tc>
          <w:tcPr>
            <w:tcW w:w="1436" w:type="dxa"/>
          </w:tcPr>
          <w:p>
            <w:pPr>
              <w:spacing w:after="0" w:before="0" w:line="240" w:lineRule="auto"/>
            </w:pPr>
            <w:r>
              <w:rPr>
                <w:sz w:val="13"/>
              </w:rPr>
              <w:t>A malicious dependency</w:t>
            </w:r>
          </w:p>
        </w:tc>
        <w:tc>
          <w:tcPr>
            <w:tcW w:w="851" w:type="dxa"/>
          </w:tcPr>
          <w:p>
            <w:pPr>
              <w:spacing w:after="0" w:before="0" w:line="240" w:lineRule="auto"/>
            </w:pPr>
            <w:r>
              <w:rPr>
                <w:sz w:val="13"/>
              </w:rPr>
              <w:t>Low</w:t>
            </w:r>
          </w:p>
        </w:tc>
        <w:tc>
          <w:tcPr>
            <w:tcW w:w="2235" w:type="dxa"/>
          </w:tcPr>
          <w:p>
            <w:pPr>
              <w:spacing w:after="0" w:before="0" w:line="240" w:lineRule="auto"/>
            </w:pPr>
            <w:r>
              <w:rPr>
                <w:sz w:val="13"/>
              </w:rPr>
              <w:t>Hash-pinned lock files; Docker base image pinned by digest; pip-audit in CI; Dependabot</w:t>
            </w:r>
          </w:p>
        </w:tc>
        <w:tc>
          <w:tcPr>
            <w:tcW w:w="1809" w:type="dxa"/>
          </w:tcPr>
          <w:p>
            <w:pPr>
              <w:spacing w:after="0" w:before="0" w:line="240" w:lineRule="auto"/>
            </w:pPr>
            <w:r>
              <w:rPr>
                <w:sz w:val="13"/>
              </w:rPr>
              <w:t>A software bill of materials</w:t>
            </w:r>
          </w:p>
        </w:tc>
        <w:tc>
          <w:tcPr>
            <w:tcW w:w="745" w:type="dxa"/>
          </w:tcPr>
          <w:p>
            <w:pPr>
              <w:spacing w:after="0" w:before="0" w:line="240" w:lineRule="auto"/>
            </w:pPr>
            <w:r>
              <w:rPr>
                <w:sz w:val="13"/>
              </w:rPr>
              <w:t>Mitigated</w:t>
            </w:r>
          </w:p>
        </w:tc>
      </w:tr>
      <w:tr>
        <w:trPr>
          <w:cantSplit/>
        </w:trPr>
        <w:tc>
          <w:tcPr>
            <w:tcW w:w="585" w:type="dxa"/>
          </w:tcPr>
          <w:p>
            <w:pPr>
              <w:spacing w:after="0" w:before="0" w:line="240" w:lineRule="auto"/>
            </w:pPr>
            <w:r>
              <w:rPr>
                <w:sz w:val="13"/>
              </w:rPr>
              <w:t>R-20</w:t>
            </w:r>
          </w:p>
        </w:tc>
        <w:tc>
          <w:tcPr>
            <w:tcW w:w="2128" w:type="dxa"/>
          </w:tcPr>
          <w:p>
            <w:pPr>
              <w:spacing w:after="0" w:before="0" w:line="240" w:lineRule="auto"/>
            </w:pPr>
            <w:r>
              <w:rPr>
                <w:sz w:val="13"/>
              </w:rPr>
              <w:t>One demo persona and one currency pair; a local model call takes seconds (Section 12.4)</w:t>
            </w:r>
          </w:p>
        </w:tc>
        <w:tc>
          <w:tcPr>
            <w:tcW w:w="1436" w:type="dxa"/>
          </w:tcPr>
          <w:p>
            <w:pPr>
              <w:spacing w:after="0" w:before="0" w:line="240" w:lineRule="auto"/>
            </w:pPr>
            <w:r>
              <w:rPr>
                <w:sz w:val="13"/>
              </w:rPr>
              <w:t>Narrow coverage; slower than the rules</w:t>
            </w:r>
          </w:p>
        </w:tc>
        <w:tc>
          <w:tcPr>
            <w:tcW w:w="851" w:type="dxa"/>
          </w:tcPr>
          <w:p>
            <w:pPr>
              <w:spacing w:after="0" w:before="0" w:line="240" w:lineRule="auto"/>
            </w:pPr>
            <w:r>
              <w:rPr>
                <w:sz w:val="13"/>
              </w:rPr>
              <w:t>Low</w:t>
            </w:r>
          </w:p>
        </w:tc>
        <w:tc>
          <w:tcPr>
            <w:tcW w:w="2235" w:type="dxa"/>
          </w:tcPr>
          <w:p>
            <w:pPr>
              <w:spacing w:after="0" w:before="0" w:line="240" w:lineRule="auto"/>
            </w:pPr>
            <w:r>
              <w:rPr>
                <w:sz w:val="13"/>
              </w:rPr>
              <w:t>The cascade calls a model only when the rules cannot read the message</w:t>
            </w:r>
          </w:p>
        </w:tc>
        <w:tc>
          <w:tcPr>
            <w:tcW w:w="1809" w:type="dxa"/>
          </w:tcPr>
          <w:p>
            <w:pPr>
              <w:spacing w:after="0" w:before="0" w:line="240" w:lineRule="auto"/>
            </w:pPr>
            <w:r>
              <w:rPr>
                <w:sz w:val="13"/>
              </w:rPr>
              <w:t>More personas and currencies</w:t>
            </w:r>
          </w:p>
        </w:tc>
        <w:tc>
          <w:tcPr>
            <w:tcW w:w="745" w:type="dxa"/>
          </w:tcPr>
          <w:p>
            <w:pPr>
              <w:spacing w:after="0" w:before="0" w:line="240" w:lineRule="auto"/>
            </w:pPr>
            <w:r>
              <w:rPr>
                <w:sz w:val="13"/>
              </w:rPr>
              <w:t>Residual</w:t>
            </w:r>
          </w:p>
        </w:tc>
      </w:tr>
      <w:tr>
        <w:trPr>
          <w:cantSplit/>
        </w:trPr>
        <w:tc>
          <w:tcPr>
            <w:tcW w:w="585" w:type="dxa"/>
          </w:tcPr>
          <w:p>
            <w:pPr>
              <w:spacing w:after="0" w:before="0" w:line="240" w:lineRule="auto"/>
            </w:pPr>
            <w:r>
              <w:rPr>
                <w:sz w:val="13"/>
              </w:rPr>
              <w:t>R-24</w:t>
            </w:r>
          </w:p>
        </w:tc>
        <w:tc>
          <w:tcPr>
            <w:tcW w:w="2128" w:type="dxa"/>
          </w:tcPr>
          <w:p>
            <w:pPr>
              <w:spacing w:after="0" w:before="0" w:line="240" w:lineRule="auto"/>
            </w:pPr>
            <w:r>
              <w:rPr>
                <w:sz w:val="13"/>
              </w:rPr>
              <w:t>The check that a remote model endpoint resolves to public addresses and the connection itself resolve the name twice: a name that answers with a public address first and 127.0.0.1 afterwards (DNS rebinding) passes the check (simulated in the review by patching the resolver)</w:t>
            </w:r>
          </w:p>
        </w:tc>
        <w:tc>
          <w:tcPr>
            <w:tcW w:w="1436" w:type="dxa"/>
          </w:tcPr>
          <w:p>
            <w:pPr>
              <w:spacing w:after="0" w:before="0" w:line="240" w:lineRule="auto"/>
            </w:pPr>
            <w:r>
              <w:rPr>
                <w:sz w:val="13"/>
              </w:rPr>
              <w:t>Blind connection and port probing of the operator's machine over https; the certificate check limits what can be read</w:t>
            </w:r>
          </w:p>
        </w:tc>
        <w:tc>
          <w:tcPr>
            <w:tcW w:w="851" w:type="dxa"/>
          </w:tcPr>
          <w:p>
            <w:pPr>
              <w:spacing w:after="0" w:before="0" w:line="240" w:lineRule="auto"/>
            </w:pPr>
            <w:r>
              <w:rPr>
                <w:sz w:val="13"/>
              </w:rPr>
              <w:t>Low</w:t>
            </w:r>
          </w:p>
        </w:tc>
        <w:tc>
          <w:tcPr>
            <w:tcW w:w="2235" w:type="dxa"/>
          </w:tcPr>
          <w:p>
            <w:pPr>
              <w:spacing w:after="0" w:before="0" w:line="240" w:lineRule="auto"/>
            </w:pPr>
            <w:r>
              <w:rPr>
                <w:sz w:val="13"/>
              </w:rPr>
              <w:t>https is required off loopback and the certificate must match; the check runs at every call; redirects are off; the reply is capped</w:t>
            </w:r>
          </w:p>
        </w:tc>
        <w:tc>
          <w:tcPr>
            <w:tcW w:w="1809" w:type="dxa"/>
          </w:tcPr>
          <w:p>
            <w:pPr>
              <w:spacing w:after="0" w:before="0" w:line="240" w:lineRule="auto"/>
            </w:pPr>
            <w:r>
              <w:rPr>
                <w:sz w:val="13"/>
              </w:rPr>
              <w:t>Connect to the address that was checked, keeping the host name for TLS</w:t>
            </w:r>
          </w:p>
        </w:tc>
        <w:tc>
          <w:tcPr>
            <w:tcW w:w="745" w:type="dxa"/>
          </w:tcPr>
          <w:p>
            <w:pPr>
              <w:spacing w:after="0" w:before="0" w:line="240" w:lineRule="auto"/>
            </w:pPr>
            <w:r>
              <w:rPr>
                <w:sz w:val="13"/>
              </w:rPr>
              <w:t>Residual</w:t>
            </w:r>
          </w:p>
        </w:tc>
      </w:tr>
      <w:tr>
        <w:trPr>
          <w:cantSplit/>
        </w:trPr>
        <w:tc>
          <w:tcPr>
            <w:tcW w:w="585" w:type="dxa"/>
          </w:tcPr>
          <w:p>
            <w:pPr>
              <w:spacing w:after="0" w:before="0" w:line="240" w:lineRule="auto"/>
            </w:pPr>
            <w:r>
              <w:rPr>
                <w:sz w:val="13"/>
              </w:rPr>
              <w:t>R-25</w:t>
            </w:r>
          </w:p>
        </w:tc>
        <w:tc>
          <w:tcPr>
            <w:tcW w:w="2128" w:type="dxa"/>
          </w:tcPr>
          <w:p>
            <w:pPr>
              <w:spacing w:after="0" w:before="0" w:line="240" w:lineRule="auto"/>
            </w:pPr>
            <w:r>
              <w:rPr>
                <w:sz w:val="13"/>
              </w:rPr>
              <w:t>The check that an IBAN comes from an attached document is a heuristic (letters and digits, any spacing). An IBAN written as a labelled breakdown (country, bank, sort code, account), with the letter O for zero, in Arabic-Indic digits or with a long separator is not recognised, so the payment asks for a code and shows a warning instead of being refused. It only fires when the invoice is attached to the message</w:t>
            </w:r>
          </w:p>
        </w:tc>
        <w:tc>
          <w:tcPr>
            <w:tcW w:w="1436" w:type="dxa"/>
          </w:tcPr>
          <w:p>
            <w:pPr>
              <w:spacing w:after="0" w:before="0" w:line="240" w:lineRule="auto"/>
            </w:pPr>
            <w:r>
              <w:rPr>
                <w:sz w:val="13"/>
              </w:rPr>
              <w:t>A document-supplied account can reach the code step instead of the refusal</w:t>
            </w:r>
          </w:p>
        </w:tc>
        <w:tc>
          <w:tcPr>
            <w:tcW w:w="851" w:type="dxa"/>
          </w:tcPr>
          <w:p>
            <w:pPr>
              <w:spacing w:after="0" w:before="0" w:line="240" w:lineRule="auto"/>
            </w:pPr>
            <w:r>
              <w:rPr>
                <w:sz w:val="13"/>
              </w:rPr>
              <w:t>Low</w:t>
            </w:r>
          </w:p>
        </w:tc>
        <w:tc>
          <w:tcPr>
            <w:tcW w:w="2235" w:type="dxa"/>
          </w:tcPr>
          <w:p>
            <w:pPr>
              <w:spacing w:after="0" w:before="0" w:line="240" w:lineRule="auto"/>
            </w:pPr>
            <w:r>
              <w:rPr>
                <w:sz w:val="13"/>
              </w:rPr>
              <w:t>Verification of Payee, the code step, the scam warning and the registry still apply; no payment goes to an unsaved account without a code</w:t>
            </w:r>
          </w:p>
        </w:tc>
        <w:tc>
          <w:tcPr>
            <w:tcW w:w="1809" w:type="dxa"/>
          </w:tcPr>
          <w:p>
            <w:pPr>
              <w:spacing w:after="0" w:before="0" w:line="240" w:lineRule="auto"/>
            </w:pPr>
            <w:r>
              <w:rPr>
                <w:sz w:val="13"/>
              </w:rPr>
              <w:t>Fold look-alike characters and match group by group</w:t>
            </w:r>
          </w:p>
        </w:tc>
        <w:tc>
          <w:tcPr>
            <w:tcW w:w="745" w:type="dxa"/>
          </w:tcPr>
          <w:p>
            <w:pPr>
              <w:spacing w:after="0" w:before="0" w:line="240" w:lineRule="auto"/>
            </w:pPr>
            <w:r>
              <w:rPr>
                <w:sz w:val="13"/>
              </w:rPr>
              <w:t>Residual</w:t>
            </w:r>
          </w:p>
        </w:tc>
      </w:tr>
      <w:tr>
        <w:trPr>
          <w:cantSplit/>
        </w:trPr>
        <w:tc>
          <w:tcPr>
            <w:tcW w:w="585" w:type="dxa"/>
          </w:tcPr>
          <w:p>
            <w:pPr>
              <w:spacing w:after="0" w:before="0" w:line="240" w:lineRule="auto"/>
            </w:pPr>
            <w:r>
              <w:rPr>
                <w:sz w:val="13"/>
              </w:rPr>
              <w:t>R-21</w:t>
            </w:r>
          </w:p>
        </w:tc>
        <w:tc>
          <w:tcPr>
            <w:tcW w:w="2128" w:type="dxa"/>
          </w:tcPr>
          <w:p>
            <w:pPr>
              <w:spacing w:after="0" w:before="0" w:line="240" w:lineRule="auto"/>
            </w:pPr>
            <w:r>
              <w:rPr>
                <w:sz w:val="13"/>
              </w:rPr>
              <w:t>The HTTP API holds one lock while a model reads a message, so a slow model delays every session of that server for up to the timeout (30 s); the cascade can take 60 s. Nothing remembers that a model is down, so each message pays the failed connection again (immediate on loopback, the timeout for a server that accepts and hangs)</w:t>
            </w:r>
          </w:p>
        </w:tc>
        <w:tc>
          <w:tcPr>
            <w:tcW w:w="1436" w:type="dxa"/>
          </w:tcPr>
          <w:p>
            <w:pPr>
              <w:spacing w:after="0" w:before="0" w:line="240" w:lineRule="auto"/>
            </w:pPr>
            <w:r>
              <w:rPr>
                <w:sz w:val="13"/>
              </w:rPr>
              <w:t>Denial of service on a shared server</w:t>
            </w:r>
          </w:p>
        </w:tc>
        <w:tc>
          <w:tcPr>
            <w:tcW w:w="851" w:type="dxa"/>
          </w:tcPr>
          <w:p>
            <w:pPr>
              <w:spacing w:after="0" w:before="0" w:line="240" w:lineRule="auto"/>
            </w:pPr>
            <w:r>
              <w:rPr>
                <w:sz w:val="13"/>
              </w:rPr>
              <w:t>Low (sandbox)</w:t>
            </w:r>
          </w:p>
        </w:tc>
        <w:tc>
          <w:tcPr>
            <w:tcW w:w="2235" w:type="dxa"/>
          </w:tcPr>
          <w:p>
            <w:pPr>
              <w:spacing w:after="0" w:before="0" w:line="240" w:lineRule="auto"/>
            </w:pPr>
            <w:r>
              <w:rPr>
                <w:sz w:val="13"/>
              </w:rPr>
              <w:t>The deadline of AI-3; the server is single-user by design (loopback)</w:t>
            </w:r>
          </w:p>
        </w:tc>
        <w:tc>
          <w:tcPr>
            <w:tcW w:w="1809" w:type="dxa"/>
          </w:tcPr>
          <w:p>
            <w:pPr>
              <w:spacing w:after="0" w:before="0" w:line="240" w:lineRule="auto"/>
            </w:pPr>
            <w:r>
              <w:rPr>
                <w:sz w:val="13"/>
              </w:rPr>
              <w:t>Release the lock during the model call, or one worker per session</w:t>
            </w:r>
          </w:p>
        </w:tc>
        <w:tc>
          <w:tcPr>
            <w:tcW w:w="745" w:type="dxa"/>
          </w:tcPr>
          <w:p>
            <w:pPr>
              <w:spacing w:after="0" w:before="0" w:line="240" w:lineRule="auto"/>
            </w:pPr>
            <w:r>
              <w:rPr>
                <w:sz w:val="13"/>
              </w:rPr>
              <w:t>Residual</w:t>
            </w:r>
          </w:p>
        </w:tc>
      </w:tr>
      <w:tr>
        <w:trPr>
          <w:cantSplit/>
        </w:trPr>
        <w:tc>
          <w:tcPr>
            <w:tcW w:w="585" w:type="dxa"/>
          </w:tcPr>
          <w:p>
            <w:pPr>
              <w:spacing w:after="0" w:before="0" w:line="240" w:lineRule="auto"/>
            </w:pPr>
            <w:r>
              <w:rPr>
                <w:sz w:val="13"/>
              </w:rPr>
              <w:t>R-22</w:t>
            </w:r>
          </w:p>
        </w:tc>
        <w:tc>
          <w:tcPr>
            <w:tcW w:w="2128" w:type="dxa"/>
          </w:tcPr>
          <w:p>
            <w:pPr>
              <w:spacing w:after="0" w:before="0" w:line="240" w:lineRule="auto"/>
            </w:pPr>
            <w:r>
              <w:rPr>
                <w:sz w:val="13"/>
              </w:rPr>
              <w:t>What the customer types goes to the model as typed: an IBAN or a code in the sentence included. A remote model provider receives it</w:t>
            </w:r>
          </w:p>
        </w:tc>
        <w:tc>
          <w:tcPr>
            <w:tcW w:w="1436" w:type="dxa"/>
          </w:tcPr>
          <w:p>
            <w:pPr>
              <w:spacing w:after="0" w:before="0" w:line="240" w:lineRule="auto"/>
            </w:pPr>
            <w:r>
              <w:rPr>
                <w:sz w:val="13"/>
              </w:rPr>
              <w:t>Personal data leaves the machine when a remote endpoint is chosen</w:t>
            </w:r>
          </w:p>
        </w:tc>
        <w:tc>
          <w:tcPr>
            <w:tcW w:w="851" w:type="dxa"/>
          </w:tcPr>
          <w:p>
            <w:pPr>
              <w:spacing w:after="0" w:before="0" w:line="240" w:lineRule="auto"/>
            </w:pPr>
            <w:r>
              <w:rPr>
                <w:sz w:val="13"/>
              </w:rPr>
              <w:t>Medium for a remote endpoint (local models: none)</w:t>
            </w:r>
          </w:p>
        </w:tc>
        <w:tc>
          <w:tcPr>
            <w:tcW w:w="2235" w:type="dxa"/>
          </w:tcPr>
          <w:p>
            <w:pPr>
              <w:spacing w:after="0" w:before="0" w:line="240" w:lineRule="auto"/>
            </w:pPr>
            <w:r>
              <w:rPr>
                <w:sz w:val="13"/>
              </w:rPr>
              <w:t>Saved IBANs, balances and documents are never sent; the UI states that a remote endpoint receives the message; the default parser sends nothing</w:t>
            </w:r>
          </w:p>
        </w:tc>
        <w:tc>
          <w:tcPr>
            <w:tcW w:w="1809" w:type="dxa"/>
          </w:tcPr>
          <w:p>
            <w:pPr>
              <w:spacing w:after="0" w:before="0" w:line="240" w:lineRule="auto"/>
            </w:pPr>
            <w:r>
              <w:rPr>
                <w:sz w:val="13"/>
              </w:rPr>
              <w:t>Redact IBAN-like strings and six-digit codes from the prompt where grounding does not need them</w:t>
            </w:r>
          </w:p>
        </w:tc>
        <w:tc>
          <w:tcPr>
            <w:tcW w:w="745" w:type="dxa"/>
          </w:tcPr>
          <w:p>
            <w:pPr>
              <w:spacing w:after="0" w:before="0" w:line="240" w:lineRule="auto"/>
            </w:pPr>
            <w:r>
              <w:rPr>
                <w:sz w:val="13"/>
              </w:rPr>
              <w:t>Residual</w:t>
            </w:r>
          </w:p>
        </w:tc>
      </w:tr>
      <w:tr>
        <w:trPr>
          <w:cantSplit/>
        </w:trPr>
        <w:tc>
          <w:tcPr>
            <w:tcW w:w="585" w:type="dxa"/>
          </w:tcPr>
          <w:p>
            <w:pPr>
              <w:spacing w:after="0" w:before="0" w:line="240" w:lineRule="auto"/>
            </w:pPr>
            <w:r>
              <w:rPr>
                <w:sz w:val="13"/>
              </w:rPr>
              <w:t>R-23</w:t>
            </w:r>
          </w:p>
        </w:tc>
        <w:tc>
          <w:tcPr>
            <w:tcW w:w="2128" w:type="dxa"/>
          </w:tcPr>
          <w:p>
            <w:pPr>
              <w:spacing w:after="0" w:before="0" w:line="240" w:lineRule="auto"/>
            </w:pPr>
            <w:r>
              <w:rPr>
                <w:sz w:val="13"/>
              </w:rPr>
              <w:t>The signed receipts and the audit do not record which parser read the message, with which model or prompt</w:t>
            </w:r>
          </w:p>
        </w:tc>
        <w:tc>
          <w:tcPr>
            <w:tcW w:w="1436" w:type="dxa"/>
          </w:tcPr>
          <w:p>
            <w:pPr>
              <w:spacing w:after="0" w:before="0" w:line="240" w:lineRule="auto"/>
            </w:pPr>
            <w:r>
              <w:rPr>
                <w:sz w:val="13"/>
              </w:rPr>
              <w:t>A receipt cannot show who interpreted the intent; the proof of intent covers what was approved, not how it was read</w:t>
            </w:r>
          </w:p>
        </w:tc>
        <w:tc>
          <w:tcPr>
            <w:tcW w:w="851" w:type="dxa"/>
          </w:tcPr>
          <w:p>
            <w:pPr>
              <w:spacing w:after="0" w:before="0" w:line="240" w:lineRule="auto"/>
            </w:pPr>
            <w:r>
              <w:rPr>
                <w:sz w:val="13"/>
              </w:rPr>
              <w:t>Low</w:t>
            </w:r>
          </w:p>
        </w:tc>
        <w:tc>
          <w:tcPr>
            <w:tcW w:w="2235" w:type="dxa"/>
          </w:tcPr>
          <w:p>
            <w:pPr>
              <w:spacing w:after="0" w:before="0" w:line="240" w:lineRule="auto"/>
            </w:pPr>
            <w:r>
              <w:rPr>
                <w:sz w:val="13"/>
              </w:rPr>
              <w:t xml:space="preserve">The API record and the </w:t>
            </w:r>
            <w:r>
              <w:rPr>
                <w:rFonts w:ascii="Consolas" w:hAnsi="Consolas" w:eastAsia="Consolas"/>
                <w:color w:val="2B3F77"/>
                <w:sz w:val="12"/>
              </w:rPr>
              <w:t>parse</w:t>
            </w:r>
            <w:r>
              <w:rPr>
                <w:sz w:val="13"/>
              </w:rPr>
              <w:t xml:space="preserve"> audit event carry the parser label (</w:t>
            </w:r>
            <w:r>
              <w:rPr>
                <w:rFonts w:ascii="Consolas" w:hAnsi="Consolas" w:eastAsia="Consolas"/>
                <w:color w:val="2B3F77"/>
                <w:sz w:val="12"/>
              </w:rPr>
              <w:t>rules</w:t>
            </w:r>
            <w:r>
              <w:rPr>
                <w:sz w:val="13"/>
              </w:rPr>
              <w:t xml:space="preserve">, </w:t>
            </w:r>
            <w:r>
              <w:rPr>
                <w:rFonts w:ascii="Consolas" w:hAnsi="Consolas" w:eastAsia="Consolas"/>
                <w:color w:val="2B3F77"/>
                <w:sz w:val="12"/>
              </w:rPr>
              <w:t>local</w:t>
            </w:r>
            <w:r>
              <w:rPr>
                <w:sz w:val="13"/>
              </w:rPr>
              <w:t xml:space="preserve">, </w:t>
            </w:r>
            <w:r>
              <w:rPr>
                <w:rFonts w:ascii="Consolas" w:hAnsi="Consolas" w:eastAsia="Consolas"/>
                <w:color w:val="2B3F77"/>
                <w:sz w:val="12"/>
              </w:rPr>
              <w:t>connected:&lt;host&gt;</w:t>
            </w:r>
            <w:r>
              <w:rPr>
                <w:sz w:val="13"/>
              </w:rPr>
              <w:t xml:space="preserve">, </w:t>
            </w:r>
            <w:r>
              <w:rPr>
                <w:rFonts w:ascii="Consolas" w:hAnsi="Consolas" w:eastAsia="Consolas"/>
                <w:color w:val="2B3F77"/>
                <w:sz w:val="12"/>
              </w:rPr>
              <w:t>cascade:&lt;tier&gt;</w:t>
            </w:r>
            <w:r>
              <w:rPr>
                <w:sz w:val="13"/>
              </w:rPr>
              <w:t>); the approved action and its hash are signed</w:t>
            </w:r>
          </w:p>
        </w:tc>
        <w:tc>
          <w:tcPr>
            <w:tcW w:w="1809" w:type="dxa"/>
          </w:tcPr>
          <w:p>
            <w:pPr>
              <w:spacing w:after="0" w:before="0" w:line="240" w:lineRule="auto"/>
            </w:pPr>
            <w:r>
              <w:rPr>
                <w:sz w:val="13"/>
              </w:rPr>
              <w:t>Put parser, model and a prompt hash into the signed intent</w:t>
            </w:r>
          </w:p>
        </w:tc>
        <w:tc>
          <w:tcPr>
            <w:tcW w:w="745" w:type="dxa"/>
          </w:tcPr>
          <w:p>
            <w:pPr>
              <w:spacing w:after="0" w:before="0" w:line="240" w:lineRule="auto"/>
            </w:pPr>
            <w:r>
              <w:rPr>
                <w:sz w:val="13"/>
              </w:rPr>
              <w:t>Residual</w:t>
            </w:r>
          </w:p>
        </w:tc>
      </w:tr>
    </w:tbl>
    <w:p>
      <w:pPr>
        <w:spacing w:after="120" w:before="0" w:line="40" w:lineRule="exact"/>
      </w:pPr>
    </w:p>
    <w:p>
      <w:pPr>
        <w:keepNext w:val="0"/>
        <w:spacing w:after="40" w:before="0"/>
        <w:ind w:left="317"/>
      </w:pPr>
      <w:r>
        <w:rPr>
          <w:b/>
          <w:sz w:val="18"/>
        </w:rPr>
        <w:t>Unverified points</w:t>
      </w:r>
      <w:r>
        <w:rPr>
          <w:sz w:val="18"/>
        </w:rPr>
        <w:t xml:space="preserve"> (could not be checked here)</w:t>
      </w:r>
    </w:p>
    <w:tbl>
      <w:tblPr>
        <w:tblW w:w="9789" w:type="dxa"/>
        <w:tblBorders>
          <w:top w:val="single" w:sz="4" w:space="0" w:color="D5DBE8"/>
          <w:left w:val="nil"/>
          <w:bottom w:val="single" w:sz="4" w:space="0" w:color="D5DBE8"/>
          <w:right w:val="nil"/>
          <w:insideH w:val="single" w:sz="4" w:space="0" w:color="D5DBE8"/>
          <w:insideV w:val="nil"/>
        </w:tblBorders>
        <w:tblLayout w:type="fixed"/>
        <w:tblCellMar>
          <w:top w:w="45" w:type="dxa"/>
          <w:left w:w="70" w:type="dxa"/>
          <w:bottom w:w="45" w:type="dxa"/>
          <w:right w:w="70" w:type="dxa"/>
        </w:tblCellMar>
        <w:tblLook w:firstColumn="1" w:firstRow="1" w:lastColumn="0" w:lastRow="0" w:noHBand="0" w:noVBand="1" w:val="04A0"/>
      </w:tblPr>
      <w:tblGrid>
        <w:gridCol w:w="585"/>
        <w:gridCol w:w="2128"/>
        <w:gridCol w:w="1436"/>
        <w:gridCol w:w="851"/>
        <w:gridCol w:w="2235"/>
        <w:gridCol w:w="1809"/>
        <w:gridCol w:w="745"/>
      </w:tblGrid>
      <w:tr>
        <w:trPr>
          <w:cantSplit/>
          <w:tblHeader/>
        </w:trPr>
        <w:tc>
          <w:tcPr>
            <w:tcW w:w="585" w:type="dxa"/>
            <w:shd w:val="clear" w:color="auto" w:fill="EEF3FF"/>
          </w:tcPr>
          <w:p>
            <w:pPr>
              <w:keepNext/>
              <w:spacing w:after="0" w:before="0" w:line="240" w:lineRule="auto"/>
            </w:pPr>
            <w:r>
              <w:rPr>
                <w:b/>
                <w:sz w:val="13"/>
              </w:rPr>
              <w:t>ID</w:t>
            </w:r>
          </w:p>
        </w:tc>
        <w:tc>
          <w:tcPr>
            <w:tcW w:w="2128" w:type="dxa"/>
            <w:shd w:val="clear" w:color="auto" w:fill="EEF3FF"/>
          </w:tcPr>
          <w:p>
            <w:pPr>
              <w:keepNext/>
              <w:spacing w:after="0" w:before="0" w:line="240" w:lineRule="auto"/>
            </w:pPr>
            <w:r>
              <w:rPr>
                <w:b/>
                <w:sz w:val="13"/>
              </w:rPr>
              <w:t>Description</w:t>
            </w:r>
          </w:p>
        </w:tc>
        <w:tc>
          <w:tcPr>
            <w:tcW w:w="1436" w:type="dxa"/>
            <w:shd w:val="clear" w:color="auto" w:fill="EEF3FF"/>
          </w:tcPr>
          <w:p>
            <w:pPr>
              <w:keepNext/>
              <w:spacing w:after="0" w:before="0" w:line="240" w:lineRule="auto"/>
            </w:pPr>
            <w:r>
              <w:rPr>
                <w:b/>
                <w:sz w:val="13"/>
              </w:rPr>
              <w:t>Potential impact</w:t>
            </w:r>
          </w:p>
        </w:tc>
        <w:tc>
          <w:tcPr>
            <w:tcW w:w="851" w:type="dxa"/>
            <w:shd w:val="clear" w:color="auto" w:fill="EEF3FF"/>
          </w:tcPr>
          <w:p>
            <w:pPr>
              <w:keepNext/>
              <w:spacing w:after="0" w:before="0" w:line="240" w:lineRule="auto"/>
            </w:pPr>
            <w:r>
              <w:rPr>
                <w:b/>
                <w:sz w:val="13"/>
              </w:rPr>
              <w:t>Severity</w:t>
            </w:r>
          </w:p>
        </w:tc>
        <w:tc>
          <w:tcPr>
            <w:tcW w:w="2235" w:type="dxa"/>
            <w:shd w:val="clear" w:color="auto" w:fill="EEF3FF"/>
          </w:tcPr>
          <w:p>
            <w:pPr>
              <w:keepNext/>
              <w:spacing w:after="0" w:before="0" w:line="240" w:lineRule="auto"/>
            </w:pPr>
            <w:r>
              <w:rPr>
                <w:b/>
                <w:sz w:val="13"/>
              </w:rPr>
              <w:t>Mitigations in place</w:t>
            </w:r>
          </w:p>
        </w:tc>
        <w:tc>
          <w:tcPr>
            <w:tcW w:w="1809" w:type="dxa"/>
            <w:shd w:val="clear" w:color="auto" w:fill="EEF3FF"/>
          </w:tcPr>
          <w:p>
            <w:pPr>
              <w:keepNext/>
              <w:spacing w:after="0" w:before="0" w:line="240" w:lineRule="auto"/>
            </w:pPr>
            <w:r>
              <w:rPr>
                <w:b/>
                <w:sz w:val="13"/>
              </w:rPr>
              <w:t>Remaining action</w:t>
            </w:r>
          </w:p>
        </w:tc>
        <w:tc>
          <w:tcPr>
            <w:tcW w:w="745" w:type="dxa"/>
            <w:shd w:val="clear" w:color="auto" w:fill="EEF3FF"/>
          </w:tcPr>
          <w:p>
            <w:pPr>
              <w:keepNext/>
              <w:spacing w:after="0" w:before="0" w:line="240" w:lineRule="auto"/>
            </w:pPr>
            <w:r>
              <w:rPr>
                <w:b/>
                <w:sz w:val="13"/>
              </w:rPr>
              <w:t>Status</w:t>
            </w:r>
          </w:p>
        </w:tc>
      </w:tr>
      <w:tr>
        <w:trPr>
          <w:cantSplit/>
        </w:trPr>
        <w:tc>
          <w:tcPr>
            <w:tcW w:w="585" w:type="dxa"/>
          </w:tcPr>
          <w:p>
            <w:pPr>
              <w:keepNext/>
              <w:spacing w:after="0" w:before="0" w:line="240" w:lineRule="auto"/>
            </w:pPr>
            <w:r>
              <w:rPr>
                <w:sz w:val="13"/>
              </w:rPr>
              <w:t>U-3</w:t>
            </w:r>
          </w:p>
        </w:tc>
        <w:tc>
          <w:tcPr>
            <w:tcW w:w="2128" w:type="dxa"/>
          </w:tcPr>
          <w:p>
            <w:pPr>
              <w:keepNext/>
              <w:spacing w:after="0" w:before="0" w:line="240" w:lineRule="auto"/>
            </w:pPr>
            <w:r>
              <w:rPr>
                <w:sz w:val="13"/>
              </w:rPr>
              <w:t>DNS rebinding between the public-address check and the connection</w:t>
            </w:r>
          </w:p>
        </w:tc>
        <w:tc>
          <w:tcPr>
            <w:tcW w:w="1436" w:type="dxa"/>
          </w:tcPr>
          <w:p>
            <w:pPr>
              <w:keepNext/>
              <w:spacing w:after="0" w:before="0" w:line="240" w:lineRule="auto"/>
            </w:pPr>
            <w:r>
              <w:rPr>
                <w:sz w:val="13"/>
              </w:rPr>
              <w:t>The host is resolved twice; the review simulated the race by patching the resolver and it passes (R-24), a real rebinding server was not run</w:t>
            </w:r>
          </w:p>
        </w:tc>
        <w:tc>
          <w:tcPr>
            <w:tcW w:w="851" w:type="dxa"/>
          </w:tcPr>
          <w:p>
            <w:pPr>
              <w:keepNext/>
              <w:spacing w:after="0" w:before="0" w:line="240" w:lineRule="auto"/>
            </w:pPr>
            <w:r>
              <w:rPr>
                <w:sz w:val="13"/>
              </w:rPr>
              <w:t>Open</w:t>
            </w:r>
          </w:p>
        </w:tc>
        <w:tc>
          <w:tcPr>
            <w:tcW w:w="2235" w:type="dxa"/>
          </w:tcPr>
          <w:p>
            <w:pPr>
              <w:keepNext/>
              <w:spacing w:after="0" w:before="0" w:line="240" w:lineRule="auto"/>
            </w:pPr>
            <w:r>
              <w:rPr>
                <w:sz w:val="13"/>
              </w:rPr>
              <w:t>https and the certificate check; the check runs at every call</w:t>
            </w:r>
          </w:p>
        </w:tc>
        <w:tc>
          <w:tcPr>
            <w:tcW w:w="1809" w:type="dxa"/>
          </w:tcPr>
          <w:p>
            <w:pPr>
              <w:keepNext/>
              <w:spacing w:after="0" w:before="0" w:line="240" w:lineRule="auto"/>
            </w:pPr>
            <w:r>
              <w:rPr>
                <w:sz w:val="13"/>
              </w:rPr>
              <w:t>Connect to the address that was checked</w:t>
            </w:r>
          </w:p>
        </w:tc>
        <w:tc>
          <w:tcPr>
            <w:tcW w:w="745" w:type="dxa"/>
          </w:tcPr>
          <w:p>
            <w:pPr>
              <w:keepNext/>
              <w:spacing w:after="0" w:before="0" w:line="240" w:lineRule="auto"/>
            </w:pPr>
            <w:r>
              <w:rPr>
                <w:sz w:val="13"/>
              </w:rPr>
              <w:t>Unverified</w:t>
            </w:r>
          </w:p>
        </w:tc>
      </w:tr>
      <w:tr>
        <w:trPr>
          <w:cantSplit/>
        </w:trPr>
        <w:tc>
          <w:tcPr>
            <w:tcW w:w="585" w:type="dxa"/>
          </w:tcPr>
          <w:p>
            <w:pPr>
              <w:keepNext/>
              <w:spacing w:after="0" w:before="0" w:line="240" w:lineRule="auto"/>
            </w:pPr>
            <w:r>
              <w:rPr>
                <w:sz w:val="13"/>
              </w:rPr>
              <w:t>U-4</w:t>
            </w:r>
          </w:p>
        </w:tc>
        <w:tc>
          <w:tcPr>
            <w:tcW w:w="2128" w:type="dxa"/>
          </w:tcPr>
          <w:p>
            <w:pPr>
              <w:keepNext/>
              <w:spacing w:after="0" w:before="0" w:line="240" w:lineRule="auto"/>
            </w:pPr>
            <w:r>
              <w:rPr>
                <w:sz w:val="13"/>
              </w:rPr>
              <w:t>The connector against a real hosted provider</w:t>
            </w:r>
          </w:p>
        </w:tc>
        <w:tc>
          <w:tcPr>
            <w:tcW w:w="1436" w:type="dxa"/>
          </w:tcPr>
          <w:p>
            <w:pPr>
              <w:keepNext/>
              <w:spacing w:after="0" w:before="0" w:line="240" w:lineRule="auto"/>
            </w:pPr>
            <w:r>
              <w:rPr>
                <w:sz w:val="13"/>
              </w:rPr>
              <w:t>Only local and fake servers were used</w:t>
            </w:r>
          </w:p>
        </w:tc>
        <w:tc>
          <w:tcPr>
            <w:tcW w:w="851" w:type="dxa"/>
          </w:tcPr>
          <w:p>
            <w:pPr>
              <w:keepNext/>
              <w:spacing w:after="0" w:before="0" w:line="240" w:lineRule="auto"/>
            </w:pPr>
            <w:r>
              <w:rPr>
                <w:sz w:val="13"/>
              </w:rPr>
              <w:t>Open</w:t>
            </w:r>
          </w:p>
        </w:tc>
        <w:tc>
          <w:tcPr>
            <w:tcW w:w="2235" w:type="dxa"/>
          </w:tcPr>
          <w:p>
            <w:pPr>
              <w:keepNext/>
              <w:spacing w:after="0" w:before="0" w:line="240" w:lineRule="auto"/>
            </w:pPr>
            <w:r>
              <w:rPr>
                <w:sz w:val="13"/>
              </w:rPr>
              <w:t>Fallback to the rules on any failure</w:t>
            </w:r>
          </w:p>
        </w:tc>
        <w:tc>
          <w:tcPr>
            <w:tcW w:w="1809" w:type="dxa"/>
          </w:tcPr>
          <w:p>
            <w:pPr>
              <w:keepNext/>
              <w:spacing w:after="0" w:before="0" w:line="240" w:lineRule="auto"/>
            </w:pPr>
            <w:r>
              <w:rPr>
                <w:sz w:val="13"/>
              </w:rPr>
              <w:t>Run it once with a real endpoint</w:t>
            </w:r>
          </w:p>
        </w:tc>
        <w:tc>
          <w:tcPr>
            <w:tcW w:w="745" w:type="dxa"/>
          </w:tcPr>
          <w:p>
            <w:pPr>
              <w:keepNext/>
              <w:spacing w:after="0" w:before="0" w:line="240" w:lineRule="auto"/>
            </w:pPr>
            <w:r>
              <w:rPr>
                <w:sz w:val="13"/>
              </w:rPr>
              <w:t>Unverified</w:t>
            </w:r>
          </w:p>
        </w:tc>
      </w:tr>
      <w:tr>
        <w:trPr>
          <w:cantSplit/>
        </w:trPr>
        <w:tc>
          <w:tcPr>
            <w:tcW w:w="585" w:type="dxa"/>
          </w:tcPr>
          <w:p>
            <w:pPr>
              <w:keepNext/>
              <w:spacing w:after="0" w:before="0" w:line="240" w:lineRule="auto"/>
            </w:pPr>
            <w:r>
              <w:rPr>
                <w:sz w:val="13"/>
              </w:rPr>
              <w:t>U-5</w:t>
            </w:r>
          </w:p>
        </w:tc>
        <w:tc>
          <w:tcPr>
            <w:tcW w:w="2128" w:type="dxa"/>
          </w:tcPr>
          <w:p>
            <w:pPr>
              <w:keepNext/>
              <w:spacing w:after="0" w:before="0" w:line="240" w:lineRule="auto"/>
            </w:pPr>
            <w:r>
              <w:rPr>
                <w:sz w:val="13"/>
              </w:rPr>
              <w:t>Docker runtime exposure</w:t>
            </w:r>
          </w:p>
        </w:tc>
        <w:tc>
          <w:tcPr>
            <w:tcW w:w="1436" w:type="dxa"/>
          </w:tcPr>
          <w:p>
            <w:pPr>
              <w:keepNext/>
              <w:spacing w:after="0" w:before="0" w:line="240" w:lineRule="auto"/>
            </w:pPr>
            <w:r>
              <w:rPr>
                <w:sz w:val="13"/>
              </w:rPr>
              <w:t>Docker is not installed on the development machine; CI builds the image</w:t>
            </w:r>
          </w:p>
        </w:tc>
        <w:tc>
          <w:tcPr>
            <w:tcW w:w="851" w:type="dxa"/>
          </w:tcPr>
          <w:p>
            <w:pPr>
              <w:keepNext/>
              <w:spacing w:after="0" w:before="0" w:line="240" w:lineRule="auto"/>
            </w:pPr>
            <w:r>
              <w:rPr>
                <w:sz w:val="13"/>
              </w:rPr>
              <w:t>Open</w:t>
            </w:r>
          </w:p>
        </w:tc>
        <w:tc>
          <w:tcPr>
            <w:tcW w:w="2235" w:type="dxa"/>
          </w:tcPr>
          <w:p>
            <w:pPr>
              <w:keepNext/>
              <w:spacing w:after="0" w:before="0" w:line="240" w:lineRule="auto"/>
            </w:pPr>
            <w:r>
              <w:rPr>
                <w:sz w:val="13"/>
              </w:rPr>
              <w:t xml:space="preserve">Documented </w:t>
            </w:r>
            <w:r>
              <w:rPr>
                <w:rFonts w:ascii="Consolas" w:hAnsi="Consolas" w:eastAsia="Consolas"/>
                <w:color w:val="2B3F77"/>
                <w:sz w:val="12"/>
              </w:rPr>
              <w:t>-p 127.0.0.1:8501:8501</w:t>
            </w:r>
            <w:r>
              <w:rPr>
                <w:sz w:val="13"/>
              </w:rPr>
              <w:t>; non-root user; base image pinned</w:t>
            </w:r>
          </w:p>
        </w:tc>
        <w:tc>
          <w:tcPr>
            <w:tcW w:w="1809" w:type="dxa"/>
          </w:tcPr>
          <w:p>
            <w:pPr>
              <w:keepNext/>
              <w:spacing w:after="0" w:before="0" w:line="240" w:lineRule="auto"/>
            </w:pPr>
            <w:r>
              <w:rPr>
                <w:sz w:val="13"/>
              </w:rPr>
              <w:t>A container smoke test</w:t>
            </w:r>
          </w:p>
        </w:tc>
        <w:tc>
          <w:tcPr>
            <w:tcW w:w="745" w:type="dxa"/>
          </w:tcPr>
          <w:p>
            <w:pPr>
              <w:keepNext/>
              <w:spacing w:after="0" w:before="0" w:line="240" w:lineRule="auto"/>
            </w:pPr>
            <w:r>
              <w:rPr>
                <w:sz w:val="13"/>
              </w:rPr>
              <w:t>Unverified</w:t>
            </w:r>
          </w:p>
        </w:tc>
      </w:tr>
      <w:tr>
        <w:trPr>
          <w:cantSplit/>
        </w:trPr>
        <w:tc>
          <w:tcPr>
            <w:tcW w:w="585" w:type="dxa"/>
          </w:tcPr>
          <w:p>
            <w:pPr>
              <w:keepNext/>
              <w:spacing w:after="0" w:before="0" w:line="240" w:lineRule="auto"/>
            </w:pPr>
            <w:r>
              <w:rPr>
                <w:sz w:val="13"/>
              </w:rPr>
              <w:t>U-6</w:t>
            </w:r>
          </w:p>
        </w:tc>
        <w:tc>
          <w:tcPr>
            <w:tcW w:w="2128" w:type="dxa"/>
          </w:tcPr>
          <w:p>
            <w:pPr>
              <w:keepNext/>
              <w:spacing w:after="0" w:before="0" w:line="240" w:lineRule="auto"/>
            </w:pPr>
            <w:r>
              <w:rPr>
                <w:sz w:val="13"/>
              </w:rPr>
              <w:t>Concurrency on a shared backend</w:t>
            </w:r>
          </w:p>
        </w:tc>
        <w:tc>
          <w:tcPr>
            <w:tcW w:w="1436" w:type="dxa"/>
          </w:tcPr>
          <w:p>
            <w:pPr>
              <w:keepNext/>
              <w:spacing w:after="0" w:before="0" w:line="240" w:lineRule="auto"/>
            </w:pPr>
            <w:r>
              <w:rPr>
                <w:sz w:val="13"/>
              </w:rPr>
              <w:t>Not built and not tested</w:t>
            </w:r>
          </w:p>
        </w:tc>
        <w:tc>
          <w:tcPr>
            <w:tcW w:w="851" w:type="dxa"/>
          </w:tcPr>
          <w:p>
            <w:pPr>
              <w:keepNext/>
              <w:spacing w:after="0" w:before="0" w:line="240" w:lineRule="auto"/>
            </w:pPr>
            <w:r>
              <w:rPr>
                <w:sz w:val="13"/>
              </w:rPr>
              <w:t>Open</w:t>
            </w:r>
          </w:p>
        </w:tc>
        <w:tc>
          <w:tcPr>
            <w:tcW w:w="2235" w:type="dxa"/>
          </w:tcPr>
          <w:p>
            <w:pPr>
              <w:keepNext/>
              <w:spacing w:after="0" w:before="0" w:line="240" w:lineRule="auto"/>
            </w:pPr>
            <w:r>
              <w:rPr>
                <w:sz w:val="13"/>
              </w:rPr>
              <w:t>One backend per UI session</w:t>
            </w:r>
          </w:p>
        </w:tc>
        <w:tc>
          <w:tcPr>
            <w:tcW w:w="1809" w:type="dxa"/>
          </w:tcPr>
          <w:p>
            <w:pPr>
              <w:keepNext/>
              <w:spacing w:after="0" w:before="0" w:line="240" w:lineRule="auto"/>
            </w:pPr>
            <w:r>
              <w:rPr>
                <w:sz w:val="13"/>
              </w:rPr>
              <w:t>A load test with locks</w:t>
            </w:r>
          </w:p>
        </w:tc>
        <w:tc>
          <w:tcPr>
            <w:tcW w:w="745" w:type="dxa"/>
          </w:tcPr>
          <w:p>
            <w:pPr>
              <w:keepNext/>
              <w:spacing w:after="0" w:before="0" w:line="240" w:lineRule="auto"/>
            </w:pPr>
            <w:r>
              <w:rPr>
                <w:sz w:val="13"/>
              </w:rPr>
              <w:t>Unverified</w:t>
            </w:r>
          </w:p>
        </w:tc>
      </w:tr>
      <w:tr>
        <w:trPr>
          <w:cantSplit/>
        </w:trPr>
        <w:tc>
          <w:tcPr>
            <w:tcW w:w="585" w:type="dxa"/>
          </w:tcPr>
          <w:p>
            <w:pPr>
              <w:spacing w:after="0" w:before="0" w:line="240" w:lineRule="auto"/>
            </w:pPr>
            <w:r>
              <w:rPr>
                <w:sz w:val="13"/>
              </w:rPr>
              <w:t>U-7</w:t>
            </w:r>
          </w:p>
        </w:tc>
        <w:tc>
          <w:tcPr>
            <w:tcW w:w="2128" w:type="dxa"/>
          </w:tcPr>
          <w:p>
            <w:pPr>
              <w:spacing w:after="0" w:before="0" w:line="240" w:lineRule="auto"/>
            </w:pPr>
            <w:r>
              <w:rPr>
                <w:sz w:val="13"/>
              </w:rPr>
              <w:t>Regulatory fit (strong customer authentication, AML, sanctions, data protection)</w:t>
            </w:r>
          </w:p>
        </w:tc>
        <w:tc>
          <w:tcPr>
            <w:tcW w:w="1436" w:type="dxa"/>
          </w:tcPr>
          <w:p>
            <w:pPr>
              <w:spacing w:after="0" w:before="0" w:line="240" w:lineRule="auto"/>
            </w:pPr>
            <w:r>
              <w:rPr>
                <w:sz w:val="13"/>
              </w:rPr>
              <w:t>Not claimed</w:t>
            </w:r>
          </w:p>
        </w:tc>
        <w:tc>
          <w:tcPr>
            <w:tcW w:w="851" w:type="dxa"/>
          </w:tcPr>
          <w:p>
            <w:pPr>
              <w:spacing w:after="0" w:before="0" w:line="240" w:lineRule="auto"/>
            </w:pPr>
            <w:r>
              <w:rPr>
                <w:sz w:val="13"/>
              </w:rPr>
              <w:t>n/a</w:t>
            </w:r>
          </w:p>
        </w:tc>
        <w:tc>
          <w:tcPr>
            <w:tcW w:w="2235" w:type="dxa"/>
          </w:tcPr>
          <w:p>
            <w:pPr>
              <w:spacing w:after="0" w:before="0" w:line="240" w:lineRule="auto"/>
            </w:pPr>
            <w:r>
              <w:rPr>
                <w:sz w:val="13"/>
              </w:rPr>
              <w:t>None claimed</w:t>
            </w:r>
          </w:p>
        </w:tc>
        <w:tc>
          <w:tcPr>
            <w:tcW w:w="1809" w:type="dxa"/>
          </w:tcPr>
          <w:p>
            <w:pPr>
              <w:spacing w:after="0" w:before="0" w:line="240" w:lineRule="auto"/>
            </w:pPr>
            <w:r>
              <w:rPr>
                <w:sz w:val="13"/>
              </w:rPr>
              <w:t>Out of scope for a sandbox</w:t>
            </w:r>
          </w:p>
        </w:tc>
        <w:tc>
          <w:tcPr>
            <w:tcW w:w="745" w:type="dxa"/>
          </w:tcPr>
          <w:p>
            <w:pPr>
              <w:spacing w:after="0" w:before="0" w:line="240" w:lineRule="auto"/>
            </w:pPr>
            <w:r>
              <w:rPr>
                <w:sz w:val="13"/>
              </w:rPr>
              <w:t>Unverified</w:t>
            </w:r>
          </w:p>
        </w:tc>
      </w:tr>
    </w:tbl>
    <w:p>
      <w:pPr>
        <w:spacing w:after="120" w:before="0" w:line="40" w:lineRule="exact"/>
      </w:pP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6C7F"/>
        <w:sz w:val="16"/>
      </w:rPr>
      <w:t>Complete this document according to the competition notice. If a newer template is published, the newer version prevails.</w:t>
    </w:r>
  </w:p>
  <w:p>
    <w:pPr>
      <w:jc w:val="center"/>
    </w:pPr>
    <w:r>
      <w:rPr>
        <w:color w:val="616C7F"/>
        <w:sz w:val="16"/>
      </w:rPr>
      <w:fldChar w:fldCharType="begin"/>
    </w:r>
    <w:r>
      <w:rPr>
        <w:color w:val="616C7F"/>
        <w:sz w:val="16"/>
      </w:rPr>
      <w:instrText xml:space="preserve"> PAGE </w:instrText>
    </w:r>
    <w:r>
      <w:rPr>
        <w:color w:val="616C7F"/>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Unicode MS" w:hAnsi="Arial Unicode MS" w:eastAsia="Arial Unicode MS"/>
      <w:color w:val="172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Unicode MS" w:hAnsi="Arial Unicode MS" w:eastAsia="Arial Unicode MS"/>
      <w:b/>
      <w:bCs/>
      <w:color w:val="315FD8"/>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315FD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BorderlessGuard: Security Self-assessment</dc:title>
  <dc:subject>2026 FinTechathon, International AI Track, Topic C</dc:subject>
  <dc:creator>Team Centrale</dc:creator>
  <cp:keywords>BorderlessGuard, FinTechathon 2026, Topic C</cp:keywords>
  <dc:description/>
  <cp:lastModifiedBy>Team Centrale</cp:lastModifiedBy>
  <cp:revision>1</cp:revision>
  <dcterms:created xsi:type="dcterms:W3CDTF">2013-12-23T23:15:00Z</dcterms:created>
  <dcterms:modified xsi:type="dcterms:W3CDTF">2013-12-23T23:15:00Z</dcterms:modified>
  <cp:category/>
</cp:coreProperties>
</file>