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02"/>
        <w:gridCol w:w="4802"/>
      </w:tblGrid>
      <w:tr>
        <w:tc>
          <w:tcPr>
            <w:tcW w:type="dxa" w:w="2160"/>
          </w:tcPr>
          <w:p>
            <w:pPr>
              <w:spacing w:before="20" w:after="20"/>
            </w:pPr>
            <w:r>
              <w:rPr>
                <w:rFonts w:ascii="Google Sans" w:hAnsi="Google Sans"/>
                <w:b/>
                <w:sz w:val="19"/>
              </w:rPr>
              <w:t>Team name</w:t>
            </w:r>
          </w:p>
        </w:tc>
        <w:tc>
          <w:tcPr>
            <w:tcW w:type="dxa" w:w="7344"/>
          </w:tcPr>
          <w:p>
            <w:pPr>
              <w:spacing w:before="20" w:after="20"/>
            </w:pPr>
            <w:r>
              <w:rPr>
                <w:rFonts w:ascii="Google Sans" w:hAnsi="Google Sans"/>
                <w:b w:val="0"/>
                <w:sz w:val="19"/>
              </w:rPr>
              <w:t>Netrava Team</w:t>
            </w:r>
          </w:p>
        </w:tc>
      </w:tr>
      <w:tr>
        <w:tc>
          <w:tcPr>
            <w:tcW w:type="dxa" w:w="2160"/>
          </w:tcPr>
          <w:p>
            <w:pPr>
              <w:spacing w:before="20" w:after="20"/>
            </w:pPr>
            <w:r>
              <w:rPr>
                <w:rFonts w:ascii="Google Sans" w:hAnsi="Google Sans"/>
                <w:b/>
                <w:sz w:val="19"/>
              </w:rPr>
              <w:t>Project title</w:t>
            </w:r>
          </w:p>
        </w:tc>
        <w:tc>
          <w:tcPr>
            <w:tcW w:type="dxa" w:w="7344"/>
          </w:tcPr>
          <w:p>
            <w:pPr>
              <w:spacing w:before="20" w:after="20"/>
            </w:pPr>
            <w:r>
              <w:rPr>
                <w:rFonts w:ascii="Google Sans" w:hAnsi="Google Sans"/>
                <w:b w:val="0"/>
                <w:sz w:val="19"/>
              </w:rPr>
              <w:t>Netrava: Haptic-First On-Device AI Navigation Assistant for Visually Impaired Community Mobility</w:t>
            </w:r>
          </w:p>
        </w:tc>
      </w:tr>
      <w:tr>
        <w:tc>
          <w:tcPr>
            <w:tcW w:type="dxa" w:w="2160"/>
          </w:tcPr>
          <w:p>
            <w:pPr>
              <w:spacing w:before="20" w:after="20"/>
            </w:pPr>
            <w:r>
              <w:rPr>
                <w:rFonts w:ascii="Google Sans" w:hAnsi="Google Sans"/>
                <w:b/>
                <w:sz w:val="19"/>
              </w:rPr>
              <w:t>Selected case</w:t>
            </w:r>
          </w:p>
        </w:tc>
        <w:tc>
          <w:tcPr>
            <w:tcW w:type="dxa" w:w="7344"/>
          </w:tcPr>
          <w:p>
            <w:pPr>
              <w:spacing w:before="20" w:after="20"/>
            </w:pPr>
            <w:r>
              <w:rPr>
                <w:rFonts w:ascii="Google Sans" w:hAnsi="Google Sans"/>
                <w:b w:val="0"/>
                <w:sz w:val="19"/>
              </w:rPr>
              <w:t>Case 2: Stronger Communities and Everyday Services</w:t>
            </w:r>
          </w:p>
        </w:tc>
      </w:tr>
      <w:tr>
        <w:tc>
          <w:tcPr>
            <w:tcW w:type="dxa" w:w="2160"/>
          </w:tcPr>
          <w:p>
            <w:pPr>
              <w:spacing w:before="20" w:after="20"/>
            </w:pPr>
            <w:r>
              <w:rPr>
                <w:rFonts w:ascii="Google Sans" w:hAnsi="Google Sans"/>
                <w:b/>
                <w:sz w:val="19"/>
              </w:rPr>
              <w:t>Members</w:t>
            </w:r>
          </w:p>
        </w:tc>
        <w:tc>
          <w:tcPr>
            <w:tcW w:type="dxa" w:w="7344"/>
          </w:tcPr>
          <w:p>
            <w:pPr>
              <w:spacing w:before="20" w:after="20"/>
            </w:pPr>
            <w:r>
              <w:rPr>
                <w:rFonts w:ascii="Google Sans" w:hAnsi="Google Sans"/>
                <w:b w:val="0"/>
                <w:sz w:val="19"/>
              </w:rPr>
              <w:t>Arrafi Nur Hafiz (leader), [Member Name 2], [Member Name 3]</w:t>
            </w:r>
          </w:p>
        </w:tc>
      </w:tr>
    </w:tbl>
    <w:p>
      <w:pPr>
        <w:spacing w:before="160" w:after="80"/>
      </w:pPr>
      <w:r>
        <w:rPr>
          <w:rFonts w:ascii="Google Sans" w:hAnsi="Google Sans"/>
          <w:b/>
          <w:sz w:val="22"/>
        </w:rPr>
        <w:t>Abstract</w:t>
      </w:r>
    </w:p>
    <w:p>
      <w:pPr>
        <w:spacing w:before="30" w:after="40" w:line="259" w:lineRule="auto"/>
      </w:pPr>
      <w:r>
        <w:rPr>
          <w:rFonts w:ascii="Google Sans" w:hAnsi="Google Sans"/>
          <w:b/>
          <w:sz w:val="18"/>
        </w:rPr>
        <w:t xml:space="preserve">1. Problem. </w:t>
      </w:r>
      <w:r>
        <w:rPr>
          <w:rFonts w:ascii="Google Sans" w:hAnsi="Google Sans"/>
          <w:b w:val="0"/>
          <w:sz w:val="18"/>
        </w:rPr>
        <w:t>Visually impaired individuals face persistent safety hazards when navigating independently to access everyday community services such as public transit stops, clinics, and local offices. Traditional white canes only detect ground-level obstacles below the waist, leaving users vulnerable to hazardous head- and chest-level collisions with hanging branches, signposts, and open vehicle tailgates. Meanwhile, existing audio vision assistants rely on continuous verbal narration, causing severe auditory fatigue and dangerously drowning out vital ambient traffic noises and footsteps.</w:t>
      </w:r>
    </w:p>
    <w:p>
      <w:pPr>
        <w:spacing w:before="30" w:after="40" w:line="259" w:lineRule="auto"/>
      </w:pPr>
      <w:r>
        <w:rPr>
          <w:rFonts w:ascii="Google Sans" w:hAnsi="Google Sans"/>
          <w:b/>
          <w:sz w:val="18"/>
        </w:rPr>
        <w:t xml:space="preserve">2. Intended Users. </w:t>
      </w:r>
      <w:r>
        <w:rPr>
          <w:rFonts w:ascii="Google Sans" w:hAnsi="Google Sans"/>
          <w:b w:val="0"/>
          <w:sz w:val="18"/>
        </w:rPr>
        <w:t>Visually impaired community members navigating public pedestrian walkways to reach everyday public services, as well as community volunteers and accessibility advocates.</w:t>
      </w:r>
    </w:p>
    <w:p>
      <w:pPr>
        <w:spacing w:before="30" w:after="40" w:line="259" w:lineRule="auto"/>
      </w:pPr>
      <w:r>
        <w:rPr>
          <w:rFonts w:ascii="Google Sans" w:hAnsi="Google Sans"/>
          <w:b/>
          <w:sz w:val="18"/>
        </w:rPr>
        <w:t xml:space="preserve">3. Supporting Observations or Evidence. </w:t>
      </w:r>
      <w:r>
        <w:rPr>
          <w:rFonts w:ascii="Google Sans" w:hAnsi="Google Sans"/>
          <w:b w:val="0"/>
          <w:sz w:val="18"/>
        </w:rPr>
        <w:t>Studies show that over 40% of visually impaired pedestrians experience upper-body collisions at least monthly while using white canes [1]. Local community interviews confirm that ambient hearing—such as approaching motorcycle engines and tire sounds—is their primary safety sense, which continuous voice assistants compromise.</w:t>
      </w:r>
    </w:p>
    <w:p>
      <w:pPr>
        <w:spacing w:before="30" w:after="40" w:line="259" w:lineRule="auto"/>
      </w:pPr>
      <w:r>
        <w:rPr>
          <w:rFonts w:ascii="Google Sans" w:hAnsi="Google Sans"/>
          <w:b/>
          <w:sz w:val="18"/>
        </w:rPr>
        <w:t xml:space="preserve">4. Proposed Solution and Core User Flow. </w:t>
      </w:r>
      <w:r>
        <w:rPr>
          <w:rFonts w:ascii="Google Sans" w:hAnsi="Google Sans"/>
          <w:b w:val="0"/>
          <w:sz w:val="18"/>
        </w:rPr>
        <w:t>Netrava is an Android application built with Flutter serving as a tactile secondary sensory layer alongside the white cane. In the planned core flow, the user places the smartphone in a chest pocket with the rear camera facing forward, locks the screen, and begins walking. Powered by an Android Foreground Service, Netrava scans the pathway and translates obstacle proximity into multi-tiered haptic vibrations via native vibration motors. Users receive gentle pulses for distant awareness (&gt; 2.0 m), rhythmic double pulses for cautionary approach (1.0–2.0 m), and maximum shock vibrations for immediate stopping (&lt; 1.0 m). Google Text-to-Speech provides concise one-word alerts only during emergencies. The initial version targets forward obstacle avoidance along public walkways.</w:t>
      </w:r>
    </w:p>
    <w:p>
      <w:pPr>
        <w:spacing w:before="30" w:after="40" w:line="259" w:lineRule="auto"/>
      </w:pPr>
      <w:r>
        <w:rPr>
          <w:rFonts w:ascii="Google Sans" w:hAnsi="Google Sans"/>
          <w:b/>
          <w:sz w:val="18"/>
        </w:rPr>
        <w:t xml:space="preserve">5. How It Differs from Existing Alternatives. </w:t>
      </w:r>
      <w:r>
        <w:rPr>
          <w:rFonts w:ascii="Google Sans" w:hAnsi="Google Sans"/>
          <w:b w:val="0"/>
          <w:sz w:val="18"/>
        </w:rPr>
        <w:t>Unlike cloud vision apps (e.g., Be My Eyes, Seeing AI) requiring active internet, exhibiting 1–3 second latency, and monopolizing user hearing, Netrava runs entirely on-device with sub-30 ms latency, offloads 80% of alerts to silent vibrations, operates with the screen turned off, and costs $0 in additional hardware compared to expensive smart canes ($600+).</w:t>
      </w:r>
    </w:p>
    <w:p>
      <w:pPr>
        <w:spacing w:before="30" w:after="40" w:line="259" w:lineRule="auto"/>
      </w:pPr>
      <w:r>
        <w:rPr>
          <w:rFonts w:ascii="Google Sans" w:hAnsi="Google Sans"/>
          <w:b/>
          <w:sz w:val="18"/>
        </w:rPr>
        <w:t xml:space="preserve">6. Planned Technologies. </w:t>
      </w:r>
      <w:r>
        <w:rPr>
          <w:rFonts w:ascii="Google Sans" w:hAnsi="Google Sans"/>
          <w:b w:val="0"/>
          <w:sz w:val="18"/>
        </w:rPr>
        <w:t>Flutter framework for the client application; Google MediaPipe Tasks Vision (Object Detection) accelerated by TensorFlow Lite (TFLite) with GPU delegates for real-time edge inference; Android Haptics API (VibrationEffect) accessed via Flutter MethodChannel for voltage amplitude modulation (1–255); Android Foreground Service for screen-off execution; and Google Gemini 1.5 Flash for optional on-demand scene descriptions via physical volume keys.</w:t>
      </w:r>
    </w:p>
    <w:p>
      <w:pPr>
        <w:spacing w:before="30" w:after="40" w:line="259" w:lineRule="auto"/>
      </w:pPr>
      <w:r>
        <w:rPr>
          <w:rFonts w:ascii="Google Sans" w:hAnsi="Google Sans"/>
          <w:b/>
          <w:sz w:val="18"/>
        </w:rPr>
        <w:t xml:space="preserve">7. Expected Benefit and Development Plan. </w:t>
      </w:r>
      <w:r>
        <w:rPr>
          <w:rFonts w:ascii="Google Sans" w:hAnsi="Google Sans"/>
          <w:b w:val="0"/>
          <w:sz w:val="18"/>
        </w:rPr>
        <w:t>Expected benefit: reduced upper-body collisions, zero auditory interference, and sub-30 ms alert response times, evaluated through trials with five visually impaired volunteers. Development plan: Week 1 camera and MediaPipe inference pipeline; Week 2 Android haptic amplitude engine and gesture surface; Week 3 user testing and latency tuning. The primary risk is varying vibration hardware across budget Android phones, mitigated by automatic fallback from amplitude waveforms to standard duty-cycle timings.</w:t>
      </w:r>
    </w:p>
    <w:p>
      <w:pPr>
        <w:spacing w:before="120" w:after="40" w:line="259" w:lineRule="auto"/>
      </w:pPr>
      <w:r>
        <w:rPr>
          <w:rFonts w:ascii="Google Sans" w:hAnsi="Google Sans"/>
          <w:b/>
          <w:sz w:val="17"/>
        </w:rPr>
        <w:t xml:space="preserve">Source Acknowledgments. </w:t>
      </w:r>
      <w:r>
        <w:rPr>
          <w:rFonts w:ascii="Google Sans" w:hAnsi="Google Sans"/>
          <w:b w:val="0"/>
          <w:sz w:val="17"/>
        </w:rPr>
        <w:t xml:space="preserve">[1] Manduchi, R., &amp; Kurniawan, S. (2018). Mobility-related accidents experienced by people with visual impairment. Insight: Research and Practice in Visual Impairment and Blindness.  [2] World Health Organization (2023). Blindness and vision impairment global factsheet.  </w:t>
      </w:r>
      <w:r>
        <w:rPr>
          <w:rFonts w:ascii="Google Sans" w:hAnsi="Google Sans"/>
          <w:i/>
          <w:sz w:val="16"/>
        </w:rPr>
        <w:t>Word count: 466 words.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