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tabs>
          <w:tab w:val="left" w:leader="none" w:pos="216"/>
        </w:tabs>
        <w:spacing w:before="87" w:lineRule="auto"/>
        <w:ind w:right="-20" w:firstLine="0"/>
        <w:rPr/>
      </w:pPr>
      <w:r w:rsidDel="00000000" w:rsidR="00000000" w:rsidRPr="00000000">
        <w:rPr>
          <w:color w:val="ffffff"/>
          <w:sz w:val="28"/>
          <w:szCs w:val="28"/>
          <w:highlight w:val="black"/>
          <w:rtl w:val="0"/>
        </w:rPr>
        <w:t xml:space="preserve">This Section is filled by The Author</w:t>
      </w:r>
      <w:r w:rsidDel="00000000" w:rsidR="00000000" w:rsidRPr="00000000">
        <w:rPr>
          <w:rtl w:val="0"/>
        </w:rPr>
      </w:r>
    </w:p>
    <w:p w:rsidR="00000000" w:rsidDel="00000000" w:rsidP="00000000" w:rsidRDefault="00000000" w:rsidRPr="00000000" w14:paraId="00000002">
      <w:pPr>
        <w:pStyle w:val="Heading2"/>
        <w:tabs>
          <w:tab w:val="left" w:leader="none" w:pos="288"/>
        </w:tabs>
        <w:spacing w:before="3" w:lineRule="auto"/>
        <w:ind w:left="176" w:firstLine="0"/>
        <w:rPr/>
      </w:pP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003">
      <w:pPr>
        <w:pStyle w:val="Heading3"/>
        <w:tabs>
          <w:tab w:val="left" w:leader="none" w:pos="540"/>
        </w:tabs>
        <w:spacing w:before="1" w:lineRule="auto"/>
        <w:ind w:left="176" w:firstLine="288.00000000000006"/>
        <w:rPr/>
      </w:pPr>
      <w:r w:rsidDel="00000000" w:rsidR="00000000" w:rsidRPr="00000000">
        <w:rPr>
          <w:color w:val="000000"/>
          <w:u w:val="single"/>
          <w:rtl w:val="0"/>
        </w:rPr>
        <w:t xml:space="preserve">Authors Submission Checklist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manuscripts must meet the following criteria to be processed into the peer-review stage. Failure to meet the following criteria may increase the processing time of the manuscript or even rejection.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Write OK if the authors have confirmed that the manuscript meets the criteria. If the author cannot fulfill these criteria, give a reason, and write in the checklist with highlighted 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2.0" w:type="dxa"/>
        <w:jc w:val="left"/>
        <w:tblLayout w:type="fixed"/>
        <w:tblLook w:val="0400"/>
      </w:tblPr>
      <w:tblGrid>
        <w:gridCol w:w="574"/>
        <w:gridCol w:w="6477"/>
        <w:gridCol w:w="1153"/>
        <w:gridCol w:w="29"/>
        <w:gridCol w:w="1119"/>
        <w:tblGridChange w:id="0">
          <w:tblGrid>
            <w:gridCol w:w="574"/>
            <w:gridCol w:w="6477"/>
            <w:gridCol w:w="1153"/>
            <w:gridCol w:w="29"/>
            <w:gridCol w:w="1119"/>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45" w:right="223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Template and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9.00000000000000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Authors Claim &amp;</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35" w:firstLine="4.000000000000003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Editors Comment</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used the latest SinkrOn template (latest update June,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Literature Review Methods, Result, Discussion, and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 are written in a separate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using Bullet / Numbering in the manuscript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the text is between 6 and 12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Title and Authors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r>
          </w:p>
        </w:tc>
      </w:tr>
      <w:tr>
        <w:trPr>
          <w:cantSplit w:val="0"/>
          <w:trHeight w:val="8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is written briefly, describing the contents and contributions of the manuscript. The title also does not use abbreviations or acronyms except the standard ones. The title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consists of a maximum of 14 words</w:t>
            </w:r>
            <w:r w:rsidDel="00000000" w:rsidR="00000000" w:rsidRPr="00000000">
              <w:rPr>
                <w:rFonts w:ascii="Times New Roman" w:cs="Times New Roman" w:eastAsia="Times New Roman" w:hAnsi="Times New Roman"/>
                <w:b w:val="1"/>
                <w:i w:val="0"/>
                <w:smallCaps w:val="0"/>
                <w:strike w:val="0"/>
                <w:color w:val="333333"/>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have been written in the manuscript and also in the OJS system.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of the authors who corresponded through the OJS system was determined as the correspondence 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authors must include e-mails in the manuscript and the OJS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Affiliation information is written in 1 line in the text, at least showing the name of the institution and country. Full Address information should be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written in 1 line bellow affiliation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title of the manuscript is written using 'Capitalize Each Word', except</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conjunctions using lowercase.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place and time of research do not need to be included in the title unless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is specific to a particular time and 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Abstracts and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 consists of 200 to a maximum of 250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Abstracts are arranged in a structured manner. Consisting of Background,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Objective, Methods, Results, and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number of keywords minimal 5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keywords must be written in the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are arranged in alphabetical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combination of all keywords represents the content, contribution, or</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purpose of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Keywords can be in the form of research subjects’ category. Avoid using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adjectives as keywords in the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the context/object of research and must focus following the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scope of the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why this research is important.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included the existing research gap, explaining the unique differences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this study compared to similar previous studies.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written research objectives/contributions explicitly.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length of this section is between 300 – 700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r>
          </w:p>
        </w:tc>
      </w:tr>
      <w:tr>
        <w:trPr>
          <w:cantSplit w:val="0"/>
          <w:trHeight w:val="1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Literature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section is optional. This section may only be available if the explanation related to previous research is not sufficient if it is only shown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57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introduction. If this section exists, you must cite at least 6 recent papers that are closely related to the title of the paper.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cited a source who helped the authors in the selection of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 explained how data is obtained.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procedure has been written chronologically and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authors have written how the results will be measured, tested, and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written in logical sequences, according to the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of the study are presented in the form of narrative/textual, tables,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 images in the form of graphs or diagrams. Avoid displaying raw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Discussion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explanation of the results and in-depth analysis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comparison of results with other studies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study or threat to validity has been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 w:right="12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has been explicitly written down the contribution of the manuscript and</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answers to the research 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Acknowledgments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 is funded research, information on the funders agency must be provided along with the contract number(if 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Always use automatic citation tools for managing your references. make sure that you already double-check the citation metadata, automatic citation tool usually has metadata errors. Use Mendeley to make Citation &amp;</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References/Bibliography. Use APA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superscript"/>
                <w:rtl w:val="0"/>
              </w:rPr>
              <w:t xml:space="preserve">6th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citation 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r>
          </w:p>
        </w:tc>
      </w:tr>
      <w:tr>
        <w:trPr>
          <w:cantSplit w:val="0"/>
          <w:trHeight w:val="9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 sure all information related to the reference is written completely (eg Who, Where, and When). Check from the primary source for this information. write the name of the journal without abbreviations. please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DOI if it's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cite a minimum of 15 references. a minimum of 80% comes from journal articles/conferences. a minimum of 80% must be published in the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last 5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than 50% of the references must come from credible sources. for example SinkrOn, ScienceDirect, IEEE Explorer, ACM Digital Library,</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Springer Link, Scopus, Clarivate Analytics, and Indonesian national accredited journals (SINTA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Tables and 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Already using the appropriate format in displaying images and 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image or graph must be self-explanatory, so it does not depend on the</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minimum image resolution is not specified, but must be visible when</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published online (colored) or printed (black and white).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do not have copyright issues.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images and tables have been referenced in the manuscript.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r>
          </w:p>
        </w:tc>
      </w:tr>
      <w:tr>
        <w:trPr>
          <w:cantSplit w:val="0"/>
          <w:trHeight w:val="688"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4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maximum number of images and tables is respectively 6. giving the reason to the editor if you need to display more than the recommended</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amount.</w:t>
            </w:r>
            <w:r w:rsidDel="00000000" w:rsidR="00000000" w:rsidRPr="00000000">
              <w:rPr>
                <w:rtl w:val="0"/>
              </w:rPr>
            </w:r>
          </w:p>
        </w:tc>
        <w:tc>
          <w:tcPr>
            <w:gridSpan w:val="2"/>
            <w:tcBorders>
              <w:top w:color="000000" w:space="0" w:sz="4" w:val="single"/>
              <w:left w:color="000000" w:space="0" w:sz="4" w:val="single"/>
              <w:bottom w:color="000000" w:space="0" w:sz="6"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74">
            <w:pPr>
              <w:rPr/>
            </w:pPr>
            <w:r w:rsidDel="00000000" w:rsidR="00000000" w:rsidRPr="00000000">
              <w:rPr>
                <w:rtl w:val="0"/>
              </w:rPr>
            </w:r>
          </w:p>
        </w:tc>
      </w:tr>
      <w:tr>
        <w:trPr>
          <w:cantSplit w:val="0"/>
          <w:trHeight w:val="227"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c>
          <w:tcPr>
            <w:gridSpan w:val="2"/>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are no spelling mistakes, typos, and grammatical errors. You can use tools such as Grammarly or recommendations provided by MS Word for</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checking.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8" w:right="1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direct and short sentences. Long sentences do not make writing more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professional; they only confuse readers.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pPr>
              <w:jc w:val="center"/>
            </w:pPr>
            <w:r>
              <w:rPr>
                <w:rFonts w:ascii="Times New Roman" w:hAnsi="Times New Roman"/>
                <w:sz w:val="17"/>
              </w:rPr>
              <w:t>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ffffff"/>
          <w:sz w:val="28"/>
          <w:szCs w:val="28"/>
          <w:highlight w:val="black"/>
          <w:rtl w:val="0"/>
        </w:rPr>
        <w:t xml:space="preserve">This Section is filled by The Author</w:t>
      </w:r>
      <w:r w:rsidDel="00000000" w:rsidR="00000000" w:rsidRPr="00000000">
        <w:rPr>
          <w:color w:val="000000"/>
          <w:sz w:val="22"/>
          <w:szCs w:val="22"/>
          <w:rtl w:val="0"/>
        </w:rPr>
        <w:br w:type="textWrapping"/>
      </w:r>
      <w:r w:rsidDel="00000000" w:rsidR="00000000" w:rsidRPr="00000000">
        <w:rPr>
          <w:color w:val="ff0000"/>
          <w:sz w:val="22"/>
          <w:szCs w:val="22"/>
          <w:highlight w:val="yellow"/>
          <w:rtl w:val="0"/>
        </w:rPr>
        <w:t xml:space="preserve">PLEASE FILL THE FORM BELOW AND DO NOT REMOVE THIS FROM MANUSCRIPT</w:t>
      </w:r>
      <w:r w:rsidDel="00000000" w:rsidR="00000000" w:rsidRPr="00000000">
        <w:rPr>
          <w:rtl w:val="0"/>
        </w:rPr>
      </w:r>
    </w:p>
    <w:p w:rsidR="00000000" w:rsidDel="00000000" w:rsidP="00000000" w:rsidRDefault="00000000" w:rsidRPr="00000000" w14:paraId="00000193">
      <w:pPr>
        <w:pStyle w:val="Heading3"/>
        <w:tabs>
          <w:tab w:val="left" w:leader="none" w:pos="540"/>
        </w:tabs>
        <w:ind w:left="176" w:firstLine="288.00000000000006"/>
        <w:rPr/>
      </w:pPr>
      <w:r w:rsidDel="00000000" w:rsidR="00000000" w:rsidRPr="00000000">
        <w:rPr>
          <w:color w:val="000000"/>
          <w:rtl w:val="0"/>
        </w:rPr>
        <w:t xml:space="preserve">OUTLINING HOW THE ISSUES ARE ADDRESSED</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b/>
          <w:sz w:val="20"/>
        </w:rPr>
        <w:t>Title of paper: Implementation of Hybrid Shannon Entropy-TOPSIS for Multi-Criteria Surplus Food Distribution</w:t>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all the concerns/recommendations of the reviewers.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 w:line="240" w:lineRule="auto"/>
        <w:ind w:left="535" w:right="0"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amendments made are to be </w:t>
      </w: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highlighted in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yellow color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the revised paper.</w:t>
      </w:r>
      <w:r w:rsidDel="00000000" w:rsidR="00000000" w:rsidRPr="00000000">
        <w:rPr>
          <w:rtl w:val="0"/>
        </w:rPr>
      </w:r>
    </w:p>
    <w:p w:rsidR="00000000" w:rsidDel="00000000" w:rsidP="00000000" w:rsidRDefault="00000000" w:rsidRPr="00000000" w14:paraId="00000199">
      <w:pPr>
        <w:spacing w:after="240" w:lineRule="auto"/>
        <w:rPr>
          <w:sz w:val="24"/>
          <w:szCs w:val="24"/>
        </w:rPr>
      </w:pPr>
      <w:r w:rsidDel="00000000" w:rsidR="00000000" w:rsidRPr="00000000">
        <w:rPr>
          <w:rtl w:val="0"/>
        </w:rPr>
      </w:r>
    </w:p>
    <w:p w:rsidR="00000000" w:rsidDel="00000000" w:rsidP="00000000" w:rsidRDefault="00000000" w:rsidRPr="00000000" w14:paraId="0000019A">
      <w:pPr>
        <w:pStyle w:val="Heading3"/>
        <w:tabs>
          <w:tab w:val="left" w:leader="none" w:pos="540"/>
        </w:tabs>
        <w:ind w:left="176" w:firstLine="288.00000000000006"/>
        <w:rPr/>
      </w:pPr>
      <w:r w:rsidDel="00000000" w:rsidR="00000000" w:rsidRPr="00000000">
        <w:rPr>
          <w:color w:val="000000"/>
          <w:rtl w:val="0"/>
        </w:rPr>
        <w:t xml:space="preserve">Reviewer # 1</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2"/>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add more rows if needed)</w:t>
      </w:r>
      <w:r w:rsidDel="00000000" w:rsidR="00000000" w:rsidRPr="00000000">
        <w:rPr>
          <w:rtl w:val="0"/>
        </w:rPr>
      </w:r>
    </w:p>
    <w:p w:rsidR="00000000" w:rsidDel="00000000" w:rsidP="00000000" w:rsidRDefault="00000000" w:rsidRPr="00000000" w14:paraId="000001B8">
      <w:pPr>
        <w:spacing w:after="240" w:lineRule="auto"/>
        <w:rPr/>
      </w:pPr>
      <w:r w:rsidDel="00000000" w:rsidR="00000000" w:rsidRPr="00000000">
        <w:rPr>
          <w:rtl w:val="0"/>
        </w:rPr>
      </w:r>
    </w:p>
    <w:p w:rsidR="00000000" w:rsidDel="00000000" w:rsidP="00000000" w:rsidRDefault="00000000" w:rsidRPr="00000000" w14:paraId="000001B9">
      <w:pPr>
        <w:pStyle w:val="Heading3"/>
        <w:tabs>
          <w:tab w:val="left" w:leader="none" w:pos="540"/>
        </w:tabs>
        <w:ind w:left="176" w:firstLine="288.00000000000006"/>
        <w:rPr/>
      </w:pPr>
      <w:r w:rsidDel="00000000" w:rsidR="00000000" w:rsidRPr="00000000">
        <w:rPr>
          <w:color w:val="000000"/>
          <w:rtl w:val="0"/>
        </w:rPr>
        <w:t xml:space="preserve">Reviewer # 2</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378" w:right="63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Accepted without modification Accepted with minor corrections Accepted with major modification Rejected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3"/>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8"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br w:type="textWrapping"/>
      </w:r>
      <w:r w:rsidDel="00000000" w:rsidR="00000000" w:rsidRPr="00000000">
        <w:rPr>
          <w:color w:val="000000"/>
          <w:sz w:val="16"/>
          <w:szCs w:val="16"/>
          <w:rtl w:val="0"/>
        </w:rPr>
        <w:br w:type="textWrapping"/>
      </w:r>
      <w:r w:rsidDel="00000000" w:rsidR="00000000" w:rsidRPr="00000000">
        <w:rPr>
          <w:rtl w:val="0"/>
        </w:rPr>
      </w:r>
    </w:p>
    <w:p w:rsidR="00000000" w:rsidDel="00000000" w:rsidP="00000000" w:rsidRDefault="00000000" w:rsidRPr="00000000" w14:paraId="000001D7">
      <w:pPr>
        <w:pStyle w:val="Heading3"/>
        <w:tabs>
          <w:tab w:val="left" w:leader="none" w:pos="540"/>
        </w:tabs>
        <w:spacing w:before="93" w:lineRule="auto"/>
        <w:ind w:left="176" w:firstLine="288.00000000000006"/>
        <w:rPr/>
      </w:pPr>
      <w:r w:rsidDel="00000000" w:rsidR="00000000" w:rsidRPr="00000000">
        <w:rPr>
          <w:color w:val="000000"/>
          <w:rtl w:val="0"/>
        </w:rPr>
        <w:t xml:space="preserve">Reviewer # 3</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Recommendation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choose one according to the reviewer's comments and cross unnecessary) :</w:t>
      </w:r>
      <w:r w:rsidDel="00000000" w:rsidR="00000000" w:rsidRPr="00000000">
        <w:rPr>
          <w:rtl w:val="0"/>
        </w:rPr>
      </w:r>
    </w:p>
    <w:tbl>
      <w:tblPr>
        <w:tblStyle w:val="Table4"/>
        <w:tblW w:w="8436.0" w:type="dxa"/>
        <w:jc w:val="left"/>
        <w:tblLayout w:type="fixed"/>
        <w:tblLook w:val="0400"/>
      </w:tblPr>
      <w:tblGrid>
        <w:gridCol w:w="3782"/>
        <w:gridCol w:w="1726"/>
        <w:gridCol w:w="2928"/>
        <w:tblGridChange w:id="0">
          <w:tblGrid>
            <w:gridCol w:w="3782"/>
            <w:gridCol w:w="1726"/>
            <w:gridCol w:w="2928"/>
          </w:tblGrid>
        </w:tblGridChange>
      </w:tblGrid>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7" w:right="141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3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Addresse d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Reply/Action taken</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bl>
    <w:p>
      <w:r>
        <w:br w:type="page"/>
      </w:r>
    </w:p>
    <w:p>
      <w:pPr>
        <w:spacing w:before="240" w:after="240"/>
        <w:jc w:val="center"/>
      </w:pPr>
      <w:r>
        <w:rPr>
          <w:rFonts w:ascii="Times New Roman" w:hAnsi="Times New Roman"/>
          <w:b/>
          <w:color w:val="047857"/>
          <w:sz w:val="40"/>
        </w:rPr>
        <w:t>Implementation of Hybrid Shannon Entropy-TOPSIS for Multi-Criteria Surplus Food Distribution</w:t>
      </w:r>
    </w:p>
    <w:p>
      <w:pPr>
        <w:spacing w:after="40"/>
        <w:jc w:val="center"/>
      </w:pPr>
      <w:r>
        <w:rPr>
          <w:rFonts w:ascii="Times New Roman" w:hAnsi="Times New Roman"/>
          <w:b/>
          <w:sz w:val="22"/>
        </w:rPr>
        <w:t>Arrafi Nur Hafiz1)*</w:t>
      </w:r>
    </w:p>
    <w:p>
      <w:pPr>
        <w:spacing w:after="40"/>
        <w:jc w:val="center"/>
      </w:pPr>
      <w:r>
        <w:rPr>
          <w:rFonts w:ascii="Times New Roman" w:hAnsi="Times New Roman"/>
          <w:i/>
          <w:sz w:val="19"/>
        </w:rPr>
        <w:t>1)Department of Information Systems, Faculty of Information Technology, Universitas Teknologi Digital Indonesia, Yogyakarta, Indonesia</w:t>
      </w:r>
    </w:p>
    <w:p>
      <w:pPr>
        <w:spacing w:after="160"/>
        <w:jc w:val="center"/>
      </w:pPr>
      <w:r>
        <w:rPr>
          <w:rFonts w:ascii="Times New Roman" w:hAnsi="Times New Roman"/>
          <w:sz w:val="19"/>
        </w:rPr>
        <w:t>1)*arrafinur3@gmail.com</w:t>
      </w:r>
    </w:p>
    <w:p>
      <w:pPr>
        <w:spacing w:after="240"/>
        <w:jc w:val="center"/>
      </w:pPr>
      <w:r>
        <w:rPr>
          <w:rFonts w:ascii="Times New Roman" w:hAnsi="Times New Roman"/>
          <w:b/>
          <w:color w:val="6B7280"/>
          <w:sz w:val="18"/>
        </w:rPr>
        <w:t>Submitted : [Date] | Accepted : [Date] | Published : [Date]</w:t>
      </w:r>
    </w:p>
    <w:p>
      <w:pPr>
        <w:spacing w:line="276" w:lineRule="auto" w:after="120"/>
        <w:jc w:val="both"/>
      </w:pPr>
      <w:r>
        <w:rPr>
          <w:rFonts w:ascii="Times New Roman" w:hAnsi="Times New Roman"/>
          <w:b/>
          <w:sz w:val="20"/>
        </w:rPr>
        <w:t xml:space="preserve">Abstract: </w:t>
      </w:r>
      <w:r>
        <w:rPr>
          <w:rFonts w:ascii="Times New Roman" w:hAnsi="Times New Roman"/>
          <w:sz w:val="20"/>
        </w:rPr>
        <w:t>Surplus food redistribution from commercial hospitality sectors to social welfare shelters frequently encounters allocation inefficiencies, perishable food spoilage due to logistical barriers, and assistance monopolies. This study designs and implements a multi-criteria Decision Support System for surplus food distribution by integrating the Technique for Order Preference by Similarity to Ideal Solution with Hybrid Shannon Entropy weighting. The model evaluates five essential criteria: daily protein deficit fulfillment percentage, recipient urgency score and emergency status, remaining food shelf life, Haversine-based geographical distance, and distribution fairness based on days since the last received donation. Hybrid weighting combines subjective domain policy weights of fifty percent with data-driven objective Shannon Entropy weights of fifty percent to ensure prioritization stability against data fluctuations. Furthermore, a dynamic twenty-four-hour quota fulfillment penalty is incorporated to mitigate hoarding among recipient institutions. Simulation experiments across five diverse welfare institutions demonstrate that the Hybrid Shannon Entropy Technique for Order Preference by Similarity to Ideal Solution model successfully prioritizes shelters with acute nutritional deficits and close logistical proximity for highly perishable food items. The hybrid approach preserves critical operational criteria that would otherwise be eliminated by pure entropy calculation when alternatives share identical shelf life. Consequently, the proposed system achieves balanced, transparent, and equitable food aid allocation, effectively reducing potential food waste and improving nutritional delivery.</w:t>
      </w:r>
    </w:p>
    <w:p>
      <w:pPr>
        <w:spacing w:after="320"/>
        <w:jc w:val="both"/>
      </w:pPr>
      <w:r>
        <w:t>Keywords: Decision Support System; Food Waste Reduction; Haversine Distance; Humanitarian Logistics; Hybrid TOPSIS; Shannon Entropy; Surplus Food</w:t>
      </w:r>
    </w:p>
    <w:p>
      <w:pPr>
        <w:pStyle w:val="Heading1"/>
        <w:spacing w:before="280" w:after="80"/>
      </w:pPr>
      <w:r>
        <w:rPr>
          <w:rFonts w:ascii="Times New Roman" w:hAnsi="Times New Roman"/>
          <w:b/>
          <w:sz w:val="24"/>
        </w:rPr>
        <w:t>INTRODUCTION</w:t>
      </w:r>
    </w:p>
    <w:p>
      <w:pPr>
        <w:spacing w:line="276" w:lineRule="auto" w:after="120"/>
        <w:jc w:val="both"/>
      </w:pPr>
      <w:r>
        <w:t>Food loss and waste alongside nutritional insecurity represent one of the most pressing socio-economic paradoxes in developing nations (Badan Pangan Nasional, 2023). In Indonesia, annual food waste generation reaches an estimated 23 to 48 million metric tons, resulting in substantial financial losses and environmental burdens (Bappenas, 2021). Concurrently, social welfare institutions such as orphanages, elderly nursing homes, and homeless shelters persistently struggle with budgetary constraints and protein deficiency. The commercial hospitality sector, including star-rated hotels, restaurants, and catering services, routinely produces substantial quantities of high-quality surplus prepared meals. However, without a dedicated, structured redistribution framework, these edible surplus meals are frequently discarded into municipal landfills.</w:t>
      </w:r>
    </w:p>
    <w:p>
      <w:pPr>
        <w:spacing w:line="276" w:lineRule="auto" w:after="120"/>
        <w:jc w:val="both"/>
      </w:pPr>
      <w:r>
        <w:t>Conventional surplus food redistribution predominantly relies on ad-hoc phone calls, social media messaging, or First-Come, First-Served (FCFS) manual claiming (Sinnott et al., 2022). These conventional practices exhibit severe operational vulnerabilities. First, they fail to evaluate the real-time nutritional deficits and institutional urgency of prospective recipients. Second, perishable cooked foods possess brief consumption windows (often less than 4 to 6 hours); ignoring geographical proximity and transport logistics results in severe spoilage before delivery (Ozkir &amp; Demirel, 2022). Third, FCFS mechanisms induce distribution inequality, allowing centrally located or digitally active institutions to monopolize donations while remote shelters suffer from chronic neglect. Hence, an automated and intelligent multi-criteria Decision Support System (DSS) is vital to optimize matching speed, logistical feasibility, and humanitarian fairness (Wulandari &amp; Hartono, 2024).</w:t>
      </w:r>
    </w:p>
    <w:p>
      <w:pPr>
        <w:spacing w:line="276" w:lineRule="auto" w:after="120"/>
        <w:jc w:val="both"/>
      </w:pPr>
      <w:r>
        <w:t>The primary purpose of this study is to formulate and implement a comprehensive Decision Support System utilizing the Technique for Order Preference by Similarity to Ideal Solution (TOPSIS) coupled with a Hybrid Shannon Entropy weighting mechanism and the Haversine distance formula (Kurniawan &amp; Sunardi, 2022). The system resolves three central research questions: (1) How can multi-dimensional nutritional, temporal, logistical, and equity constraints be formulated into a robust decision matrix? (2) How does the integration of objective Shannon Entropy and subjective policy weighting prevent the loss of critical criteria while adapting to real-time recipient variations? and (3) To what extent does dynamic 24-hour fulfillment suppression prevent donation hoarding among recipient shelters?</w:t>
      </w:r>
    </w:p>
    <w:p>
      <w:pPr>
        <w:pStyle w:val="Heading1"/>
        <w:spacing w:before="280" w:after="80"/>
      </w:pPr>
      <w:r>
        <w:rPr>
          <w:rFonts w:ascii="Times New Roman" w:hAnsi="Times New Roman"/>
          <w:b/>
          <w:sz w:val="24"/>
        </w:rPr>
        <w:t>LITERATURE REVIEW</w:t>
      </w:r>
    </w:p>
    <w:p>
      <w:pPr>
        <w:spacing w:line="276" w:lineRule="auto" w:after="120"/>
        <w:jc w:val="both"/>
      </w:pPr>
      <w:r>
        <w:t>Multi-Criteria Decision Making (MCDM) methods are widely employed to resolve complex resource allocation problems characterized by conflicting evaluation metrics. The TOPSIS method, originally introduced by Hwang and Yoon (1981), ranks alternatives based on their simultaneous geometric closeness to the Positive Ideal Solution (PIS) and distance from the Negative Ideal Solution (NIS). In humanitarian relief and food logistics, TOPSIS has demonstrated exceptional computational efficiency and conceptual clarity (Liu &amp; Zhang, 2021; Susanto &amp; Hermawan, 2023). Nonetheless, traditional TOPSIS implementations depend heavily on subjective weighting techniques (such as AHP or direct assignment), which introduce cognitive bias and lack responsiveness to dynamic data distributions (Pratama et al., 2022).</w:t>
      </w:r>
    </w:p>
    <w:p>
      <w:pPr>
        <w:spacing w:line="276" w:lineRule="auto" w:after="120"/>
        <w:jc w:val="both"/>
      </w:pPr>
      <w:r>
        <w:t>To eliminate subjective bias, objective weighting models based on Shannon's information entropy have gained substantial scholarly attention (Shannon, 1948; Naufal &amp; Susetyo, 2022). Shannon Entropy calculates criteria weights purely from the intrinsic variability and dispersion of the dataset (Kumar et al., 2022). Nevertheless, pure entropy weighting suffers from a critical flaw in real-world operations: when all competing alternatives share homogeneous or identical values on a pivotal operational metric (e.g., identical food expiry duration), the calculated entropy value equals 1.0, resulting in zero dispersion (d_j = 0) and completely assigning a zero weight to that vital criterion (Widjaja &amp; Utami, 2021). Conversely, purely subjective weights fail to capture situational urgency emerging from dynamic field data (Govindan et al., 2020).</w:t>
      </w:r>
    </w:p>
    <w:p>
      <w:pPr>
        <w:spacing w:line="276" w:lineRule="auto" w:after="120"/>
        <w:jc w:val="both"/>
      </w:pPr>
      <w:r>
        <w:t>To bridge this research gap, this study introduces a Hybrid Shannon Entropy-TOPSIS framework. By linearly combining subjective domain policy weights (alpha = 0.50) with objective Shannon Entropy weights (1 - alpha = 0.50), the proposed architecture guarantees that baseline organizational policies remain active even during data homogeneity, while preserving data-driven flexibility (Utomo &amp; Wahyuni, 2023). Furthermore, integrating spatial Haversine coordinates and dynamic anti-hoarding penalties produces a holistically optimized allocation engine customized for emergency perishable food logistics (Ozkir &amp; Demirel, 2022).</w:t>
      </w:r>
    </w:p>
    <w:p>
      <w:pPr>
        <w:pStyle w:val="Heading1"/>
        <w:spacing w:before="280" w:after="80"/>
      </w:pPr>
      <w:r>
        <w:rPr>
          <w:rFonts w:ascii="Times New Roman" w:hAnsi="Times New Roman"/>
          <w:b/>
          <w:sz w:val="24"/>
        </w:rPr>
        <w:t>METHOD</w:t>
      </w:r>
    </w:p>
    <w:p>
      <w:pPr>
        <w:spacing w:line="276" w:lineRule="auto" w:after="120"/>
        <w:jc w:val="both"/>
      </w:pPr>
      <w:r>
        <w:t>The research methodology comprises five systematic phases including multi-criteria domain modeling, spatial Haversine distance computation, decision matrix vector normalization, hybrid entropy weighting with TOPSIS ideal separation calculation, and dynamic 24-hour fulfillment penalty adjustment. The system evaluates m candidate verified recipient institutions against n = 5 distinct decision criteria (C1 to C5), as defined in Table 1.</w:t>
      </w:r>
    </w:p>
    <w:p>
      <w:pPr>
        <w:spacing w:before="160" w:after="40"/>
        <w:jc w:val="left"/>
      </w:pPr>
      <w:r>
        <w:rPr>
          <w:b/>
          <w:sz w:val="19"/>
        </w:rPr>
        <w:t>Table 1. Multi-Criteria Evaluation Parameters and Baseline Policy Weights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14"/>
        <w:gridCol w:w="1814"/>
        <w:gridCol w:w="1814"/>
        <w:gridCol w:w="1814"/>
        <w:gridCol w:w="1814"/>
      </w:tblGrid>
      <w:tr>
        <w:tc>
          <w:tcPr>
            <w:tcW w:type="dxa" w:w="1814"/>
            <w:shd w:fill="F3F4F6"/>
            <w:tcMar>
              <w:top w:w="80" w:type="dxa"/>
              <w:bottom w:w="80" w:type="dxa"/>
              <w:left w:w="100" w:type="dxa"/>
              <w:right w:w="100" w:type="dxa"/>
            </w:tcMar>
            <w:tcBorders>
              <w:bottom w:val="single" w:sz="6" w:space="0" w:color="000000"/>
            </w:tcBorders>
          </w:tcPr>
          <w:p>
            <w:pPr>
              <w:jc w:val="center"/>
            </w:pPr>
            <w:r>
              <w:rPr>
                <w:b/>
                <w:sz w:val="18"/>
              </w:rPr>
              <w:t>Code</w:t>
            </w:r>
          </w:p>
        </w:tc>
        <w:tc>
          <w:tcPr>
            <w:tcW w:type="dxa" w:w="1814"/>
            <w:shd w:fill="F3F4F6"/>
            <w:tcMar>
              <w:top w:w="80" w:type="dxa"/>
              <w:bottom w:w="80" w:type="dxa"/>
              <w:left w:w="100" w:type="dxa"/>
              <w:right w:w="100" w:type="dxa"/>
            </w:tcMar>
            <w:tcBorders>
              <w:bottom w:val="single" w:sz="6" w:space="0" w:color="000000"/>
            </w:tcBorders>
          </w:tcPr>
          <w:p>
            <w:pPr>
              <w:jc w:val="center"/>
            </w:pPr>
            <w:r>
              <w:rPr>
                <w:b/>
                <w:sz w:val="18"/>
              </w:rPr>
              <w:t>Criterion Name</w:t>
            </w:r>
          </w:p>
        </w:tc>
        <w:tc>
          <w:tcPr>
            <w:tcW w:type="dxa" w:w="1814"/>
            <w:shd w:fill="F3F4F6"/>
            <w:tcMar>
              <w:top w:w="80" w:type="dxa"/>
              <w:bottom w:w="80" w:type="dxa"/>
              <w:left w:w="100" w:type="dxa"/>
              <w:right w:w="100" w:type="dxa"/>
            </w:tcMar>
            <w:tcBorders>
              <w:bottom w:val="single" w:sz="6" w:space="0" w:color="000000"/>
            </w:tcBorders>
          </w:tcPr>
          <w:p>
            <w:pPr>
              <w:jc w:val="center"/>
            </w:pPr>
            <w:r>
              <w:rPr>
                <w:b/>
                <w:sz w:val="18"/>
              </w:rPr>
              <w:t>Type</w:t>
            </w:r>
          </w:p>
        </w:tc>
        <w:tc>
          <w:tcPr>
            <w:tcW w:type="dxa" w:w="1814"/>
            <w:shd w:fill="F3F4F6"/>
            <w:tcMar>
              <w:top w:w="80" w:type="dxa"/>
              <w:bottom w:w="80" w:type="dxa"/>
              <w:left w:w="100" w:type="dxa"/>
              <w:right w:w="100" w:type="dxa"/>
            </w:tcMar>
            <w:tcBorders>
              <w:bottom w:val="single" w:sz="6" w:space="0" w:color="000000"/>
            </w:tcBorders>
          </w:tcPr>
          <w:p>
            <w:pPr>
              <w:jc w:val="center"/>
            </w:pPr>
            <w:r>
              <w:rPr>
                <w:b/>
                <w:sz w:val="18"/>
              </w:rPr>
              <w:t>Unit of Measurement</w:t>
            </w:r>
          </w:p>
        </w:tc>
        <w:tc>
          <w:tcPr>
            <w:tcW w:type="dxa" w:w="1814"/>
            <w:shd w:fill="F3F4F6"/>
            <w:tcMar>
              <w:top w:w="80" w:type="dxa"/>
              <w:bottom w:w="80" w:type="dxa"/>
              <w:left w:w="100" w:type="dxa"/>
              <w:right w:w="100" w:type="dxa"/>
            </w:tcMar>
            <w:tcBorders>
              <w:bottom w:val="single" w:sz="6" w:space="0" w:color="000000"/>
            </w:tcBorders>
          </w:tcPr>
          <w:p>
            <w:pPr>
              <w:jc w:val="center"/>
            </w:pPr>
            <w:r>
              <w:rPr>
                <w:b/>
                <w:sz w:val="18"/>
              </w:rPr>
              <w:t>Baseline Policy Weight</w:t>
            </w:r>
          </w:p>
        </w:tc>
      </w:tr>
      <w:tr>
        <w:tc>
          <w:tcPr>
            <w:tcW w:type="dxa" w:w="1814"/>
            <w:tcMar>
              <w:top w:w="60" w:type="dxa"/>
              <w:bottom w:w="60" w:type="dxa"/>
              <w:left w:w="80" w:type="dxa"/>
              <w:right w:w="80" w:type="dxa"/>
            </w:tcMar>
          </w:tcPr>
          <w:p>
            <w:pPr>
              <w:jc w:val="center"/>
            </w:pPr>
            <w:r>
              <w:rPr>
                <w:sz w:val="17"/>
              </w:rPr>
              <w:t>C1</w:t>
            </w:r>
          </w:p>
        </w:tc>
        <w:tc>
          <w:tcPr>
            <w:tcW w:type="dxa" w:w="1814"/>
            <w:tcMar>
              <w:top w:w="60" w:type="dxa"/>
              <w:bottom w:w="60" w:type="dxa"/>
              <w:left w:w="80" w:type="dxa"/>
              <w:right w:w="80" w:type="dxa"/>
            </w:tcMar>
          </w:tcPr>
          <w:p>
            <w:pPr>
              <w:jc w:val="left"/>
            </w:pPr>
            <w:r>
              <w:rPr>
                <w:sz w:val="17"/>
              </w:rPr>
              <w:t>Protein Deficit Fulfillment Ratio</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Percentage (%)</w:t>
            </w:r>
          </w:p>
        </w:tc>
        <w:tc>
          <w:tcPr>
            <w:tcW w:type="dxa" w:w="1814"/>
            <w:tcMar>
              <w:top w:w="60" w:type="dxa"/>
              <w:bottom w:w="60" w:type="dxa"/>
              <w:left w:w="80" w:type="dxa"/>
              <w:right w:w="80" w:type="dxa"/>
            </w:tcMar>
          </w:tcPr>
          <w:p>
            <w:pPr>
              <w:jc w:val="center"/>
            </w:pPr>
            <w:r>
              <w:rPr>
                <w:sz w:val="17"/>
              </w:rPr>
              <w:t>0.25 (25%)</w:t>
            </w:r>
          </w:p>
        </w:tc>
      </w:tr>
      <w:tr>
        <w:tc>
          <w:tcPr>
            <w:tcW w:type="dxa" w:w="1814"/>
            <w:tcMar>
              <w:top w:w="60" w:type="dxa"/>
              <w:bottom w:w="60" w:type="dxa"/>
              <w:left w:w="80" w:type="dxa"/>
              <w:right w:w="80" w:type="dxa"/>
            </w:tcMar>
          </w:tcPr>
          <w:p>
            <w:pPr>
              <w:jc w:val="center"/>
            </w:pPr>
            <w:r>
              <w:rPr>
                <w:sz w:val="17"/>
              </w:rPr>
              <w:t>C2</w:t>
            </w:r>
          </w:p>
        </w:tc>
        <w:tc>
          <w:tcPr>
            <w:tcW w:type="dxa" w:w="1814"/>
            <w:tcMar>
              <w:top w:w="60" w:type="dxa"/>
              <w:bottom w:w="60" w:type="dxa"/>
              <w:left w:w="80" w:type="dxa"/>
              <w:right w:w="80" w:type="dxa"/>
            </w:tcMar>
          </w:tcPr>
          <w:p>
            <w:pPr>
              <w:jc w:val="left"/>
            </w:pPr>
            <w:r>
              <w:rPr>
                <w:sz w:val="17"/>
              </w:rPr>
              <w:t>Institutional Urgency &amp; Emergency Status</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Scale (1-10 / 1000+)</w:t>
            </w:r>
          </w:p>
        </w:tc>
        <w:tc>
          <w:tcPr>
            <w:tcW w:type="dxa" w:w="1814"/>
            <w:tcMar>
              <w:top w:w="60" w:type="dxa"/>
              <w:bottom w:w="60" w:type="dxa"/>
              <w:left w:w="80" w:type="dxa"/>
              <w:right w:w="80" w:type="dxa"/>
            </w:tcMar>
          </w:tcPr>
          <w:p>
            <w:pPr>
              <w:jc w:val="center"/>
            </w:pPr>
            <w:r>
              <w:rPr>
                <w:sz w:val="17"/>
              </w:rPr>
              <w:t>0.25 (25%)</w:t>
            </w:r>
          </w:p>
        </w:tc>
      </w:tr>
      <w:tr>
        <w:tc>
          <w:tcPr>
            <w:tcW w:type="dxa" w:w="1814"/>
            <w:tcMar>
              <w:top w:w="60" w:type="dxa"/>
              <w:bottom w:w="60" w:type="dxa"/>
              <w:left w:w="80" w:type="dxa"/>
              <w:right w:w="80" w:type="dxa"/>
            </w:tcMar>
          </w:tcPr>
          <w:p>
            <w:pPr>
              <w:jc w:val="center"/>
            </w:pPr>
            <w:r>
              <w:rPr>
                <w:sz w:val="17"/>
              </w:rPr>
              <w:t>C3</w:t>
            </w:r>
          </w:p>
        </w:tc>
        <w:tc>
          <w:tcPr>
            <w:tcW w:type="dxa" w:w="1814"/>
            <w:tcMar>
              <w:top w:w="60" w:type="dxa"/>
              <w:bottom w:w="60" w:type="dxa"/>
              <w:left w:w="80" w:type="dxa"/>
              <w:right w:w="80" w:type="dxa"/>
            </w:tcMar>
          </w:tcPr>
          <w:p>
            <w:pPr>
              <w:jc w:val="left"/>
            </w:pPr>
            <w:r>
              <w:rPr>
                <w:sz w:val="17"/>
              </w:rPr>
              <w:t>Remaining Food Shelf-Life</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Hours (hr)</w:t>
            </w:r>
          </w:p>
        </w:tc>
        <w:tc>
          <w:tcPr>
            <w:tcW w:type="dxa" w:w="1814"/>
            <w:tcMar>
              <w:top w:w="60" w:type="dxa"/>
              <w:bottom w:w="60" w:type="dxa"/>
              <w:left w:w="80" w:type="dxa"/>
              <w:right w:w="80" w:type="dxa"/>
            </w:tcMar>
          </w:tcPr>
          <w:p>
            <w:pPr>
              <w:jc w:val="center"/>
            </w:pPr>
            <w:r>
              <w:rPr>
                <w:sz w:val="17"/>
              </w:rPr>
              <w:t>0.15 (15%)</w:t>
            </w:r>
          </w:p>
        </w:tc>
      </w:tr>
      <w:tr>
        <w:tc>
          <w:tcPr>
            <w:tcW w:type="dxa" w:w="1814"/>
            <w:tcMar>
              <w:top w:w="60" w:type="dxa"/>
              <w:bottom w:w="60" w:type="dxa"/>
              <w:left w:w="80" w:type="dxa"/>
              <w:right w:w="80" w:type="dxa"/>
            </w:tcMar>
          </w:tcPr>
          <w:p>
            <w:pPr>
              <w:jc w:val="center"/>
            </w:pPr>
            <w:r>
              <w:rPr>
                <w:sz w:val="17"/>
              </w:rPr>
              <w:t>C4</w:t>
            </w:r>
          </w:p>
        </w:tc>
        <w:tc>
          <w:tcPr>
            <w:tcW w:type="dxa" w:w="1814"/>
            <w:tcMar>
              <w:top w:w="60" w:type="dxa"/>
              <w:bottom w:w="60" w:type="dxa"/>
              <w:left w:w="80" w:type="dxa"/>
              <w:right w:w="80" w:type="dxa"/>
            </w:tcMar>
          </w:tcPr>
          <w:p>
            <w:pPr>
              <w:jc w:val="left"/>
            </w:pPr>
            <w:r>
              <w:rPr>
                <w:sz w:val="17"/>
              </w:rPr>
              <w:t>Geographical Haversine Distance</w:t>
            </w:r>
          </w:p>
        </w:tc>
        <w:tc>
          <w:tcPr>
            <w:tcW w:type="dxa" w:w="1814"/>
            <w:tcMar>
              <w:top w:w="60" w:type="dxa"/>
              <w:bottom w:w="60" w:type="dxa"/>
              <w:left w:w="80" w:type="dxa"/>
              <w:right w:w="80" w:type="dxa"/>
            </w:tcMar>
          </w:tcPr>
          <w:p>
            <w:pPr>
              <w:jc w:val="center"/>
            </w:pPr>
            <w:r>
              <w:rPr>
                <w:sz w:val="17"/>
              </w:rPr>
              <w:t>Cost</w:t>
            </w:r>
          </w:p>
        </w:tc>
        <w:tc>
          <w:tcPr>
            <w:tcW w:type="dxa" w:w="1814"/>
            <w:tcMar>
              <w:top w:w="60" w:type="dxa"/>
              <w:bottom w:w="60" w:type="dxa"/>
              <w:left w:w="80" w:type="dxa"/>
              <w:right w:w="80" w:type="dxa"/>
            </w:tcMar>
          </w:tcPr>
          <w:p>
            <w:pPr>
              <w:jc w:val="center"/>
            </w:pPr>
            <w:r>
              <w:rPr>
                <w:sz w:val="17"/>
              </w:rPr>
              <w:t>Kilometers (km)</w:t>
            </w:r>
          </w:p>
        </w:tc>
        <w:tc>
          <w:tcPr>
            <w:tcW w:type="dxa" w:w="1814"/>
            <w:tcMar>
              <w:top w:w="60" w:type="dxa"/>
              <w:bottom w:w="60" w:type="dxa"/>
              <w:left w:w="80" w:type="dxa"/>
              <w:right w:w="80" w:type="dxa"/>
            </w:tcMar>
          </w:tcPr>
          <w:p>
            <w:pPr>
              <w:jc w:val="center"/>
            </w:pPr>
            <w:r>
              <w:rPr>
                <w:sz w:val="17"/>
              </w:rPr>
              <w:t>0.20 (20%)</w:t>
            </w:r>
          </w:p>
        </w:tc>
      </w:tr>
      <w:tr>
        <w:tc>
          <w:tcPr>
            <w:tcW w:type="dxa" w:w="1814"/>
            <w:tcMar>
              <w:top w:w="60" w:type="dxa"/>
              <w:bottom w:w="60" w:type="dxa"/>
              <w:left w:w="80" w:type="dxa"/>
              <w:right w:w="80" w:type="dxa"/>
            </w:tcMar>
          </w:tcPr>
          <w:p>
            <w:pPr>
              <w:jc w:val="center"/>
            </w:pPr>
            <w:r>
              <w:rPr>
                <w:sz w:val="17"/>
              </w:rPr>
              <w:t>C5</w:t>
            </w:r>
          </w:p>
        </w:tc>
        <w:tc>
          <w:tcPr>
            <w:tcW w:type="dxa" w:w="1814"/>
            <w:tcMar>
              <w:top w:w="60" w:type="dxa"/>
              <w:bottom w:w="60" w:type="dxa"/>
              <w:left w:w="80" w:type="dxa"/>
              <w:right w:w="80" w:type="dxa"/>
            </w:tcMar>
          </w:tcPr>
          <w:p>
            <w:pPr>
              <w:jc w:val="left"/>
            </w:pPr>
            <w:r>
              <w:rPr>
                <w:sz w:val="17"/>
              </w:rPr>
              <w:t>Distribution Fairness (Days Inactive)</w:t>
            </w:r>
          </w:p>
        </w:tc>
        <w:tc>
          <w:tcPr>
            <w:tcW w:type="dxa" w:w="1814"/>
            <w:tcMar>
              <w:top w:w="60" w:type="dxa"/>
              <w:bottom w:w="60" w:type="dxa"/>
              <w:left w:w="80" w:type="dxa"/>
              <w:right w:w="80" w:type="dxa"/>
            </w:tcMar>
          </w:tcPr>
          <w:p>
            <w:pPr>
              <w:jc w:val="center"/>
            </w:pPr>
            <w:r>
              <w:rPr>
                <w:sz w:val="17"/>
              </w:rPr>
              <w:t>Benefit</w:t>
            </w:r>
          </w:p>
        </w:tc>
        <w:tc>
          <w:tcPr>
            <w:tcW w:type="dxa" w:w="1814"/>
            <w:tcMar>
              <w:top w:w="60" w:type="dxa"/>
              <w:bottom w:w="60" w:type="dxa"/>
              <w:left w:w="80" w:type="dxa"/>
              <w:right w:w="80" w:type="dxa"/>
            </w:tcMar>
          </w:tcPr>
          <w:p>
            <w:pPr>
              <w:jc w:val="center"/>
            </w:pPr>
            <w:r>
              <w:rPr>
                <w:sz w:val="17"/>
              </w:rPr>
              <w:t>Days (day)</w:t>
            </w:r>
          </w:p>
        </w:tc>
        <w:tc>
          <w:tcPr>
            <w:tcW w:type="dxa" w:w="1814"/>
            <w:tcMar>
              <w:top w:w="60" w:type="dxa"/>
              <w:bottom w:w="60" w:type="dxa"/>
              <w:left w:w="80" w:type="dxa"/>
              <w:right w:w="80" w:type="dxa"/>
            </w:tcMar>
          </w:tcPr>
          <w:p>
            <w:pPr>
              <w:jc w:val="center"/>
            </w:pPr>
            <w:r>
              <w:rPr>
                <w:sz w:val="17"/>
              </w:rPr>
              <w:t>0.15 (15%)</w:t>
            </w:r>
          </w:p>
        </w:tc>
      </w:tr>
    </w:tbl>
    <w:p>
      <w:pPr>
        <w:spacing w:after="120"/>
      </w:pPr>
    </w:p>
    <w:p>
      <w:pPr>
        <w:spacing w:line="276" w:lineRule="auto" w:after="80"/>
        <w:jc w:val="both"/>
      </w:pPr>
      <w:r>
        <w:t>The mathematical execution of the hybrid algorithm begins with the calculation of spatial Haversine distance for criterion C4. The spherical distance d between donor coordinates (lat1, lon1) and recipient coordinates (lat2, lon2) is computed via (1) and (2):</w:t>
      </w:r>
    </w:p>
    <w:p>
      <w:pPr>
        <w:spacing w:after="40"/>
        <w:jc w:val="center"/>
      </w:pPr>
      <w:r>
        <w:rPr>
          <w:i/>
          <w:sz w:val="19"/>
        </w:rPr>
        <w:t>a = sin²(Δlat / 2) + cos(lat1) · cos(lat2) · sin²(Δlon / 2)                                 (1)</w:t>
      </w:r>
    </w:p>
    <w:p>
      <w:pPr>
        <w:spacing w:after="80"/>
        <w:jc w:val="center"/>
      </w:pPr>
      <w:r>
        <w:rPr>
          <w:i/>
          <w:sz w:val="19"/>
        </w:rPr>
        <w:t>d = 2 · R · atan2(√a, √(1 - a))                                                         (2)</w:t>
      </w:r>
    </w:p>
    <w:p>
      <w:pPr>
        <w:spacing w:line="276" w:lineRule="auto" w:after="80"/>
        <w:jc w:val="both"/>
      </w:pPr>
      <w:r>
        <w:t>In these equations, R = 6371.0 km represents the mean radius of the Earth. Subsequently, the decision matrix X = [x_ij] undergoes vector normalization where normalized elements r_ij are computed using Euclidean vector normalization as expressed in (3):</w:t>
      </w:r>
    </w:p>
    <w:p>
      <w:pPr>
        <w:spacing w:after="80"/>
        <w:jc w:val="center"/>
      </w:pPr>
      <w:r>
        <w:rPr>
          <w:i/>
          <w:sz w:val="19"/>
        </w:rPr>
        <w:t>r_ij = x_ij / √( Σ_(k=1)^m (x_kj)² )                                                     (3)</w:t>
      </w:r>
    </w:p>
    <w:p>
      <w:pPr>
        <w:spacing w:line="276" w:lineRule="auto" w:after="80"/>
        <w:jc w:val="both"/>
      </w:pPr>
      <w:r>
        <w:t>Following matrix normalization, objective criteria weights are derived using Shannon entropy. Probability values p_ij and entropy values E_j, where k = 1 / ln(m), are calculated using (4) and (5):</w:t>
      </w:r>
    </w:p>
    <w:p>
      <w:pPr>
        <w:spacing w:after="40"/>
        <w:jc w:val="center"/>
      </w:pPr>
      <w:r>
        <w:rPr>
          <w:i/>
          <w:sz w:val="19"/>
        </w:rPr>
        <w:t>p_ij = r_ij / ( Σ_(k=1)^m r_kj )                                                        (4)</w:t>
      </w:r>
    </w:p>
    <w:p>
      <w:pPr>
        <w:spacing w:after="80"/>
        <w:jc w:val="center"/>
      </w:pPr>
      <w:r>
        <w:rPr>
          <w:i/>
          <w:sz w:val="19"/>
        </w:rPr>
        <w:t>E_j = - k · Σ_(i=1)^m [ p_ij · ln(p_ij) ]                                                (5)</w:t>
      </w:r>
    </w:p>
    <w:p>
      <w:pPr>
        <w:spacing w:line="276" w:lineRule="auto" w:after="80"/>
        <w:jc w:val="both"/>
      </w:pPr>
      <w:r>
        <w:t>The divergence degree d_j = 1 - E_j determines objective weight w_j^(entropy) in (6):</w:t>
      </w:r>
    </w:p>
    <w:p>
      <w:pPr>
        <w:spacing w:after="80"/>
        <w:jc w:val="center"/>
      </w:pPr>
      <w:r>
        <w:rPr>
          <w:i/>
          <w:sz w:val="19"/>
        </w:rPr>
        <w:t>w_j^(entropy) = d_j / ( Σ_(j=1)^n d_j )                                                 (6)</w:t>
      </w:r>
    </w:p>
    <w:p>
      <w:pPr>
        <w:spacing w:line="276" w:lineRule="auto" w:after="80"/>
        <w:jc w:val="both"/>
      </w:pPr>
      <w:r>
        <w:t>To synthesize organizational policy and empirical data distribution, hybrid criteria weights W_j combine subjective baseline policy weights w_j^(policy) with objective entropy weights w_j^(entropy) using the compromise parameter alpha = 0.50 as formulated in (7):</w:t>
      </w:r>
    </w:p>
    <w:p>
      <w:pPr>
        <w:spacing w:after="80"/>
        <w:jc w:val="center"/>
      </w:pPr>
      <w:r>
        <w:rPr>
          <w:i/>
          <w:sz w:val="19"/>
        </w:rPr>
        <w:t>W_j = [ α · w_j^(policy) + (1 - α) · w_j^(entropy) ] / Σ W_k                               (7)</w:t>
      </w:r>
    </w:p>
    <w:p>
      <w:pPr>
        <w:spacing w:line="276" w:lineRule="auto" w:after="80"/>
        <w:jc w:val="both"/>
      </w:pPr>
      <w:r>
        <w:t>The weighted normalized matrix V = [v_ij] is established via v_ij = r_ij · W_j. Positive Ideal Solutions (A+) and Negative Ideal Solutions (A-) are subsequently determined across Benefit and Cost criteria sets in (8) and (9):</w:t>
      </w:r>
    </w:p>
    <w:p>
      <w:pPr>
        <w:spacing w:after="80"/>
        <w:jc w:val="center"/>
      </w:pPr>
      <w:r>
        <w:rPr>
          <w:i/>
          <w:sz w:val="19"/>
        </w:rPr>
        <w:t>A+ = { max(v_ij) | j ∈ Benefit,  min(v_ij) | j ∈ Cost },   A- = { min(v_ij) | j ∈ Benefit,  max(v_ij) | j ∈ Cost }  (8, 9)</w:t>
      </w:r>
    </w:p>
    <w:p>
      <w:pPr>
        <w:spacing w:line="276" w:lineRule="auto" w:after="80"/>
        <w:jc w:val="both"/>
      </w:pPr>
      <w:r>
        <w:t>Euclidean distances D_i+, D_i- and relative closeness C_i are calculated via (10), (11), and (12):</w:t>
      </w:r>
    </w:p>
    <w:p>
      <w:pPr>
        <w:spacing w:after="80"/>
        <w:jc w:val="center"/>
      </w:pPr>
      <w:r>
        <w:rPr>
          <w:i/>
          <w:sz w:val="19"/>
        </w:rPr>
        <w:t>D_i+ = √( Σ (v_ij - a_j+)² ),    D_i- = √( Σ (v_ij - a_j-)² ),    C_i = D_i- / ( D_i+ + D_i- )  (10, 11, 12)</w:t>
      </w:r>
    </w:p>
    <w:p>
      <w:pPr>
        <w:spacing w:line="276" w:lineRule="auto" w:after="80"/>
        <w:jc w:val="both"/>
      </w:pPr>
      <w:r>
        <w:t>To prevent donation monopolies and maintain equitable distribution among participating shelters, a dynamic 24-hour anti-hoarding penalty adjustment is applied to formulate the final ranking score in (13):</w:t>
      </w:r>
    </w:p>
    <w:p>
      <w:pPr>
        <w:spacing w:after="80"/>
        <w:jc w:val="center"/>
      </w:pPr>
      <w:r>
        <w:rPr>
          <w:i/>
          <w:sz w:val="19"/>
        </w:rPr>
        <w:t>C_i^(final) = C_i · [ 1.0 - ( 0.70 · f_i ) ]                                             (13)</w:t>
      </w:r>
    </w:p>
    <w:p>
      <w:pPr>
        <w:pStyle w:val="Heading1"/>
        <w:spacing w:before="280" w:after="80"/>
      </w:pPr>
      <w:r>
        <w:rPr>
          <w:rFonts w:ascii="Times New Roman" w:hAnsi="Times New Roman"/>
          <w:b/>
          <w:sz w:val="24"/>
        </w:rPr>
        <w:t>RESULT</w:t>
      </w:r>
    </w:p>
    <w:p>
      <w:pPr>
        <w:spacing w:line="276" w:lineRule="auto" w:after="120"/>
        <w:jc w:val="both"/>
      </w:pPr>
      <w:r>
        <w:t>The proposed algorithm was evaluated on a verified operational simulation dataset in Yogyakarta, Indonesia. The donor profile corresponds to a commercial hotel offering a surplus batch of 40 meal portions (total protein = 1,000 g) with an impending consumption deadline of 4.5 hours (C3 = 4.5 hr). Five registered welfare institutions (A1 through A5) competed for the allocation, as presented in Table 2.</w:t>
      </w:r>
    </w:p>
    <w:p>
      <w:pPr>
        <w:spacing w:before="160" w:after="40"/>
        <w:jc w:val="left"/>
      </w:pPr>
      <w:r>
        <w:rPr>
          <w:b/>
          <w:sz w:val="19"/>
        </w:rPr>
        <w:t>Table 2. Initial Decision Matrix of Candidate Social Welfare Recipients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12"/>
        <w:gridCol w:w="1512"/>
        <w:gridCol w:w="1512"/>
        <w:gridCol w:w="1512"/>
        <w:gridCol w:w="1512"/>
        <w:gridCol w:w="1512"/>
      </w:tblGrid>
      <w:tr>
        <w:tc>
          <w:tcPr>
            <w:tcW w:type="dxa" w:w="1512"/>
            <w:shd w:fill="F3F4F6"/>
            <w:tcMar>
              <w:top w:w="80" w:type="dxa"/>
              <w:bottom w:w="80" w:type="dxa"/>
              <w:left w:w="100" w:type="dxa"/>
              <w:right w:w="100" w:type="dxa"/>
            </w:tcMar>
            <w:tcBorders>
              <w:bottom w:val="single" w:sz="6" w:space="0" w:color="000000"/>
            </w:tcBorders>
          </w:tcPr>
          <w:p>
            <w:pPr>
              <w:jc w:val="center"/>
            </w:pPr>
            <w:r>
              <w:rPr>
                <w:b/>
                <w:sz w:val="18"/>
              </w:rPr>
              <w:t>Alternative</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C1 (Protein %)</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C2 (Urgency)</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C3 (Shelf Life - hr)</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C4 (Distance - km)</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C5 (Days Inactive)</w:t>
            </w:r>
          </w:p>
        </w:tc>
      </w:tr>
      <w:tr>
        <w:tc>
          <w:tcPr>
            <w:tcW w:type="dxa" w:w="1512"/>
            <w:tcMar>
              <w:top w:w="60" w:type="dxa"/>
              <w:bottom w:w="60" w:type="dxa"/>
              <w:left w:w="80" w:type="dxa"/>
              <w:right w:w="80" w:type="dxa"/>
            </w:tcMar>
          </w:tcPr>
          <w:p>
            <w:pPr>
              <w:jc w:val="left"/>
            </w:pPr>
            <w:r>
              <w:rPr>
                <w:sz w:val="17"/>
              </w:rPr>
              <w:t>A1 (Kasih Ibu Orphanage)</w:t>
            </w:r>
          </w:p>
        </w:tc>
        <w:tc>
          <w:tcPr>
            <w:tcW w:type="dxa" w:w="1512"/>
            <w:tcMar>
              <w:top w:w="60" w:type="dxa"/>
              <w:bottom w:w="60" w:type="dxa"/>
              <w:left w:w="80" w:type="dxa"/>
              <w:right w:w="80" w:type="dxa"/>
            </w:tcMar>
          </w:tcPr>
          <w:p>
            <w:pPr>
              <w:jc w:val="center"/>
            </w:pPr>
            <w:r>
              <w:rPr>
                <w:sz w:val="17"/>
              </w:rPr>
              <w:t>85.0</w:t>
            </w:r>
          </w:p>
        </w:tc>
        <w:tc>
          <w:tcPr>
            <w:tcW w:type="dxa" w:w="1512"/>
            <w:tcMar>
              <w:top w:w="60" w:type="dxa"/>
              <w:bottom w:w="60" w:type="dxa"/>
              <w:left w:w="80" w:type="dxa"/>
              <w:right w:w="80" w:type="dxa"/>
            </w:tcMar>
          </w:tcPr>
          <w:p>
            <w:pPr>
              <w:jc w:val="center"/>
            </w:pPr>
            <w:r>
              <w:rPr>
                <w:sz w:val="17"/>
              </w:rPr>
              <w:t>7.0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2.8</w:t>
            </w:r>
          </w:p>
        </w:tc>
        <w:tc>
          <w:tcPr>
            <w:tcW w:type="dxa" w:w="1512"/>
            <w:tcMar>
              <w:top w:w="60" w:type="dxa"/>
              <w:bottom w:w="60" w:type="dxa"/>
              <w:left w:w="80" w:type="dxa"/>
              <w:right w:w="80" w:type="dxa"/>
            </w:tcMar>
          </w:tcPr>
          <w:p>
            <w:pPr>
              <w:jc w:val="center"/>
            </w:pPr>
            <w:r>
              <w:rPr>
                <w:sz w:val="17"/>
              </w:rPr>
              <w:t>12.0</w:t>
            </w:r>
          </w:p>
        </w:tc>
      </w:tr>
      <w:tr>
        <w:tc>
          <w:tcPr>
            <w:tcW w:type="dxa" w:w="1512"/>
            <w:tcMar>
              <w:top w:w="60" w:type="dxa"/>
              <w:bottom w:w="60" w:type="dxa"/>
              <w:left w:w="80" w:type="dxa"/>
              <w:right w:w="80" w:type="dxa"/>
            </w:tcMar>
          </w:tcPr>
          <w:p>
            <w:pPr>
              <w:jc w:val="left"/>
            </w:pPr>
            <w:r>
              <w:rPr>
                <w:sz w:val="17"/>
              </w:rPr>
              <w:t>A2 (Sejahtera Elderly Home)</w:t>
            </w:r>
          </w:p>
        </w:tc>
        <w:tc>
          <w:tcPr>
            <w:tcW w:type="dxa" w:w="1512"/>
            <w:tcMar>
              <w:top w:w="60" w:type="dxa"/>
              <w:bottom w:w="60" w:type="dxa"/>
              <w:left w:w="80" w:type="dxa"/>
              <w:right w:w="80" w:type="dxa"/>
            </w:tcMar>
          </w:tcPr>
          <w:p>
            <w:pPr>
              <w:jc w:val="center"/>
            </w:pPr>
            <w:r>
              <w:rPr>
                <w:sz w:val="17"/>
              </w:rPr>
              <w:t>45.0</w:t>
            </w:r>
          </w:p>
        </w:tc>
        <w:tc>
          <w:tcPr>
            <w:tcW w:type="dxa" w:w="1512"/>
            <w:tcMar>
              <w:top w:w="60" w:type="dxa"/>
              <w:bottom w:w="60" w:type="dxa"/>
              <w:left w:w="80" w:type="dxa"/>
              <w:right w:w="80" w:type="dxa"/>
            </w:tcMar>
          </w:tcPr>
          <w:p>
            <w:pPr>
              <w:jc w:val="center"/>
            </w:pPr>
            <w:r>
              <w:rPr>
                <w:sz w:val="17"/>
              </w:rPr>
              <w:t>9.0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6.2</w:t>
            </w:r>
          </w:p>
        </w:tc>
        <w:tc>
          <w:tcPr>
            <w:tcW w:type="dxa" w:w="1512"/>
            <w:tcMar>
              <w:top w:w="60" w:type="dxa"/>
              <w:bottom w:w="60" w:type="dxa"/>
              <w:left w:w="80" w:type="dxa"/>
              <w:right w:w="80" w:type="dxa"/>
            </w:tcMar>
          </w:tcPr>
          <w:p>
            <w:pPr>
              <w:jc w:val="center"/>
            </w:pPr>
            <w:r>
              <w:rPr>
                <w:sz w:val="17"/>
              </w:rPr>
              <w:t>4.0</w:t>
            </w:r>
          </w:p>
        </w:tc>
      </w:tr>
      <w:tr>
        <w:tc>
          <w:tcPr>
            <w:tcW w:type="dxa" w:w="1512"/>
            <w:tcMar>
              <w:top w:w="60" w:type="dxa"/>
              <w:bottom w:w="60" w:type="dxa"/>
              <w:left w:w="80" w:type="dxa"/>
              <w:right w:w="80" w:type="dxa"/>
            </w:tcMar>
          </w:tcPr>
          <w:p>
            <w:pPr>
              <w:jc w:val="left"/>
            </w:pPr>
            <w:r>
              <w:rPr>
                <w:sz w:val="17"/>
              </w:rPr>
              <w:t>A3 (Mandiri Shelter)</w:t>
            </w:r>
          </w:p>
        </w:tc>
        <w:tc>
          <w:tcPr>
            <w:tcW w:type="dxa" w:w="1512"/>
            <w:tcMar>
              <w:top w:w="60" w:type="dxa"/>
              <w:bottom w:w="60" w:type="dxa"/>
              <w:left w:w="80" w:type="dxa"/>
              <w:right w:w="80" w:type="dxa"/>
            </w:tcMar>
          </w:tcPr>
          <w:p>
            <w:pPr>
              <w:jc w:val="center"/>
            </w:pPr>
            <w:r>
              <w:rPr>
                <w:sz w:val="17"/>
              </w:rPr>
              <w:t>100.0</w:t>
            </w:r>
          </w:p>
        </w:tc>
        <w:tc>
          <w:tcPr>
            <w:tcW w:type="dxa" w:w="1512"/>
            <w:tcMar>
              <w:top w:w="60" w:type="dxa"/>
              <w:bottom w:w="60" w:type="dxa"/>
              <w:left w:w="80" w:type="dxa"/>
              <w:right w:w="80" w:type="dxa"/>
            </w:tcMar>
          </w:tcPr>
          <w:p>
            <w:pPr>
              <w:jc w:val="center"/>
            </w:pPr>
            <w:r>
              <w:rPr>
                <w:sz w:val="17"/>
              </w:rPr>
              <w:t>1000.0 (Emergency)</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3.5</w:t>
            </w:r>
          </w:p>
        </w:tc>
        <w:tc>
          <w:tcPr>
            <w:tcW w:type="dxa" w:w="1512"/>
            <w:tcMar>
              <w:top w:w="60" w:type="dxa"/>
              <w:bottom w:w="60" w:type="dxa"/>
              <w:left w:w="80" w:type="dxa"/>
              <w:right w:w="80" w:type="dxa"/>
            </w:tcMar>
          </w:tcPr>
          <w:p>
            <w:pPr>
              <w:jc w:val="center"/>
            </w:pPr>
            <w:r>
              <w:rPr>
                <w:sz w:val="17"/>
              </w:rPr>
              <w:t>18.0</w:t>
            </w:r>
          </w:p>
        </w:tc>
      </w:tr>
      <w:tr>
        <w:tc>
          <w:tcPr>
            <w:tcW w:type="dxa" w:w="1512"/>
            <w:tcMar>
              <w:top w:w="60" w:type="dxa"/>
              <w:bottom w:w="60" w:type="dxa"/>
              <w:left w:w="80" w:type="dxa"/>
              <w:right w:w="80" w:type="dxa"/>
            </w:tcMar>
          </w:tcPr>
          <w:p>
            <w:pPr>
              <w:jc w:val="left"/>
            </w:pPr>
            <w:r>
              <w:rPr>
                <w:sz w:val="17"/>
              </w:rPr>
              <w:t>A4 (Al-Falah Orphanage)</w:t>
            </w:r>
          </w:p>
        </w:tc>
        <w:tc>
          <w:tcPr>
            <w:tcW w:type="dxa" w:w="1512"/>
            <w:tcMar>
              <w:top w:w="60" w:type="dxa"/>
              <w:bottom w:w="60" w:type="dxa"/>
              <w:left w:w="80" w:type="dxa"/>
              <w:right w:w="80" w:type="dxa"/>
            </w:tcMar>
          </w:tcPr>
          <w:p>
            <w:pPr>
              <w:jc w:val="center"/>
            </w:pPr>
            <w:r>
              <w:rPr>
                <w:sz w:val="17"/>
              </w:rPr>
              <w:t>60.0</w:t>
            </w:r>
          </w:p>
        </w:tc>
        <w:tc>
          <w:tcPr>
            <w:tcW w:type="dxa" w:w="1512"/>
            <w:tcMar>
              <w:top w:w="60" w:type="dxa"/>
              <w:bottom w:w="60" w:type="dxa"/>
              <w:left w:w="80" w:type="dxa"/>
              <w:right w:w="80" w:type="dxa"/>
            </w:tcMar>
          </w:tcPr>
          <w:p>
            <w:pPr>
              <w:jc w:val="center"/>
            </w:pPr>
            <w:r>
              <w:rPr>
                <w:sz w:val="17"/>
              </w:rPr>
              <w:t>5.0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1.5</w:t>
            </w:r>
          </w:p>
        </w:tc>
        <w:tc>
          <w:tcPr>
            <w:tcW w:type="dxa" w:w="1512"/>
            <w:tcMar>
              <w:top w:w="60" w:type="dxa"/>
              <w:bottom w:w="60" w:type="dxa"/>
              <w:left w:w="80" w:type="dxa"/>
              <w:right w:w="80" w:type="dxa"/>
            </w:tcMar>
          </w:tcPr>
          <w:p>
            <w:pPr>
              <w:jc w:val="center"/>
            </w:pPr>
            <w:r>
              <w:rPr>
                <w:sz w:val="17"/>
              </w:rPr>
              <w:t>1.0</w:t>
            </w:r>
          </w:p>
        </w:tc>
      </w:tr>
      <w:tr>
        <w:tc>
          <w:tcPr>
            <w:tcW w:type="dxa" w:w="1512"/>
            <w:tcMar>
              <w:top w:w="60" w:type="dxa"/>
              <w:bottom w:w="60" w:type="dxa"/>
              <w:left w:w="80" w:type="dxa"/>
              <w:right w:w="80" w:type="dxa"/>
            </w:tcMar>
          </w:tcPr>
          <w:p>
            <w:pPr>
              <w:jc w:val="left"/>
            </w:pPr>
            <w:r>
              <w:rPr>
                <w:sz w:val="17"/>
              </w:rPr>
              <w:t>A5 (Bina Harapan Center)</w:t>
            </w:r>
          </w:p>
        </w:tc>
        <w:tc>
          <w:tcPr>
            <w:tcW w:type="dxa" w:w="1512"/>
            <w:tcMar>
              <w:top w:w="60" w:type="dxa"/>
              <w:bottom w:w="60" w:type="dxa"/>
              <w:left w:w="80" w:type="dxa"/>
              <w:right w:w="80" w:type="dxa"/>
            </w:tcMar>
          </w:tcPr>
          <w:p>
            <w:pPr>
              <w:jc w:val="center"/>
            </w:pPr>
            <w:r>
              <w:rPr>
                <w:sz w:val="17"/>
              </w:rPr>
              <w:t>30.0</w:t>
            </w:r>
          </w:p>
        </w:tc>
        <w:tc>
          <w:tcPr>
            <w:tcW w:type="dxa" w:w="1512"/>
            <w:tcMar>
              <w:top w:w="60" w:type="dxa"/>
              <w:bottom w:w="60" w:type="dxa"/>
              <w:left w:w="80" w:type="dxa"/>
              <w:right w:w="80" w:type="dxa"/>
            </w:tcMar>
          </w:tcPr>
          <w:p>
            <w:pPr>
              <w:jc w:val="center"/>
            </w:pPr>
            <w:r>
              <w:rPr>
                <w:sz w:val="17"/>
              </w:rPr>
              <w:t>6.0</w:t>
            </w:r>
          </w:p>
        </w:tc>
        <w:tc>
          <w:tcPr>
            <w:tcW w:type="dxa" w:w="1512"/>
            <w:tcMar>
              <w:top w:w="60" w:type="dxa"/>
              <w:bottom w:w="60" w:type="dxa"/>
              <w:left w:w="80" w:type="dxa"/>
              <w:right w:w="80" w:type="dxa"/>
            </w:tcMar>
          </w:tcPr>
          <w:p>
            <w:pPr>
              <w:jc w:val="center"/>
            </w:pPr>
            <w:r>
              <w:rPr>
                <w:sz w:val="17"/>
              </w:rPr>
              <w:t>4.5</w:t>
            </w:r>
          </w:p>
        </w:tc>
        <w:tc>
          <w:tcPr>
            <w:tcW w:type="dxa" w:w="1512"/>
            <w:tcMar>
              <w:top w:w="60" w:type="dxa"/>
              <w:bottom w:w="60" w:type="dxa"/>
              <w:left w:w="80" w:type="dxa"/>
              <w:right w:w="80" w:type="dxa"/>
            </w:tcMar>
          </w:tcPr>
          <w:p>
            <w:pPr>
              <w:jc w:val="center"/>
            </w:pPr>
            <w:r>
              <w:rPr>
                <w:sz w:val="17"/>
              </w:rPr>
              <w:t>9.8</w:t>
            </w:r>
          </w:p>
        </w:tc>
        <w:tc>
          <w:tcPr>
            <w:tcW w:type="dxa" w:w="1512"/>
            <w:tcMar>
              <w:top w:w="60" w:type="dxa"/>
              <w:bottom w:w="60" w:type="dxa"/>
              <w:left w:w="80" w:type="dxa"/>
              <w:right w:w="80" w:type="dxa"/>
            </w:tcMar>
          </w:tcPr>
          <w:p>
            <w:pPr>
              <w:jc w:val="center"/>
            </w:pPr>
            <w:r>
              <w:rPr>
                <w:sz w:val="17"/>
              </w:rPr>
              <w:t>7.0</w:t>
            </w:r>
          </w:p>
        </w:tc>
      </w:tr>
    </w:tbl>
    <w:p>
      <w:pPr>
        <w:spacing w:after="120"/>
      </w:pPr>
    </w:p>
    <w:p>
      <w:pPr>
        <w:spacing w:before="160" w:after="40"/>
        <w:jc w:val="left"/>
      </w:pPr>
      <w:r>
        <w:rPr>
          <w:b/>
          <w:sz w:val="19"/>
        </w:rPr>
        <w:t>Table 3. Shannon Entropy, Divergence Degrees, and Hybrid Criteria Weights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12"/>
        <w:gridCol w:w="1512"/>
        <w:gridCol w:w="1512"/>
        <w:gridCol w:w="1512"/>
        <w:gridCol w:w="1512"/>
        <w:gridCol w:w="1512"/>
      </w:tblGrid>
      <w:tr>
        <w:tc>
          <w:tcPr>
            <w:tcW w:type="dxa" w:w="1512"/>
            <w:shd w:fill="F3F4F6"/>
            <w:tcMar>
              <w:top w:w="80" w:type="dxa"/>
              <w:bottom w:w="80" w:type="dxa"/>
              <w:left w:w="100" w:type="dxa"/>
              <w:right w:w="100" w:type="dxa"/>
            </w:tcMar>
            <w:tcBorders>
              <w:bottom w:val="single" w:sz="6" w:space="0" w:color="000000"/>
            </w:tcBorders>
          </w:tcPr>
          <w:p>
            <w:pPr>
              <w:jc w:val="center"/>
            </w:pPr>
            <w:r>
              <w:rPr>
                <w:b/>
                <w:sz w:val="18"/>
              </w:rPr>
              <w:t>Criterion</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Entropy (E_j)</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Divergence (d_j)</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Entropy Weight</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Policy Weight</w:t>
            </w:r>
          </w:p>
        </w:tc>
        <w:tc>
          <w:tcPr>
            <w:tcW w:type="dxa" w:w="1512"/>
            <w:shd w:fill="F3F4F6"/>
            <w:tcMar>
              <w:top w:w="80" w:type="dxa"/>
              <w:bottom w:w="80" w:type="dxa"/>
              <w:left w:w="100" w:type="dxa"/>
              <w:right w:w="100" w:type="dxa"/>
            </w:tcMar>
            <w:tcBorders>
              <w:bottom w:val="single" w:sz="6" w:space="0" w:color="000000"/>
            </w:tcBorders>
          </w:tcPr>
          <w:p>
            <w:pPr>
              <w:jc w:val="center"/>
            </w:pPr>
            <w:r>
              <w:rPr>
                <w:b/>
                <w:sz w:val="18"/>
              </w:rPr>
              <w:t>Hybrid Weight (W_j)</w:t>
            </w:r>
          </w:p>
        </w:tc>
      </w:tr>
      <w:tr>
        <w:tc>
          <w:tcPr>
            <w:tcW w:type="dxa" w:w="1512"/>
            <w:tcMar>
              <w:top w:w="60" w:type="dxa"/>
              <w:bottom w:w="60" w:type="dxa"/>
              <w:left w:w="80" w:type="dxa"/>
              <w:right w:w="80" w:type="dxa"/>
            </w:tcMar>
          </w:tcPr>
          <w:p>
            <w:pPr>
              <w:jc w:val="left"/>
            </w:pPr>
            <w:r>
              <w:rPr>
                <w:sz w:val="17"/>
              </w:rPr>
              <w:t>C1 (Protein Deficit)</w:t>
            </w:r>
          </w:p>
        </w:tc>
        <w:tc>
          <w:tcPr>
            <w:tcW w:type="dxa" w:w="1512"/>
            <w:tcMar>
              <w:top w:w="60" w:type="dxa"/>
              <w:bottom w:w="60" w:type="dxa"/>
              <w:left w:w="80" w:type="dxa"/>
              <w:right w:w="80" w:type="dxa"/>
            </w:tcMar>
          </w:tcPr>
          <w:p>
            <w:pPr>
              <w:jc w:val="center"/>
            </w:pPr>
            <w:r>
              <w:rPr>
                <w:sz w:val="17"/>
              </w:rPr>
              <w:t>0.9412</w:t>
            </w:r>
          </w:p>
        </w:tc>
        <w:tc>
          <w:tcPr>
            <w:tcW w:type="dxa" w:w="1512"/>
            <w:tcMar>
              <w:top w:w="60" w:type="dxa"/>
              <w:bottom w:w="60" w:type="dxa"/>
              <w:left w:w="80" w:type="dxa"/>
              <w:right w:w="80" w:type="dxa"/>
            </w:tcMar>
          </w:tcPr>
          <w:p>
            <w:pPr>
              <w:jc w:val="center"/>
            </w:pPr>
            <w:r>
              <w:rPr>
                <w:sz w:val="17"/>
              </w:rPr>
              <w:t>0.0588</w:t>
            </w:r>
          </w:p>
        </w:tc>
        <w:tc>
          <w:tcPr>
            <w:tcW w:type="dxa" w:w="1512"/>
            <w:tcMar>
              <w:top w:w="60" w:type="dxa"/>
              <w:bottom w:w="60" w:type="dxa"/>
              <w:left w:w="80" w:type="dxa"/>
              <w:right w:w="80" w:type="dxa"/>
            </w:tcMar>
          </w:tcPr>
          <w:p>
            <w:pPr>
              <w:jc w:val="center"/>
            </w:pPr>
            <w:r>
              <w:rPr>
                <w:sz w:val="17"/>
              </w:rPr>
              <w:t>0.0821</w:t>
            </w:r>
          </w:p>
        </w:tc>
        <w:tc>
          <w:tcPr>
            <w:tcW w:type="dxa" w:w="1512"/>
            <w:tcMar>
              <w:top w:w="60" w:type="dxa"/>
              <w:bottom w:w="60" w:type="dxa"/>
              <w:left w:w="80" w:type="dxa"/>
              <w:right w:w="80" w:type="dxa"/>
            </w:tcMar>
          </w:tcPr>
          <w:p>
            <w:pPr>
              <w:jc w:val="center"/>
            </w:pPr>
            <w:r>
              <w:rPr>
                <w:sz w:val="17"/>
              </w:rPr>
              <w:t>0.2500</w:t>
            </w:r>
          </w:p>
        </w:tc>
        <w:tc>
          <w:tcPr>
            <w:tcW w:type="dxa" w:w="1512"/>
            <w:tcMar>
              <w:top w:w="60" w:type="dxa"/>
              <w:bottom w:w="60" w:type="dxa"/>
              <w:left w:w="80" w:type="dxa"/>
              <w:right w:w="80" w:type="dxa"/>
            </w:tcMar>
          </w:tcPr>
          <w:p>
            <w:pPr>
              <w:jc w:val="center"/>
            </w:pPr>
            <w:r>
              <w:rPr>
                <w:sz w:val="17"/>
              </w:rPr>
              <w:t>0.1661</w:t>
            </w:r>
          </w:p>
        </w:tc>
      </w:tr>
      <w:tr>
        <w:tc>
          <w:tcPr>
            <w:tcW w:type="dxa" w:w="1512"/>
            <w:tcMar>
              <w:top w:w="60" w:type="dxa"/>
              <w:bottom w:w="60" w:type="dxa"/>
              <w:left w:w="80" w:type="dxa"/>
              <w:right w:w="80" w:type="dxa"/>
            </w:tcMar>
          </w:tcPr>
          <w:p>
            <w:pPr>
              <w:jc w:val="left"/>
            </w:pPr>
            <w:r>
              <w:rPr>
                <w:sz w:val="17"/>
              </w:rPr>
              <w:t>C2 (Urgency Score)</w:t>
            </w:r>
          </w:p>
        </w:tc>
        <w:tc>
          <w:tcPr>
            <w:tcW w:type="dxa" w:w="1512"/>
            <w:tcMar>
              <w:top w:w="60" w:type="dxa"/>
              <w:bottom w:w="60" w:type="dxa"/>
              <w:left w:w="80" w:type="dxa"/>
              <w:right w:w="80" w:type="dxa"/>
            </w:tcMar>
          </w:tcPr>
          <w:p>
            <w:pPr>
              <w:jc w:val="center"/>
            </w:pPr>
            <w:r>
              <w:rPr>
                <w:sz w:val="17"/>
              </w:rPr>
              <w:t>0.5824</w:t>
            </w:r>
          </w:p>
        </w:tc>
        <w:tc>
          <w:tcPr>
            <w:tcW w:type="dxa" w:w="1512"/>
            <w:tcMar>
              <w:top w:w="60" w:type="dxa"/>
              <w:bottom w:w="60" w:type="dxa"/>
              <w:left w:w="80" w:type="dxa"/>
              <w:right w:w="80" w:type="dxa"/>
            </w:tcMar>
          </w:tcPr>
          <w:p>
            <w:pPr>
              <w:jc w:val="center"/>
            </w:pPr>
            <w:r>
              <w:rPr>
                <w:sz w:val="17"/>
              </w:rPr>
              <w:t>0.4176</w:t>
            </w:r>
          </w:p>
        </w:tc>
        <w:tc>
          <w:tcPr>
            <w:tcW w:type="dxa" w:w="1512"/>
            <w:tcMar>
              <w:top w:w="60" w:type="dxa"/>
              <w:bottom w:w="60" w:type="dxa"/>
              <w:left w:w="80" w:type="dxa"/>
              <w:right w:w="80" w:type="dxa"/>
            </w:tcMar>
          </w:tcPr>
          <w:p>
            <w:pPr>
              <w:jc w:val="center"/>
            </w:pPr>
            <w:r>
              <w:rPr>
                <w:sz w:val="17"/>
              </w:rPr>
              <w:t>0.5832</w:t>
            </w:r>
          </w:p>
        </w:tc>
        <w:tc>
          <w:tcPr>
            <w:tcW w:type="dxa" w:w="1512"/>
            <w:tcMar>
              <w:top w:w="60" w:type="dxa"/>
              <w:bottom w:w="60" w:type="dxa"/>
              <w:left w:w="80" w:type="dxa"/>
              <w:right w:w="80" w:type="dxa"/>
            </w:tcMar>
          </w:tcPr>
          <w:p>
            <w:pPr>
              <w:jc w:val="center"/>
            </w:pPr>
            <w:r>
              <w:rPr>
                <w:sz w:val="17"/>
              </w:rPr>
              <w:t>0.2500</w:t>
            </w:r>
          </w:p>
        </w:tc>
        <w:tc>
          <w:tcPr>
            <w:tcW w:type="dxa" w:w="1512"/>
            <w:tcMar>
              <w:top w:w="60" w:type="dxa"/>
              <w:bottom w:w="60" w:type="dxa"/>
              <w:left w:w="80" w:type="dxa"/>
              <w:right w:w="80" w:type="dxa"/>
            </w:tcMar>
          </w:tcPr>
          <w:p>
            <w:pPr>
              <w:jc w:val="center"/>
            </w:pPr>
            <w:r>
              <w:rPr>
                <w:sz w:val="17"/>
              </w:rPr>
              <w:t>0.4166</w:t>
            </w:r>
          </w:p>
        </w:tc>
      </w:tr>
      <w:tr>
        <w:tc>
          <w:tcPr>
            <w:tcW w:type="dxa" w:w="1512"/>
            <w:tcMar>
              <w:top w:w="60" w:type="dxa"/>
              <w:bottom w:w="60" w:type="dxa"/>
              <w:left w:w="80" w:type="dxa"/>
              <w:right w:w="80" w:type="dxa"/>
            </w:tcMar>
          </w:tcPr>
          <w:p>
            <w:pPr>
              <w:jc w:val="left"/>
            </w:pPr>
            <w:r>
              <w:rPr>
                <w:sz w:val="17"/>
              </w:rPr>
              <w:t>C3 (Shelf Life)</w:t>
            </w:r>
          </w:p>
        </w:tc>
        <w:tc>
          <w:tcPr>
            <w:tcW w:type="dxa" w:w="1512"/>
            <w:tcMar>
              <w:top w:w="60" w:type="dxa"/>
              <w:bottom w:w="60" w:type="dxa"/>
              <w:left w:w="80" w:type="dxa"/>
              <w:right w:w="80" w:type="dxa"/>
            </w:tcMar>
          </w:tcPr>
          <w:p>
            <w:pPr>
              <w:jc w:val="center"/>
            </w:pPr>
            <w:r>
              <w:rPr>
                <w:sz w:val="17"/>
              </w:rPr>
              <w:t>1.0000</w:t>
            </w:r>
          </w:p>
        </w:tc>
        <w:tc>
          <w:tcPr>
            <w:tcW w:type="dxa" w:w="1512"/>
            <w:tcMar>
              <w:top w:w="60" w:type="dxa"/>
              <w:bottom w:w="60" w:type="dxa"/>
              <w:left w:w="80" w:type="dxa"/>
              <w:right w:w="80" w:type="dxa"/>
            </w:tcMar>
          </w:tcPr>
          <w:p>
            <w:pPr>
              <w:jc w:val="center"/>
            </w:pPr>
            <w:r>
              <w:rPr>
                <w:sz w:val="17"/>
              </w:rPr>
              <w:t>0.0000</w:t>
            </w:r>
          </w:p>
        </w:tc>
        <w:tc>
          <w:tcPr>
            <w:tcW w:type="dxa" w:w="1512"/>
            <w:tcMar>
              <w:top w:w="60" w:type="dxa"/>
              <w:bottom w:w="60" w:type="dxa"/>
              <w:left w:w="80" w:type="dxa"/>
              <w:right w:w="80" w:type="dxa"/>
            </w:tcMar>
          </w:tcPr>
          <w:p>
            <w:pPr>
              <w:jc w:val="center"/>
            </w:pPr>
            <w:r>
              <w:rPr>
                <w:sz w:val="17"/>
              </w:rPr>
              <w:t>0.0000</w:t>
            </w:r>
          </w:p>
        </w:tc>
        <w:tc>
          <w:tcPr>
            <w:tcW w:type="dxa" w:w="1512"/>
            <w:tcMar>
              <w:top w:w="60" w:type="dxa"/>
              <w:bottom w:w="60" w:type="dxa"/>
              <w:left w:w="80" w:type="dxa"/>
              <w:right w:w="80" w:type="dxa"/>
            </w:tcMar>
          </w:tcPr>
          <w:p>
            <w:pPr>
              <w:jc w:val="center"/>
            </w:pPr>
            <w:r>
              <w:rPr>
                <w:sz w:val="17"/>
              </w:rPr>
              <w:t>0.1500</w:t>
            </w:r>
          </w:p>
        </w:tc>
        <w:tc>
          <w:tcPr>
            <w:tcW w:type="dxa" w:w="1512"/>
            <w:tcMar>
              <w:top w:w="60" w:type="dxa"/>
              <w:bottom w:w="60" w:type="dxa"/>
              <w:left w:w="80" w:type="dxa"/>
              <w:right w:w="80" w:type="dxa"/>
            </w:tcMar>
          </w:tcPr>
          <w:p>
            <w:pPr>
              <w:jc w:val="center"/>
            </w:pPr>
            <w:r>
              <w:rPr>
                <w:sz w:val="17"/>
              </w:rPr>
              <w:t>0.0750</w:t>
            </w:r>
          </w:p>
        </w:tc>
      </w:tr>
      <w:tr>
        <w:tc>
          <w:tcPr>
            <w:tcW w:type="dxa" w:w="1512"/>
            <w:tcMar>
              <w:top w:w="60" w:type="dxa"/>
              <w:bottom w:w="60" w:type="dxa"/>
              <w:left w:w="80" w:type="dxa"/>
              <w:right w:w="80" w:type="dxa"/>
            </w:tcMar>
          </w:tcPr>
          <w:p>
            <w:pPr>
              <w:jc w:val="left"/>
            </w:pPr>
            <w:r>
              <w:rPr>
                <w:sz w:val="17"/>
              </w:rPr>
              <w:t>C4 (Distance - km)</w:t>
            </w:r>
          </w:p>
        </w:tc>
        <w:tc>
          <w:tcPr>
            <w:tcW w:type="dxa" w:w="1512"/>
            <w:tcMar>
              <w:top w:w="60" w:type="dxa"/>
              <w:bottom w:w="60" w:type="dxa"/>
              <w:left w:w="80" w:type="dxa"/>
              <w:right w:w="80" w:type="dxa"/>
            </w:tcMar>
          </w:tcPr>
          <w:p>
            <w:pPr>
              <w:jc w:val="center"/>
            </w:pPr>
            <w:r>
              <w:rPr>
                <w:sz w:val="17"/>
              </w:rPr>
              <w:t>0.8921</w:t>
            </w:r>
          </w:p>
        </w:tc>
        <w:tc>
          <w:tcPr>
            <w:tcW w:type="dxa" w:w="1512"/>
            <w:tcMar>
              <w:top w:w="60" w:type="dxa"/>
              <w:bottom w:w="60" w:type="dxa"/>
              <w:left w:w="80" w:type="dxa"/>
              <w:right w:w="80" w:type="dxa"/>
            </w:tcMar>
          </w:tcPr>
          <w:p>
            <w:pPr>
              <w:jc w:val="center"/>
            </w:pPr>
            <w:r>
              <w:rPr>
                <w:sz w:val="17"/>
              </w:rPr>
              <w:t>0.1079</w:t>
            </w:r>
          </w:p>
        </w:tc>
        <w:tc>
          <w:tcPr>
            <w:tcW w:type="dxa" w:w="1512"/>
            <w:tcMar>
              <w:top w:w="60" w:type="dxa"/>
              <w:bottom w:w="60" w:type="dxa"/>
              <w:left w:w="80" w:type="dxa"/>
              <w:right w:w="80" w:type="dxa"/>
            </w:tcMar>
          </w:tcPr>
          <w:p>
            <w:pPr>
              <w:jc w:val="center"/>
            </w:pPr>
            <w:r>
              <w:rPr>
                <w:sz w:val="17"/>
              </w:rPr>
              <w:t>0.1507</w:t>
            </w:r>
          </w:p>
        </w:tc>
        <w:tc>
          <w:tcPr>
            <w:tcW w:type="dxa" w:w="1512"/>
            <w:tcMar>
              <w:top w:w="60" w:type="dxa"/>
              <w:bottom w:w="60" w:type="dxa"/>
              <w:left w:w="80" w:type="dxa"/>
              <w:right w:w="80" w:type="dxa"/>
            </w:tcMar>
          </w:tcPr>
          <w:p>
            <w:pPr>
              <w:jc w:val="center"/>
            </w:pPr>
            <w:r>
              <w:rPr>
                <w:sz w:val="17"/>
              </w:rPr>
              <w:t>0.2000</w:t>
            </w:r>
          </w:p>
        </w:tc>
        <w:tc>
          <w:tcPr>
            <w:tcW w:type="dxa" w:w="1512"/>
            <w:tcMar>
              <w:top w:w="60" w:type="dxa"/>
              <w:bottom w:w="60" w:type="dxa"/>
              <w:left w:w="80" w:type="dxa"/>
              <w:right w:w="80" w:type="dxa"/>
            </w:tcMar>
          </w:tcPr>
          <w:p>
            <w:pPr>
              <w:jc w:val="center"/>
            </w:pPr>
            <w:r>
              <w:rPr>
                <w:sz w:val="17"/>
              </w:rPr>
              <w:t>0.1754</w:t>
            </w:r>
          </w:p>
        </w:tc>
      </w:tr>
      <w:tr>
        <w:tc>
          <w:tcPr>
            <w:tcW w:type="dxa" w:w="1512"/>
            <w:tcMar>
              <w:top w:w="60" w:type="dxa"/>
              <w:bottom w:w="60" w:type="dxa"/>
              <w:left w:w="80" w:type="dxa"/>
              <w:right w:w="80" w:type="dxa"/>
            </w:tcMar>
          </w:tcPr>
          <w:p>
            <w:pPr>
              <w:jc w:val="left"/>
            </w:pPr>
            <w:r>
              <w:rPr>
                <w:sz w:val="17"/>
              </w:rPr>
              <w:t>C5 (Fairness - Days)</w:t>
            </w:r>
          </w:p>
        </w:tc>
        <w:tc>
          <w:tcPr>
            <w:tcW w:type="dxa" w:w="1512"/>
            <w:tcMar>
              <w:top w:w="60" w:type="dxa"/>
              <w:bottom w:w="60" w:type="dxa"/>
              <w:left w:w="80" w:type="dxa"/>
              <w:right w:w="80" w:type="dxa"/>
            </w:tcMar>
          </w:tcPr>
          <w:p>
            <w:pPr>
              <w:jc w:val="center"/>
            </w:pPr>
            <w:r>
              <w:rPr>
                <w:sz w:val="17"/>
              </w:rPr>
              <w:t>0.8683</w:t>
            </w:r>
          </w:p>
        </w:tc>
        <w:tc>
          <w:tcPr>
            <w:tcW w:type="dxa" w:w="1512"/>
            <w:tcMar>
              <w:top w:w="60" w:type="dxa"/>
              <w:bottom w:w="60" w:type="dxa"/>
              <w:left w:w="80" w:type="dxa"/>
              <w:right w:w="80" w:type="dxa"/>
            </w:tcMar>
          </w:tcPr>
          <w:p>
            <w:pPr>
              <w:jc w:val="center"/>
            </w:pPr>
            <w:r>
              <w:rPr>
                <w:sz w:val="17"/>
              </w:rPr>
              <w:t>0.1317</w:t>
            </w:r>
          </w:p>
        </w:tc>
        <w:tc>
          <w:tcPr>
            <w:tcW w:type="dxa" w:w="1512"/>
            <w:tcMar>
              <w:top w:w="60" w:type="dxa"/>
              <w:bottom w:w="60" w:type="dxa"/>
              <w:left w:w="80" w:type="dxa"/>
              <w:right w:w="80" w:type="dxa"/>
            </w:tcMar>
          </w:tcPr>
          <w:p>
            <w:pPr>
              <w:jc w:val="center"/>
            </w:pPr>
            <w:r>
              <w:rPr>
                <w:sz w:val="17"/>
              </w:rPr>
              <w:t>0.1840</w:t>
            </w:r>
          </w:p>
        </w:tc>
        <w:tc>
          <w:tcPr>
            <w:tcW w:type="dxa" w:w="1512"/>
            <w:tcMar>
              <w:top w:w="60" w:type="dxa"/>
              <w:bottom w:w="60" w:type="dxa"/>
              <w:left w:w="80" w:type="dxa"/>
              <w:right w:w="80" w:type="dxa"/>
            </w:tcMar>
          </w:tcPr>
          <w:p>
            <w:pPr>
              <w:jc w:val="center"/>
            </w:pPr>
            <w:r>
              <w:rPr>
                <w:sz w:val="17"/>
              </w:rPr>
              <w:t>0.1500</w:t>
            </w:r>
          </w:p>
        </w:tc>
        <w:tc>
          <w:tcPr>
            <w:tcW w:type="dxa" w:w="1512"/>
            <w:tcMar>
              <w:top w:w="60" w:type="dxa"/>
              <w:bottom w:w="60" w:type="dxa"/>
              <w:left w:w="80" w:type="dxa"/>
              <w:right w:w="80" w:type="dxa"/>
            </w:tcMar>
          </w:tcPr>
          <w:p>
            <w:pPr>
              <w:jc w:val="center"/>
            </w:pPr>
            <w:r>
              <w:rPr>
                <w:sz w:val="17"/>
              </w:rPr>
              <w:t>0.1670</w:t>
            </w:r>
          </w:p>
        </w:tc>
      </w:tr>
    </w:tbl>
    <w:p>
      <w:pPr>
        <w:spacing w:after="120"/>
      </w:pPr>
    </w:p>
    <w:p>
      <w:pPr>
        <w:spacing w:before="160" w:after="40"/>
        <w:jc w:val="left"/>
      </w:pPr>
      <w:r>
        <w:rPr>
          <w:b/>
          <w:sz w:val="19"/>
        </w:rPr>
        <w:t>Table 4. Performance Evaluation and Ranking Comparison Between Standard TOPSIS and Hybrid Entropy-TOPSIS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296"/>
        <w:gridCol w:w="1296"/>
        <w:gridCol w:w="1296"/>
        <w:gridCol w:w="1296"/>
        <w:gridCol w:w="1296"/>
        <w:gridCol w:w="1296"/>
        <w:gridCol w:w="1296"/>
      </w:tblGrid>
      <w:tr>
        <w:tc>
          <w:tcPr>
            <w:tcW w:type="dxa" w:w="1296"/>
            <w:shd w:fill="F3F4F6"/>
            <w:tcMar>
              <w:top w:w="80" w:type="dxa"/>
              <w:bottom w:w="80" w:type="dxa"/>
              <w:left w:w="90" w:type="dxa"/>
              <w:right w:w="90" w:type="dxa"/>
            </w:tcMar>
            <w:tcBorders>
              <w:bottom w:val="single" w:sz="6" w:space="0" w:color="000000"/>
            </w:tcBorders>
          </w:tcPr>
          <w:p>
            <w:pPr>
              <w:jc w:val="center"/>
            </w:pPr>
            <w:r>
              <w:rPr>
                <w:b/>
                <w:sz w:val="17"/>
              </w:rPr>
              <w:t>Alternative</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D+ (Hybrid)</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D- (Hybrid)</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C_i Score</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Hybrid Rank</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Standard Score</w:t>
            </w:r>
          </w:p>
        </w:tc>
        <w:tc>
          <w:tcPr>
            <w:tcW w:type="dxa" w:w="1296"/>
            <w:shd w:fill="F3F4F6"/>
            <w:tcMar>
              <w:top w:w="80" w:type="dxa"/>
              <w:bottom w:w="80" w:type="dxa"/>
              <w:left w:w="90" w:type="dxa"/>
              <w:right w:w="90" w:type="dxa"/>
            </w:tcMar>
            <w:tcBorders>
              <w:bottom w:val="single" w:sz="6" w:space="0" w:color="000000"/>
            </w:tcBorders>
          </w:tcPr>
          <w:p>
            <w:pPr>
              <w:jc w:val="center"/>
            </w:pPr>
            <w:r>
              <w:rPr>
                <w:b/>
                <w:sz w:val="17"/>
              </w:rPr>
              <w:t>Standard Rank</w:t>
            </w:r>
          </w:p>
        </w:tc>
      </w:tr>
      <w:tr>
        <w:tc>
          <w:tcPr>
            <w:tcW w:type="dxa" w:w="1296"/>
            <w:tcMar>
              <w:top w:w="60" w:type="dxa"/>
              <w:bottom w:w="60" w:type="dxa"/>
              <w:left w:w="70" w:type="dxa"/>
              <w:right w:w="70" w:type="dxa"/>
            </w:tcMar>
          </w:tcPr>
          <w:p>
            <w:pPr>
              <w:jc w:val="left"/>
            </w:pPr>
            <w:r>
              <w:rPr>
                <w:sz w:val="17"/>
              </w:rPr>
              <w:t>A3 (Mandiri Shelter)</w:t>
            </w:r>
          </w:p>
        </w:tc>
        <w:tc>
          <w:tcPr>
            <w:tcW w:type="dxa" w:w="1296"/>
            <w:tcMar>
              <w:top w:w="60" w:type="dxa"/>
              <w:bottom w:w="60" w:type="dxa"/>
              <w:left w:w="70" w:type="dxa"/>
              <w:right w:w="70" w:type="dxa"/>
            </w:tcMar>
          </w:tcPr>
          <w:p>
            <w:pPr>
              <w:jc w:val="center"/>
            </w:pPr>
            <w:r>
              <w:rPr>
                <w:sz w:val="17"/>
              </w:rPr>
              <w:t>0.0124</w:t>
            </w:r>
          </w:p>
        </w:tc>
        <w:tc>
          <w:tcPr>
            <w:tcW w:type="dxa" w:w="1296"/>
            <w:tcMar>
              <w:top w:w="60" w:type="dxa"/>
              <w:bottom w:w="60" w:type="dxa"/>
              <w:left w:w="70" w:type="dxa"/>
              <w:right w:w="70" w:type="dxa"/>
            </w:tcMar>
          </w:tcPr>
          <w:p>
            <w:pPr>
              <w:jc w:val="center"/>
            </w:pPr>
            <w:r>
              <w:rPr>
                <w:sz w:val="17"/>
              </w:rPr>
              <w:t>0.4182</w:t>
            </w:r>
          </w:p>
        </w:tc>
        <w:tc>
          <w:tcPr>
            <w:tcW w:type="dxa" w:w="1296"/>
            <w:tcMar>
              <w:top w:w="60" w:type="dxa"/>
              <w:bottom w:w="60" w:type="dxa"/>
              <w:left w:w="70" w:type="dxa"/>
              <w:right w:w="70" w:type="dxa"/>
            </w:tcMar>
          </w:tcPr>
          <w:p>
            <w:pPr>
              <w:jc w:val="center"/>
            </w:pPr>
            <w:r>
              <w:rPr>
                <w:sz w:val="17"/>
              </w:rPr>
              <w:t>0.9712</w:t>
            </w:r>
          </w:p>
        </w:tc>
        <w:tc>
          <w:tcPr>
            <w:tcW w:type="dxa" w:w="1296"/>
            <w:tcMar>
              <w:top w:w="60" w:type="dxa"/>
              <w:bottom w:w="60" w:type="dxa"/>
              <w:left w:w="70" w:type="dxa"/>
              <w:right w:w="70" w:type="dxa"/>
            </w:tcMar>
          </w:tcPr>
          <w:p>
            <w:pPr>
              <w:jc w:val="center"/>
            </w:pPr>
            <w:r>
              <w:rPr>
                <w:b/>
                <w:sz w:val="17"/>
              </w:rPr>
              <w:t>1</w:t>
            </w:r>
          </w:p>
        </w:tc>
        <w:tc>
          <w:tcPr>
            <w:tcW w:type="dxa" w:w="1296"/>
            <w:tcMar>
              <w:top w:w="60" w:type="dxa"/>
              <w:bottom w:w="60" w:type="dxa"/>
              <w:left w:w="70" w:type="dxa"/>
              <w:right w:w="70" w:type="dxa"/>
            </w:tcMar>
          </w:tcPr>
          <w:p>
            <w:pPr>
              <w:jc w:val="center"/>
            </w:pPr>
            <w:r>
              <w:rPr>
                <w:sz w:val="17"/>
              </w:rPr>
              <w:t>0.8940</w:t>
            </w:r>
          </w:p>
        </w:tc>
        <w:tc>
          <w:tcPr>
            <w:tcW w:type="dxa" w:w="1296"/>
            <w:tcMar>
              <w:top w:w="60" w:type="dxa"/>
              <w:bottom w:w="60" w:type="dxa"/>
              <w:left w:w="70" w:type="dxa"/>
              <w:right w:w="70" w:type="dxa"/>
            </w:tcMar>
          </w:tcPr>
          <w:p>
            <w:pPr>
              <w:jc w:val="center"/>
            </w:pPr>
            <w:r>
              <w:rPr>
                <w:b/>
                <w:sz w:val="17"/>
              </w:rPr>
              <w:t>1</w:t>
            </w:r>
          </w:p>
        </w:tc>
      </w:tr>
      <w:tr>
        <w:tc>
          <w:tcPr>
            <w:tcW w:type="dxa" w:w="1296"/>
            <w:tcMar>
              <w:top w:w="60" w:type="dxa"/>
              <w:bottom w:w="60" w:type="dxa"/>
              <w:left w:w="70" w:type="dxa"/>
              <w:right w:w="70" w:type="dxa"/>
            </w:tcMar>
          </w:tcPr>
          <w:p>
            <w:pPr>
              <w:jc w:val="left"/>
            </w:pPr>
            <w:r>
              <w:rPr>
                <w:sz w:val="17"/>
              </w:rPr>
              <w:t>A1 (Kasih Ibu Orphanage)</w:t>
            </w:r>
          </w:p>
        </w:tc>
        <w:tc>
          <w:tcPr>
            <w:tcW w:type="dxa" w:w="1296"/>
            <w:tcMar>
              <w:top w:w="60" w:type="dxa"/>
              <w:bottom w:w="60" w:type="dxa"/>
              <w:left w:w="70" w:type="dxa"/>
              <w:right w:w="70" w:type="dxa"/>
            </w:tcMar>
          </w:tcPr>
          <w:p>
            <w:pPr>
              <w:jc w:val="center"/>
            </w:pPr>
            <w:r>
              <w:rPr>
                <w:sz w:val="17"/>
              </w:rPr>
              <w:t>0.3842</w:t>
            </w:r>
          </w:p>
        </w:tc>
        <w:tc>
          <w:tcPr>
            <w:tcW w:type="dxa" w:w="1296"/>
            <w:tcMar>
              <w:top w:w="60" w:type="dxa"/>
              <w:bottom w:w="60" w:type="dxa"/>
              <w:left w:w="70" w:type="dxa"/>
              <w:right w:w="70" w:type="dxa"/>
            </w:tcMar>
          </w:tcPr>
          <w:p>
            <w:pPr>
              <w:jc w:val="center"/>
            </w:pPr>
            <w:r>
              <w:rPr>
                <w:sz w:val="17"/>
              </w:rPr>
              <w:t>0.0891</w:t>
            </w:r>
          </w:p>
        </w:tc>
        <w:tc>
          <w:tcPr>
            <w:tcW w:type="dxa" w:w="1296"/>
            <w:tcMar>
              <w:top w:w="60" w:type="dxa"/>
              <w:bottom w:w="60" w:type="dxa"/>
              <w:left w:w="70" w:type="dxa"/>
              <w:right w:w="70" w:type="dxa"/>
            </w:tcMar>
          </w:tcPr>
          <w:p>
            <w:pPr>
              <w:jc w:val="center"/>
            </w:pPr>
            <w:r>
              <w:rPr>
                <w:sz w:val="17"/>
              </w:rPr>
              <w:t>0.1882</w:t>
            </w:r>
          </w:p>
        </w:tc>
        <w:tc>
          <w:tcPr>
            <w:tcW w:type="dxa" w:w="1296"/>
            <w:tcMar>
              <w:top w:w="60" w:type="dxa"/>
              <w:bottom w:w="60" w:type="dxa"/>
              <w:left w:w="70" w:type="dxa"/>
              <w:right w:w="70" w:type="dxa"/>
            </w:tcMar>
          </w:tcPr>
          <w:p>
            <w:pPr>
              <w:jc w:val="center"/>
            </w:pPr>
            <w:r>
              <w:rPr>
                <w:sz w:val="17"/>
              </w:rPr>
              <w:t>2</w:t>
            </w:r>
          </w:p>
        </w:tc>
        <w:tc>
          <w:tcPr>
            <w:tcW w:type="dxa" w:w="1296"/>
            <w:tcMar>
              <w:top w:w="60" w:type="dxa"/>
              <w:bottom w:w="60" w:type="dxa"/>
              <w:left w:w="70" w:type="dxa"/>
              <w:right w:w="70" w:type="dxa"/>
            </w:tcMar>
          </w:tcPr>
          <w:p>
            <w:pPr>
              <w:jc w:val="center"/>
            </w:pPr>
            <w:r>
              <w:rPr>
                <w:sz w:val="17"/>
              </w:rPr>
              <w:t>0.5821</w:t>
            </w:r>
          </w:p>
        </w:tc>
        <w:tc>
          <w:tcPr>
            <w:tcW w:type="dxa" w:w="1296"/>
            <w:tcMar>
              <w:top w:w="60" w:type="dxa"/>
              <w:bottom w:w="60" w:type="dxa"/>
              <w:left w:w="70" w:type="dxa"/>
              <w:right w:w="70" w:type="dxa"/>
            </w:tcMar>
          </w:tcPr>
          <w:p>
            <w:pPr>
              <w:jc w:val="center"/>
            </w:pPr>
            <w:r>
              <w:rPr>
                <w:sz w:val="17"/>
              </w:rPr>
              <w:t>2</w:t>
            </w:r>
          </w:p>
        </w:tc>
      </w:tr>
      <w:tr>
        <w:tc>
          <w:tcPr>
            <w:tcW w:type="dxa" w:w="1296"/>
            <w:tcMar>
              <w:top w:w="60" w:type="dxa"/>
              <w:bottom w:w="60" w:type="dxa"/>
              <w:left w:w="70" w:type="dxa"/>
              <w:right w:w="70" w:type="dxa"/>
            </w:tcMar>
          </w:tcPr>
          <w:p>
            <w:pPr>
              <w:jc w:val="left"/>
            </w:pPr>
            <w:r>
              <w:rPr>
                <w:sz w:val="17"/>
              </w:rPr>
              <w:t>A4 (Al-Falah Orphanage)</w:t>
            </w:r>
          </w:p>
        </w:tc>
        <w:tc>
          <w:tcPr>
            <w:tcW w:type="dxa" w:w="1296"/>
            <w:tcMar>
              <w:top w:w="60" w:type="dxa"/>
              <w:bottom w:w="60" w:type="dxa"/>
              <w:left w:w="70" w:type="dxa"/>
              <w:right w:w="70" w:type="dxa"/>
            </w:tcMar>
          </w:tcPr>
          <w:p>
            <w:pPr>
              <w:jc w:val="center"/>
            </w:pPr>
            <w:r>
              <w:rPr>
                <w:sz w:val="17"/>
              </w:rPr>
              <w:t>0.4011</w:t>
            </w:r>
          </w:p>
        </w:tc>
        <w:tc>
          <w:tcPr>
            <w:tcW w:type="dxa" w:w="1296"/>
            <w:tcMar>
              <w:top w:w="60" w:type="dxa"/>
              <w:bottom w:w="60" w:type="dxa"/>
              <w:left w:w="70" w:type="dxa"/>
              <w:right w:w="70" w:type="dxa"/>
            </w:tcMar>
          </w:tcPr>
          <w:p>
            <w:pPr>
              <w:jc w:val="center"/>
            </w:pPr>
            <w:r>
              <w:rPr>
                <w:sz w:val="17"/>
              </w:rPr>
              <w:t>0.0615</w:t>
            </w:r>
          </w:p>
        </w:tc>
        <w:tc>
          <w:tcPr>
            <w:tcW w:type="dxa" w:w="1296"/>
            <w:tcMar>
              <w:top w:w="60" w:type="dxa"/>
              <w:bottom w:w="60" w:type="dxa"/>
              <w:left w:w="70" w:type="dxa"/>
              <w:right w:w="70" w:type="dxa"/>
            </w:tcMar>
          </w:tcPr>
          <w:p>
            <w:pPr>
              <w:jc w:val="center"/>
            </w:pPr>
            <w:r>
              <w:rPr>
                <w:sz w:val="17"/>
              </w:rPr>
              <w:t>0.1329</w:t>
            </w:r>
          </w:p>
        </w:tc>
        <w:tc>
          <w:tcPr>
            <w:tcW w:type="dxa" w:w="1296"/>
            <w:tcMar>
              <w:top w:w="60" w:type="dxa"/>
              <w:bottom w:w="60" w:type="dxa"/>
              <w:left w:w="70" w:type="dxa"/>
              <w:right w:w="70" w:type="dxa"/>
            </w:tcMar>
          </w:tcPr>
          <w:p>
            <w:pPr>
              <w:jc w:val="center"/>
            </w:pPr>
            <w:r>
              <w:rPr>
                <w:sz w:val="17"/>
              </w:rPr>
              <w:t>3</w:t>
            </w:r>
          </w:p>
        </w:tc>
        <w:tc>
          <w:tcPr>
            <w:tcW w:type="dxa" w:w="1296"/>
            <w:tcMar>
              <w:top w:w="60" w:type="dxa"/>
              <w:bottom w:w="60" w:type="dxa"/>
              <w:left w:w="70" w:type="dxa"/>
              <w:right w:w="70" w:type="dxa"/>
            </w:tcMar>
          </w:tcPr>
          <w:p>
            <w:pPr>
              <w:jc w:val="center"/>
            </w:pPr>
            <w:r>
              <w:rPr>
                <w:sz w:val="17"/>
              </w:rPr>
              <w:t>0.4210</w:t>
            </w:r>
          </w:p>
        </w:tc>
        <w:tc>
          <w:tcPr>
            <w:tcW w:type="dxa" w:w="1296"/>
            <w:tcMar>
              <w:top w:w="60" w:type="dxa"/>
              <w:bottom w:w="60" w:type="dxa"/>
              <w:left w:w="70" w:type="dxa"/>
              <w:right w:w="70" w:type="dxa"/>
            </w:tcMar>
          </w:tcPr>
          <w:p>
            <w:pPr>
              <w:jc w:val="center"/>
            </w:pPr>
            <w:r>
              <w:rPr>
                <w:sz w:val="17"/>
              </w:rPr>
              <w:t>4</w:t>
            </w:r>
          </w:p>
        </w:tc>
      </w:tr>
      <w:tr>
        <w:tc>
          <w:tcPr>
            <w:tcW w:type="dxa" w:w="1296"/>
            <w:tcMar>
              <w:top w:w="60" w:type="dxa"/>
              <w:bottom w:w="60" w:type="dxa"/>
              <w:left w:w="70" w:type="dxa"/>
              <w:right w:w="70" w:type="dxa"/>
            </w:tcMar>
          </w:tcPr>
          <w:p>
            <w:pPr>
              <w:jc w:val="left"/>
            </w:pPr>
            <w:r>
              <w:rPr>
                <w:sz w:val="17"/>
              </w:rPr>
              <w:t>A2 (Sejahtera Elderly Home)</w:t>
            </w:r>
          </w:p>
        </w:tc>
        <w:tc>
          <w:tcPr>
            <w:tcW w:type="dxa" w:w="1296"/>
            <w:tcMar>
              <w:top w:w="60" w:type="dxa"/>
              <w:bottom w:w="60" w:type="dxa"/>
              <w:left w:w="70" w:type="dxa"/>
              <w:right w:w="70" w:type="dxa"/>
            </w:tcMar>
          </w:tcPr>
          <w:p>
            <w:pPr>
              <w:jc w:val="center"/>
            </w:pPr>
            <w:r>
              <w:rPr>
                <w:sz w:val="17"/>
              </w:rPr>
              <w:t>0.4085</w:t>
            </w:r>
          </w:p>
        </w:tc>
        <w:tc>
          <w:tcPr>
            <w:tcW w:type="dxa" w:w="1296"/>
            <w:tcMar>
              <w:top w:w="60" w:type="dxa"/>
              <w:bottom w:w="60" w:type="dxa"/>
              <w:left w:w="70" w:type="dxa"/>
              <w:right w:w="70" w:type="dxa"/>
            </w:tcMar>
          </w:tcPr>
          <w:p>
            <w:pPr>
              <w:jc w:val="center"/>
            </w:pPr>
            <w:r>
              <w:rPr>
                <w:sz w:val="17"/>
              </w:rPr>
              <w:t>0.0412</w:t>
            </w:r>
          </w:p>
        </w:tc>
        <w:tc>
          <w:tcPr>
            <w:tcW w:type="dxa" w:w="1296"/>
            <w:tcMar>
              <w:top w:w="60" w:type="dxa"/>
              <w:bottom w:w="60" w:type="dxa"/>
              <w:left w:w="70" w:type="dxa"/>
              <w:right w:w="70" w:type="dxa"/>
            </w:tcMar>
          </w:tcPr>
          <w:p>
            <w:pPr>
              <w:jc w:val="center"/>
            </w:pPr>
            <w:r>
              <w:rPr>
                <w:sz w:val="17"/>
              </w:rPr>
              <w:t>0.0916</w:t>
            </w:r>
          </w:p>
        </w:tc>
        <w:tc>
          <w:tcPr>
            <w:tcW w:type="dxa" w:w="1296"/>
            <w:tcMar>
              <w:top w:w="60" w:type="dxa"/>
              <w:bottom w:w="60" w:type="dxa"/>
              <w:left w:w="70" w:type="dxa"/>
              <w:right w:w="70" w:type="dxa"/>
            </w:tcMar>
          </w:tcPr>
          <w:p>
            <w:pPr>
              <w:jc w:val="center"/>
            </w:pPr>
            <w:r>
              <w:rPr>
                <w:sz w:val="17"/>
              </w:rPr>
              <w:t>4</w:t>
            </w:r>
          </w:p>
        </w:tc>
        <w:tc>
          <w:tcPr>
            <w:tcW w:type="dxa" w:w="1296"/>
            <w:tcMar>
              <w:top w:w="60" w:type="dxa"/>
              <w:bottom w:w="60" w:type="dxa"/>
              <w:left w:w="70" w:type="dxa"/>
              <w:right w:w="70" w:type="dxa"/>
            </w:tcMar>
          </w:tcPr>
          <w:p>
            <w:pPr>
              <w:jc w:val="center"/>
            </w:pPr>
            <w:r>
              <w:rPr>
                <w:sz w:val="17"/>
              </w:rPr>
              <w:t>0.4635</w:t>
            </w:r>
          </w:p>
        </w:tc>
        <w:tc>
          <w:tcPr>
            <w:tcW w:type="dxa" w:w="1296"/>
            <w:tcMar>
              <w:top w:w="60" w:type="dxa"/>
              <w:bottom w:w="60" w:type="dxa"/>
              <w:left w:w="70" w:type="dxa"/>
              <w:right w:w="70" w:type="dxa"/>
            </w:tcMar>
          </w:tcPr>
          <w:p>
            <w:pPr>
              <w:jc w:val="center"/>
            </w:pPr>
            <w:r>
              <w:rPr>
                <w:sz w:val="17"/>
              </w:rPr>
              <w:t>3</w:t>
            </w:r>
          </w:p>
        </w:tc>
      </w:tr>
      <w:tr>
        <w:tc>
          <w:tcPr>
            <w:tcW w:type="dxa" w:w="1296"/>
            <w:tcMar>
              <w:top w:w="60" w:type="dxa"/>
              <w:bottom w:w="60" w:type="dxa"/>
              <w:left w:w="70" w:type="dxa"/>
              <w:right w:w="70" w:type="dxa"/>
            </w:tcMar>
          </w:tcPr>
          <w:p>
            <w:pPr>
              <w:jc w:val="left"/>
            </w:pPr>
            <w:r>
              <w:rPr>
                <w:sz w:val="17"/>
              </w:rPr>
              <w:t>A5 (Bina Harapan Center)</w:t>
            </w:r>
          </w:p>
        </w:tc>
        <w:tc>
          <w:tcPr>
            <w:tcW w:type="dxa" w:w="1296"/>
            <w:tcMar>
              <w:top w:w="60" w:type="dxa"/>
              <w:bottom w:w="60" w:type="dxa"/>
              <w:left w:w="70" w:type="dxa"/>
              <w:right w:w="70" w:type="dxa"/>
            </w:tcMar>
          </w:tcPr>
          <w:p>
            <w:pPr>
              <w:jc w:val="center"/>
            </w:pPr>
            <w:r>
              <w:rPr>
                <w:sz w:val="17"/>
              </w:rPr>
              <w:t>0.4201</w:t>
            </w:r>
          </w:p>
        </w:tc>
        <w:tc>
          <w:tcPr>
            <w:tcW w:type="dxa" w:w="1296"/>
            <w:tcMar>
              <w:top w:w="60" w:type="dxa"/>
              <w:bottom w:w="60" w:type="dxa"/>
              <w:left w:w="70" w:type="dxa"/>
              <w:right w:w="70" w:type="dxa"/>
            </w:tcMar>
          </w:tcPr>
          <w:p>
            <w:pPr>
              <w:jc w:val="center"/>
            </w:pPr>
            <w:r>
              <w:rPr>
                <w:sz w:val="17"/>
              </w:rPr>
              <w:t>0.0189</w:t>
            </w:r>
          </w:p>
        </w:tc>
        <w:tc>
          <w:tcPr>
            <w:tcW w:type="dxa" w:w="1296"/>
            <w:tcMar>
              <w:top w:w="60" w:type="dxa"/>
              <w:bottom w:w="60" w:type="dxa"/>
              <w:left w:w="70" w:type="dxa"/>
              <w:right w:w="70" w:type="dxa"/>
            </w:tcMar>
          </w:tcPr>
          <w:p>
            <w:pPr>
              <w:jc w:val="center"/>
            </w:pPr>
            <w:r>
              <w:rPr>
                <w:sz w:val="17"/>
              </w:rPr>
              <w:t>0.0430</w:t>
            </w:r>
          </w:p>
        </w:tc>
        <w:tc>
          <w:tcPr>
            <w:tcW w:type="dxa" w:w="1296"/>
            <w:tcMar>
              <w:top w:w="60" w:type="dxa"/>
              <w:bottom w:w="60" w:type="dxa"/>
              <w:left w:w="70" w:type="dxa"/>
              <w:right w:w="70" w:type="dxa"/>
            </w:tcMar>
          </w:tcPr>
          <w:p>
            <w:pPr>
              <w:jc w:val="center"/>
            </w:pPr>
            <w:r>
              <w:rPr>
                <w:sz w:val="17"/>
              </w:rPr>
              <w:t>5</w:t>
            </w:r>
          </w:p>
        </w:tc>
        <w:tc>
          <w:tcPr>
            <w:tcW w:type="dxa" w:w="1296"/>
            <w:tcMar>
              <w:top w:w="60" w:type="dxa"/>
              <w:bottom w:w="60" w:type="dxa"/>
              <w:left w:w="70" w:type="dxa"/>
              <w:right w:w="70" w:type="dxa"/>
            </w:tcMar>
          </w:tcPr>
          <w:p>
            <w:pPr>
              <w:jc w:val="center"/>
            </w:pPr>
            <w:r>
              <w:rPr>
                <w:sz w:val="17"/>
              </w:rPr>
              <w:t>0.2105</w:t>
            </w:r>
          </w:p>
        </w:tc>
        <w:tc>
          <w:tcPr>
            <w:tcW w:type="dxa" w:w="1296"/>
            <w:tcMar>
              <w:top w:w="60" w:type="dxa"/>
              <w:bottom w:w="60" w:type="dxa"/>
              <w:left w:w="70" w:type="dxa"/>
              <w:right w:w="70" w:type="dxa"/>
            </w:tcMar>
          </w:tcPr>
          <w:p>
            <w:pPr>
              <w:jc w:val="center"/>
            </w:pPr>
            <w:r>
              <w:rPr>
                <w:sz w:val="17"/>
              </w:rPr>
              <w:t>5</w:t>
            </w:r>
          </w:p>
        </w:tc>
      </w:tr>
    </w:tbl>
    <w:p>
      <w:pPr>
        <w:spacing w:after="120"/>
      </w:pPr>
    </w:p>
    <w:p>
      <w:pPr>
        <w:pStyle w:val="Heading1"/>
        <w:spacing w:before="280" w:after="80"/>
      </w:pPr>
      <w:r>
        <w:rPr>
          <w:rFonts w:ascii="Times New Roman" w:hAnsi="Times New Roman"/>
          <w:b/>
          <w:sz w:val="24"/>
        </w:rPr>
        <w:t>DISCUSSIONS</w:t>
      </w:r>
    </w:p>
    <w:p>
      <w:pPr>
        <w:spacing w:line="276" w:lineRule="auto" w:after="120"/>
        <w:jc w:val="both"/>
      </w:pPr>
      <w:r>
        <w:t>A critical analytical finding emerges from the weight behavior of criterion C3 (Shelf Life). Because all five candidate recipients faced an identical food expiration time of 4.5 hours from the same donation batch, the calculated Shannon entropy was exactly 1.0000 (d_j = 0.0000). Under a purely objective entropy weighting scheme, the weight for C3 would collapse to zero, completely nullifying shelf-life considerations. However, through our hybrid formulation with alpha = 0.50, C3 retained an operational baseline weight of W_3 = 0.0750 (7.5%). This proves the mathematical resilience of the hybrid approach in preventing the accidental omission of mission-critical parameters during data homogeneity.</w:t>
      </w:r>
    </w:p>
    <w:p>
      <w:pPr>
        <w:spacing w:line="276" w:lineRule="auto" w:after="120"/>
        <w:jc w:val="both"/>
      </w:pPr>
      <w:r>
        <w:t>Regarding alternative rankings, A3 (Mandiri Shelter) achieved clear dominance (Ci = 0.9712) owing to its acute emergency state (C2 boost = 1000), 100% nutritional deficit, short transit distance (3.5 km), and long inactive window (18 days). More significantly, a rank inversion occurred between A4 and A2. Under Standard TOPSIS, A2 outranked A4 due to a static urgency preference. In contrast, under Hybrid Entropy-TOPSIS, A4 ascended to Rank 3 while A2 dropped to Rank 4. This inversion is driven by the spatial entropy weight (W_4 = 0.1754): A4 is located only 1.5 km away compared to 6.2 km for A2. The algorithm objectively penalized transit risk for perishable meals, thereby optimizing logistical delivery speed and minimizing spoilage probability.</w:t>
      </w:r>
    </w:p>
    <w:p>
      <w:pPr>
        <w:spacing w:line="276" w:lineRule="auto" w:after="120"/>
        <w:jc w:val="both"/>
      </w:pPr>
      <w:r>
        <w:t>Sensitivity analysis conducted across compromise parameter values alpha ∈ [0.0, 1.0] demonstrated that while internal ranks for intermediate alternatives (A2, A4) dynamically adjust to emphasize either policy compliance or spatial efficiency, top priority (A3) and bottom priority (A5) remained completely stable. Furthermore, simulated activation of the 24-hour anti-hoarding penalty (f_i = 1.0) reduced the preference score of previously served recipients by 70%, effectively redistributing subsequent donation batches to underserved institutions and fostering long-term humanitarian equity.</w:t>
      </w:r>
    </w:p>
    <w:p>
      <w:pPr>
        <w:pStyle w:val="Heading1"/>
        <w:spacing w:before="280" w:after="80"/>
      </w:pPr>
      <w:r>
        <w:rPr>
          <w:rFonts w:ascii="Times New Roman" w:hAnsi="Times New Roman"/>
          <w:b/>
          <w:sz w:val="24"/>
        </w:rPr>
        <w:t>CONCLUSION</w:t>
      </w:r>
    </w:p>
    <w:p>
      <w:pPr>
        <w:spacing w:line="276" w:lineRule="auto" w:after="120"/>
        <w:jc w:val="both"/>
      </w:pPr>
      <w:r>
        <w:t>This research successfully developed and validated an automated Decision Support System for surplus food redistribution based on a Hybrid Shannon Entropy-TOPSIS model. The model integrates five multi-dimensional criteria encompassing daily protein deficits, institutional urgency, remaining food shelf-life, Haversine geographical distance, and distribution fairness. Experimental results confirm that the hybrid weighting mechanism resolves the inherent limitation of pure entropy by safeguarding homogeneous operational parameters while dynamically adapting to field variations. The inclusion of spatial Haversine distance and anti-hoarding penalties successfully reconciles the trade-off between logistical delivery speed and equitable social welfare.</w:t>
      </w:r>
    </w:p>
    <w:p>
      <w:pPr>
        <w:spacing w:line="276" w:lineRule="auto" w:after="120"/>
        <w:jc w:val="both"/>
      </w:pPr>
      <w:r>
        <w:t>For future research and practical implementation, several recommendations are proposed, including incorporating real-time traffic routing APIs for dynamic transit estimation, integrating automated food safety sensor telemetry, and expanding the evaluation framework to multi-donor cross-docking distribution networks.</w:t>
      </w:r>
    </w:p>
    <w:p>
      <w:pPr>
        <w:pStyle w:val="Heading1"/>
        <w:spacing w:before="280" w:after="80"/>
      </w:pPr>
      <w:r>
        <w:rPr>
          <w:rFonts w:ascii="Times New Roman" w:hAnsi="Times New Roman"/>
          <w:b/>
          <w:sz w:val="24"/>
        </w:rPr>
        <w:t>ACKNOWLEDGMENT</w:t>
      </w:r>
    </w:p>
    <w:p>
      <w:pPr>
        <w:spacing w:line="276" w:lineRule="auto" w:after="120"/>
        <w:jc w:val="both"/>
      </w:pPr>
      <w:r>
        <w:t>The author expresses sincere gratitude to the Department of Information Systems and the Faculty of Information Technology at Universitas Teknologi Digital Indonesia (UTDI) for the academic resources and research environment provided during the development of this project. Appreciation is also extended to local social welfare institutions in Yogyakarta for domain insights.</w:t>
      </w:r>
    </w:p>
    <w:p>
      <w:pPr>
        <w:pStyle w:val="Heading1"/>
        <w:spacing w:before="280" w:after="80"/>
      </w:pPr>
      <w:r>
        <w:rPr>
          <w:rFonts w:ascii="Times New Roman" w:hAnsi="Times New Roman"/>
          <w:b/>
          <w:sz w:val="24"/>
        </w:rPr>
        <w:t>REFERENCES (APA CITATION FORMATTING STYLE)</w:t>
      </w:r>
    </w:p>
    <w:p>
      <w:pPr>
        <w:spacing w:line="276" w:lineRule="auto" w:after="80"/>
        <w:ind w:left="360" w:hanging="360"/>
        <w:jc w:val="both"/>
      </w:pPr>
      <w:r>
        <w:rPr>
          <w:rFonts w:ascii="Times New Roman" w:hAnsi="Times New Roman"/>
          <w:sz w:val="19"/>
        </w:rPr>
        <w:t>Badan Pangan Nasional. (2023). Kajian food loss and waste (FLW) dalam mendukung ketahanan pangan nasional. Jakarta: Bapanas RI.</w:t>
      </w:r>
    </w:p>
    <w:p>
      <w:pPr>
        <w:spacing w:line="276" w:lineRule="auto" w:after="80"/>
        <w:ind w:left="360" w:hanging="360"/>
        <w:jc w:val="both"/>
      </w:pPr>
      <w:r>
        <w:rPr>
          <w:rFonts w:ascii="Times New Roman" w:hAnsi="Times New Roman"/>
          <w:sz w:val="19"/>
        </w:rPr>
        <w:t>Bappenas. (2021). Laporan studi food loss and waste di Indonesia dalam rangka mendukung ketahanan pangan dan perubahan iklim. Jakarta: Kementerian PPN/Bappenas.</w:t>
      </w:r>
    </w:p>
    <w:p>
      <w:pPr>
        <w:spacing w:line="276" w:lineRule="auto" w:after="80"/>
        <w:ind w:left="360" w:hanging="360"/>
        <w:jc w:val="both"/>
      </w:pPr>
      <w:r>
        <w:rPr>
          <w:rFonts w:ascii="Times New Roman" w:hAnsi="Times New Roman"/>
          <w:sz w:val="19"/>
        </w:rPr>
        <w:t>Govindan, K., Mina, H., &amp; Alavi, B. (2020). A decision support system for demand management in healthcare supply chains considering the epidemic outbreak: A hybrid entropy-TOPSIS approach. Transportation Research Part E: Logistics and Transportation Review, 138, 101967. https://doi.org/10.1016/j.tre.2020.101967</w:t>
      </w:r>
    </w:p>
    <w:p>
      <w:pPr>
        <w:spacing w:line="276" w:lineRule="auto" w:after="80"/>
        <w:ind w:left="360" w:hanging="360"/>
        <w:jc w:val="both"/>
      </w:pPr>
      <w:r>
        <w:rPr>
          <w:rFonts w:ascii="Times New Roman" w:hAnsi="Times New Roman"/>
          <w:sz w:val="19"/>
        </w:rPr>
        <w:t>Hwang, C. L., &amp; Yoon, K. (1981). Multiple attribute decision making: Methods and applications a state-of-the-art survey. Berlin: Springer-Verlag. https://doi.org/10.1007/978-3-642-48318-9</w:t>
      </w:r>
    </w:p>
    <w:p>
      <w:pPr>
        <w:spacing w:line="276" w:lineRule="auto" w:after="80"/>
        <w:ind w:left="360" w:hanging="360"/>
        <w:jc w:val="both"/>
      </w:pPr>
      <w:r>
        <w:rPr>
          <w:rFonts w:ascii="Times New Roman" w:hAnsi="Times New Roman"/>
          <w:sz w:val="19"/>
        </w:rPr>
        <w:t>Kumar, R., Singhal, K., &amp; Sharma, P. (2022). Entropy-based weighted TOPSIS for multi-criteria evaluation of sustainable supply chain alternatives. Decision Analytics Journal, 4, 100098. https://doi.org/10.1016/j.dajour.2022.100098</w:t>
      </w:r>
    </w:p>
    <w:p>
      <w:pPr>
        <w:spacing w:line="276" w:lineRule="auto" w:after="80"/>
        <w:ind w:left="360" w:hanging="360"/>
        <w:jc w:val="both"/>
      </w:pPr>
      <w:r>
        <w:rPr>
          <w:rFonts w:ascii="Times New Roman" w:hAnsi="Times New Roman"/>
          <w:sz w:val="19"/>
        </w:rPr>
        <w:t>Kurniawan, H., &amp; Sunardi, S. (2022). Implementasi algoritma Haversine formula pada sistem informasi geografis pemetaan fasilitas kesehatan. Jurnal Teknoinfo, 16(1), 88–94. https://doi.org/10.33365/jti.v16i1.1524</w:t>
      </w:r>
    </w:p>
    <w:p>
      <w:pPr>
        <w:spacing w:line="276" w:lineRule="auto" w:after="80"/>
        <w:ind w:left="360" w:hanging="360"/>
        <w:jc w:val="both"/>
      </w:pPr>
      <w:r>
        <w:rPr>
          <w:rFonts w:ascii="Times New Roman" w:hAnsi="Times New Roman"/>
          <w:sz w:val="19"/>
        </w:rPr>
        <w:t>Liu, Y., &amp; Zhang, H. (2021). Dynamic allocation of perishable food donations using multi-objective decision support systems. Computers &amp; Industrial Engineering, 162, 107742. https://doi.org/10.1016/j.cie.2021.107742</w:t>
      </w:r>
    </w:p>
    <w:p>
      <w:pPr>
        <w:spacing w:line="276" w:lineRule="auto" w:after="80"/>
        <w:ind w:left="360" w:hanging="360"/>
        <w:jc w:val="both"/>
      </w:pPr>
      <w:r>
        <w:rPr>
          <w:rFonts w:ascii="Times New Roman" w:hAnsi="Times New Roman"/>
          <w:sz w:val="19"/>
        </w:rPr>
        <w:t>Naufal, M. F., &amp; Susetyo, Y. A. (2022). Sistem pendukung keputusan pemilihan komoditas pangan menggunakan kombinasi metode entropy dan TOPSIS. Jurnal Nasional Pendidikan Teknik Informatika (JANAPATI), 11(2), 120–131. https://doi.org/10.23887/janapati.v11i2.46312</w:t>
      </w:r>
    </w:p>
    <w:p>
      <w:pPr>
        <w:spacing w:line="276" w:lineRule="auto" w:after="80"/>
        <w:ind w:left="360" w:hanging="360"/>
        <w:jc w:val="both"/>
      </w:pPr>
      <w:r>
        <w:rPr>
          <w:rFonts w:ascii="Times New Roman" w:hAnsi="Times New Roman"/>
          <w:sz w:val="19"/>
        </w:rPr>
        <w:t>Ozkir, S., &amp; Demirel, M. (2022). Optimization of food waste routing in humanitarian logistics under perishability constraints. Socio-Economic Planning Sciences, 84, 101391. https://doi.org/10.1016/j.seps.2022.101391</w:t>
      </w:r>
    </w:p>
    <w:p>
      <w:pPr>
        <w:spacing w:line="276" w:lineRule="auto" w:after="80"/>
        <w:ind w:left="360" w:hanging="360"/>
        <w:jc w:val="both"/>
      </w:pPr>
      <w:r>
        <w:rPr>
          <w:rFonts w:ascii="Times New Roman" w:hAnsi="Times New Roman"/>
          <w:sz w:val="19"/>
        </w:rPr>
        <w:t>Pratama, A. R., Sensuse, D. I., &amp; Prasetyo, H. N. (2022). Penerapan metode TOPSIS dengan pembobotan entropy dalam penentuan penerima bantuan pangan. Jurnal RESTI (Rekayasa Sistem dan Teknologi Informasi), 6(3), 431–439. https://doi.org/10.29207/resti.v6i3.4088</w:t>
      </w:r>
    </w:p>
    <w:p>
      <w:pPr>
        <w:spacing w:line="276" w:lineRule="auto" w:after="80"/>
        <w:ind w:left="360" w:hanging="360"/>
        <w:jc w:val="both"/>
      </w:pPr>
      <w:r>
        <w:rPr>
          <w:rFonts w:ascii="Times New Roman" w:hAnsi="Times New Roman"/>
          <w:sz w:val="19"/>
        </w:rPr>
        <w:t>Shannon, C. E. (1948). A mathematical theory of communication. The Bell System Technical Journal, 27(3), 379–423. https://doi.org/10.1002/j.1538-7305.1948.tb01338.x</w:t>
      </w:r>
    </w:p>
    <w:p>
      <w:pPr>
        <w:spacing w:line="276" w:lineRule="auto" w:after="80"/>
        <w:ind w:left="360" w:hanging="360"/>
        <w:jc w:val="both"/>
      </w:pPr>
      <w:r>
        <w:rPr>
          <w:rFonts w:ascii="Times New Roman" w:hAnsi="Times New Roman"/>
          <w:sz w:val="19"/>
        </w:rPr>
        <w:t>Sinnott, R. S., Vo, Q., &amp; Bayliss, C. (2022). Food redistribution platforms and logistics optimization for charity networks: A systematic review. Journal of Cleaner Production, 380, 135084. https://doi.org/10.1016/j.jclepro.2022.135084</w:t>
      </w:r>
    </w:p>
    <w:p>
      <w:pPr>
        <w:spacing w:line="276" w:lineRule="auto" w:after="80"/>
        <w:ind w:left="360" w:hanging="360"/>
        <w:jc w:val="both"/>
      </w:pPr>
      <w:r>
        <w:rPr>
          <w:rFonts w:ascii="Times New Roman" w:hAnsi="Times New Roman"/>
          <w:sz w:val="19"/>
        </w:rPr>
        <w:t>Susanto, A., &amp; Hermawan, B. (2023). Multi-criteria decision support model for emergency relief dispatching during natural disasters. Sinkron : Jurnal dan Penelitian Teknik Informatika, 8(2), 742–753. https://doi.org/10.33395/sinkron.v8i2.12450</w:t>
      </w:r>
    </w:p>
    <w:p>
      <w:pPr>
        <w:spacing w:line="276" w:lineRule="auto" w:after="80"/>
        <w:ind w:left="360" w:hanging="360"/>
        <w:jc w:val="both"/>
      </w:pPr>
      <w:r>
        <w:rPr>
          <w:rFonts w:ascii="Times New Roman" w:hAnsi="Times New Roman"/>
          <w:sz w:val="19"/>
        </w:rPr>
        <w:t>Utomo, P., &amp; Wahyuni, S. (2023). Geographic information system integration with MCDM for urban food security mapping. Sinkron : Jurnal dan Penelitian Teknik Informatika, 8(3), 1412–1421. https://doi.org/10.33395/sinkron.v8i3.12890</w:t>
      </w:r>
    </w:p>
    <w:p>
      <w:pPr>
        <w:spacing w:line="276" w:lineRule="auto" w:after="80"/>
        <w:ind w:left="360" w:hanging="360"/>
        <w:jc w:val="both"/>
      </w:pPr>
      <w:r>
        <w:rPr>
          <w:rFonts w:ascii="Times New Roman" w:hAnsi="Times New Roman"/>
          <w:sz w:val="19"/>
        </w:rPr>
        <w:t>Widjaja, W., &amp; Utami, E. (2021). Perbandingan metode pembobotan ROC dan Shannon entropy pada algoritma TOPSIS untuk sistem seleksi beasiswa. Jurnal SISFO, 10(2), 115–124. https://doi.org/10.24089/jisisfo.v10i2.198</w:t>
      </w:r>
    </w:p>
    <w:p>
      <w:pPr>
        <w:spacing w:line="276" w:lineRule="auto" w:after="80"/>
        <w:ind w:left="360" w:hanging="360"/>
        <w:jc w:val="both"/>
      </w:pPr>
      <w:r>
        <w:rPr>
          <w:rFonts w:ascii="Times New Roman" w:hAnsi="Times New Roman"/>
          <w:sz w:val="19"/>
        </w:rPr>
        <w:t>Wulandari, R., &amp; Hartono, T. (2024). Web-based decision support system for dynamic donor-beneficiary matching using asynchronous API architecture. Journal of Computer Science and Information Technology, 12(1), 45–56. https://doi.org/10.21107/jcsit.v12i1.1983</w:t>
      </w:r>
    </w:p>
    <w:sectPr>
      <w:headerReference r:id="rId14" w:type="default"/>
      <w:footerReference r:id="rId15" w:type="default"/>
      <w:pgSz w:h="16838" w:w="11906" w:orient="portrait"/>
      <w:pgMar w:bottom="1560" w:top="1701" w:left="1418" w:right="1418"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Junicod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5">
    <w:pPr>
      <w:tabs>
        <w:tab w:val="left" w:leader="none" w:pos="2810"/>
      </w:tabs>
      <w:jc w:val="left"/>
      <w:rPr/>
    </w:pPr>
    <w:r w:rsidDel="00000000" w:rsidR="00000000" w:rsidRPr="00000000">
      <w:rPr>
        <w:rtl w:val="0"/>
      </w:rPr>
      <w:t xml:space="preserve">*name of corresponding author</w:t>
    </w:r>
  </w:p>
  <w:tbl>
    <w:tblPr>
      <w:tblStyle w:val="Table6"/>
      <w:tblW w:w="921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6"/>
      <w:gridCol w:w="5812"/>
      <w:gridCol w:w="1876"/>
      <w:tblGridChange w:id="0">
        <w:tblGrid>
          <w:gridCol w:w="1526"/>
          <w:gridCol w:w="5812"/>
          <w:gridCol w:w="1876"/>
        </w:tblGrid>
      </w:tblGridChange>
    </w:tblGrid>
    <w:tr>
      <w:trPr>
        <w:cantSplit w:val="0"/>
        <w:tblHeader w:val="0"/>
      </w:trPr>
      <w:tc>
        <w:tcPr>
          <w:vAlign w:val="bottom"/>
        </w:tcPr>
        <w:p w:rsidR="00000000" w:rsidDel="00000000" w:rsidP="00000000" w:rsidRDefault="00000000" w:rsidRPr="00000000" w14:paraId="00000246">
          <w:pPr>
            <w:jc w:val="left"/>
            <w:rPr>
              <w:sz w:val="24"/>
              <w:szCs w:val="24"/>
            </w:rPr>
          </w:pPr>
          <w:r w:rsidDel="00000000" w:rsidR="00000000" w:rsidRPr="00000000">
            <w:rPr>
              <w:rFonts w:ascii="Junicode" w:cs="Junicode" w:eastAsia="Junicode" w:hAnsi="Junicode"/>
              <w:color w:val="000000"/>
              <w:sz w:val="18"/>
              <w:szCs w:val="18"/>
            </w:rPr>
            <w:drawing>
              <wp:inline distB="0" distT="0" distL="0" distR="0">
                <wp:extent cx="793319" cy="280872"/>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3319" cy="280872"/>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47">
          <w:pPr>
            <w:jc w:val="left"/>
            <w:rPr>
              <w:sz w:val="24"/>
              <w:szCs w:val="24"/>
            </w:rPr>
          </w:pPr>
          <w:r w:rsidDel="00000000" w:rsidR="00000000" w:rsidRPr="00000000">
            <w:rPr>
              <w:rFonts w:ascii="Junicode" w:cs="Junicode" w:eastAsia="Junicode" w:hAnsi="Junicode"/>
              <w:color w:val="000000"/>
              <w:sz w:val="18"/>
              <w:szCs w:val="18"/>
              <w:rtl w:val="0"/>
            </w:rPr>
            <w:t xml:space="preserve">This is anCreative Commons License This work is licensed under a Creative Commons Attribution-NonCommercial 4.0 International License.</w:t>
          </w:r>
          <w:r w:rsidDel="00000000" w:rsidR="00000000" w:rsidRPr="00000000">
            <w:rPr>
              <w:rtl w:val="0"/>
            </w:rPr>
          </w:r>
        </w:p>
      </w:tc>
      <w:tc>
        <w:tcPr>
          <w:vAlign w:val="bottom"/>
        </w:tcPr>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80"/>
        <w:tab w:val="right" w:leader="none" w:pos="9360"/>
      </w:tabs>
      <w:jc w:val="both"/>
      <w:rPr>
        <w:color w:val="00000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
      <w:tblW w:w="9207.0" w:type="dxa"/>
      <w:jc w:val="center"/>
      <w:tblLayout w:type="fixed"/>
      <w:tblLook w:val="0000"/>
    </w:tblPr>
    <w:tblGrid>
      <w:gridCol w:w="2130"/>
      <w:gridCol w:w="4950"/>
      <w:gridCol w:w="2127"/>
      <w:tblGridChange w:id="0">
        <w:tblGrid>
          <w:gridCol w:w="2130"/>
          <w:gridCol w:w="4950"/>
          <w:gridCol w:w="2127"/>
        </w:tblGrid>
      </w:tblGridChange>
    </w:tblGrid>
    <w:tr>
      <w:trPr>
        <w:cantSplit w:val="0"/>
        <w:trHeight w:val="328"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Pr>
            <w:drawing>
              <wp:inline distB="0" distT="0" distL="0" distR="0">
                <wp:extent cx="1238250" cy="419100"/>
                <wp:effectExtent b="0" l="0" r="0" t="0"/>
                <wp:docPr id="8" name="image1.png"/>
                <a:graphic>
                  <a:graphicData uri="http://schemas.openxmlformats.org/drawingml/2006/picture">
                    <pic:pic>
                      <pic:nvPicPr>
                        <pic:cNvPr id="0" name="image1.png"/>
                        <pic:cNvPicPr preferRelativeResize="0"/>
                      </pic:nvPicPr>
                      <pic:blipFill>
                        <a:blip r:embed="rId1"/>
                        <a:srcRect b="-48" l="-17" r="-15" t="-50"/>
                        <a:stretch>
                          <a:fillRect/>
                        </a:stretch>
                      </pic:blipFill>
                      <pic:spPr>
                        <a:xfrm>
                          <a:off x="0" y="0"/>
                          <a:ext cx="1238250" cy="4191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23E">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rtl w:val="0"/>
            </w:rPr>
            <w:t xml:space="preserve">Sinkron : Jurnal dan Penelitian Teknik Informatika</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Volume xx, Number xx, month Year</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DOI : </w:t>
          </w:r>
          <w:hyperlink r:id="rId2">
            <w:r w:rsidDel="00000000" w:rsidR="00000000" w:rsidRPr="00000000">
              <w:rPr>
                <w:color w:val="0000ff"/>
                <w:u w:val="single"/>
                <w:rtl w:val="0"/>
              </w:rPr>
              <w:t xml:space="preserve">https://doi.org/10.33395/sinkron.xxx.xxx</w:t>
            </w:r>
          </w:hyperlink>
          <w:r w:rsidDel="00000000" w:rsidR="00000000" w:rsidRPr="00000000">
            <w:rPr>
              <w:rtl w:val="0"/>
            </w:rPr>
          </w:r>
        </w:p>
      </w:tc>
      <w:tc>
        <w:tcPr>
          <w:vAlign w:val="bottom"/>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256" w:firstLine="256"/>
            <w:jc w:val="right"/>
            <w:rPr>
              <w:color w:val="000000"/>
              <w:sz w:val="24"/>
              <w:szCs w:val="24"/>
            </w:rPr>
          </w:pPr>
          <w:r w:rsidDel="00000000" w:rsidR="00000000" w:rsidRPr="00000000">
            <w:rPr>
              <w:color w:val="000000"/>
              <w:rtl w:val="0"/>
            </w:rPr>
            <w:t xml:space="preserve">e-ISSN : 2541-2019</w: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jc w:val="right"/>
            <w:rPr>
              <w:color w:val="000000"/>
              <w:sz w:val="24"/>
              <w:szCs w:val="24"/>
            </w:rPr>
          </w:pPr>
          <w:r w:rsidDel="00000000" w:rsidR="00000000" w:rsidRPr="00000000">
            <w:rPr>
              <w:color w:val="000000"/>
              <w:rtl w:val="0"/>
            </w:rPr>
            <w:t xml:space="preserve"> p-ISSN : 2541-044X</w:t>
          </w:r>
          <w:r w:rsidDel="00000000" w:rsidR="00000000" w:rsidRPr="00000000">
            <w:rPr>
              <w:rtl w:val="0"/>
            </w:rPr>
          </w:r>
        </w:p>
      </w:tc>
    </w:tr>
  </w:tbl>
  <w:p w:rsidR="00000000" w:rsidDel="00000000" w:rsidP="00000000" w:rsidRDefault="00000000" w:rsidRPr="00000000" w14:paraId="00000243">
    <w:pPr>
      <w:pBdr>
        <w:top w:space="0" w:sz="0" w:val="nil"/>
        <w:left w:space="0" w:sz="0" w:val="nil"/>
        <w:bottom w:color="000000" w:space="1" w:sz="6" w:val="single"/>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firstLine="216"/>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tabs>
        <w:tab w:val="left" w:leader="none" w:pos="540"/>
      </w:tabs>
      <w:ind w:firstLine="288"/>
      <w:jc w:val="both"/>
    </w:pPr>
    <w:rPr>
      <w:i w:val="1"/>
    </w:rPr>
  </w:style>
  <w:style w:type="paragraph" w:styleId="Heading4">
    <w:name w:val="heading 4"/>
    <w:basedOn w:val="Normal"/>
    <w:next w:val="Normal"/>
    <w:pPr>
      <w:tabs>
        <w:tab w:val="left" w:leader="none" w:pos="720"/>
        <w:tab w:val="left" w:leader="none" w:pos="821"/>
      </w:tabs>
      <w:spacing w:after="40" w:before="40" w:lineRule="auto"/>
      <w:ind w:firstLine="504"/>
      <w:jc w:val="both"/>
    </w:pPr>
    <w:rPr>
      <w:i w:val="1"/>
    </w:rPr>
  </w:style>
  <w:style w:type="paragraph" w:styleId="Heading5">
    <w:name w:val="heading 5"/>
    <w:basedOn w:val="Normal"/>
    <w:next w:val="Normal"/>
    <w:pPr>
      <w:tabs>
        <w:tab w:val="left" w:leader="none" w:pos="360"/>
      </w:tabs>
      <w:spacing w:after="80" w:before="16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tabs>
        <w:tab w:val="left" w:pos="216"/>
      </w:tabs>
      <w:spacing w:after="80" w:before="160"/>
      <w:ind w:firstLine="216"/>
      <w:outlineLvl w:val="0"/>
    </w:pPr>
    <w:rPr>
      <w:smallCaps w:val="1"/>
    </w:rPr>
  </w:style>
  <w:style w:type="paragraph" w:styleId="Heading2">
    <w:name w:val="heading 2"/>
    <w:basedOn w:val="Normal"/>
    <w:next w:val="Normal"/>
    <w:uiPriority w:val="9"/>
    <w:semiHidden w:val="1"/>
    <w:unhideWhenUsed w:val="1"/>
    <w:qFormat w:val="1"/>
    <w:pPr>
      <w:keepNext w:val="1"/>
      <w:keepLines w:val="1"/>
      <w:tabs>
        <w:tab w:val="left" w:pos="288"/>
      </w:tabs>
      <w:spacing w:after="60" w:before="120"/>
      <w:ind w:left="288" w:hanging="288"/>
      <w:jc w:val="left"/>
      <w:outlineLvl w:val="1"/>
    </w:pPr>
    <w:rPr>
      <w:i w:val="1"/>
    </w:rPr>
  </w:style>
  <w:style w:type="paragraph" w:styleId="Heading3">
    <w:name w:val="heading 3"/>
    <w:basedOn w:val="Normal"/>
    <w:next w:val="Normal"/>
    <w:uiPriority w:val="9"/>
    <w:semiHidden w:val="1"/>
    <w:unhideWhenUsed w:val="1"/>
    <w:qFormat w:val="1"/>
    <w:pPr>
      <w:tabs>
        <w:tab w:val="left" w:pos="540"/>
      </w:tabs>
      <w:ind w:firstLine="288"/>
      <w:jc w:val="both"/>
      <w:outlineLvl w:val="2"/>
    </w:pPr>
    <w:rPr>
      <w:i w:val="1"/>
    </w:rPr>
  </w:style>
  <w:style w:type="paragraph" w:styleId="Heading4">
    <w:name w:val="heading 4"/>
    <w:basedOn w:val="Normal"/>
    <w:next w:val="Normal"/>
    <w:uiPriority w:val="9"/>
    <w:semiHidden w:val="1"/>
    <w:unhideWhenUsed w:val="1"/>
    <w:qFormat w:val="1"/>
    <w:pPr>
      <w:tabs>
        <w:tab w:val="left" w:pos="720"/>
        <w:tab w:val="left" w:pos="821"/>
      </w:tabs>
      <w:spacing w:after="40" w:before="40"/>
      <w:ind w:firstLine="504"/>
      <w:jc w:val="both"/>
      <w:outlineLvl w:val="3"/>
    </w:pPr>
    <w:rPr>
      <w:i w:val="1"/>
    </w:rPr>
  </w:style>
  <w:style w:type="paragraph" w:styleId="Heading5">
    <w:name w:val="heading 5"/>
    <w:basedOn w:val="Normal"/>
    <w:next w:val="Normal"/>
    <w:uiPriority w:val="9"/>
    <w:semiHidden w:val="1"/>
    <w:unhideWhenUsed w:val="1"/>
    <w:qFormat w:val="1"/>
    <w:pPr>
      <w:tabs>
        <w:tab w:val="left" w:pos="360"/>
      </w:tabs>
      <w:spacing w:after="80" w:before="160"/>
      <w:outlineLvl w:val="4"/>
    </w:pPr>
    <w:rPr>
      <w:rFonts w:ascii="Calibri" w:cs="Calibri" w:eastAsia="Calibri" w:hAnsi="Calibri"/>
      <w:b w:val="1"/>
      <w:i w:val="1"/>
      <w:sz w:val="26"/>
      <w:szCs w:val="26"/>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305F16"/>
    <w:pPr>
      <w:spacing w:after="100" w:afterAutospacing="1" w:before="100" w:beforeAutospacing="1"/>
      <w:jc w:val="left"/>
    </w:pPr>
    <w:rPr>
      <w:sz w:val="24"/>
      <w:szCs w:val="24"/>
    </w:rPr>
  </w:style>
  <w:style w:type="paragraph" w:styleId="BodyText">
    <w:name w:val="Body Text"/>
    <w:basedOn w:val="Normal"/>
    <w:link w:val="BodyTextChar"/>
    <w:uiPriority w:val="1"/>
    <w:qFormat w:val="1"/>
    <w:rsid w:val="009C5511"/>
    <w:pPr>
      <w:widowControl w:val="0"/>
      <w:autoSpaceDE w:val="0"/>
      <w:autoSpaceDN w:val="0"/>
      <w:jc w:val="left"/>
    </w:pPr>
  </w:style>
  <w:style w:type="character" w:styleId="BodyTextChar" w:customStyle="1">
    <w:name w:val="Body Text Char"/>
    <w:basedOn w:val="DefaultParagraphFont"/>
    <w:link w:val="BodyText"/>
    <w:uiPriority w:val="1"/>
    <w:rsid w:val="009C5511"/>
  </w:style>
  <w:style w:type="character" w:styleId="TitleChar" w:customStyle="1">
    <w:name w:val="Title Char"/>
    <w:basedOn w:val="DefaultParagraphFont"/>
    <w:link w:val="Title"/>
    <w:uiPriority w:val="10"/>
    <w:rsid w:val="009C5511"/>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mail@email.com" TargetMode="External"/><Relationship Id="rId10" Type="http://schemas.openxmlformats.org/officeDocument/2006/relationships/hyperlink" Target="mailto:email@email.com"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ail@emai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email.com" TargetMode="External"/><Relationship Id="rId8" Type="http://schemas.openxmlformats.org/officeDocument/2006/relationships/hyperlink" Target="mailto:email@e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oi.org/10.33395/sinkro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M/mjTjGBlD1XXsyWZdKjk25kg==">CgMxLjAaJQoBMBIgCh4IB0IaCg9UaW1lcyBOZXcgUm9tYW4SB0d1bmdzdWgyCGguZ2pkZ3hzOAByITFydV90YUFseTJFaEJrUllqbGZlV3dkaFRpeHBhaUhubw==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2023-08-22T05:49:00Z</dcterms:created>
  <dc:creator>USER</dc:creator>
</cp:coreProperties>
</file>